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57A2D">
      <w:pPr>
        <w:widowControl/>
        <w:ind w:firstLine="0" w:firstLineChars="0"/>
        <w:jc w:val="center"/>
        <w:rPr>
          <w:rFonts w:ascii="楷体_GB2312" w:eastAsia="楷体_GB2312"/>
          <w:sz w:val="36"/>
          <w:szCs w:val="36"/>
        </w:rPr>
      </w:pPr>
      <w:r>
        <w:drawing>
          <wp:inline distT="0" distB="0" distL="114300" distR="114300">
            <wp:extent cx="5615940" cy="8115300"/>
            <wp:effectExtent l="0" t="0" r="3810" b="0"/>
            <wp:docPr id="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
                    <pic:cNvPicPr>
                      <a:picLocks noChangeAspect="1"/>
                    </pic:cNvPicPr>
                  </pic:nvPicPr>
                  <pic:blipFill>
                    <a:blip r:embed="rId14"/>
                    <a:stretch>
                      <a:fillRect/>
                    </a:stretch>
                  </pic:blipFill>
                  <pic:spPr>
                    <a:xfrm>
                      <a:off x="0" y="0"/>
                      <a:ext cx="5615940" cy="8115300"/>
                    </a:xfrm>
                    <a:prstGeom prst="rect">
                      <a:avLst/>
                    </a:prstGeom>
                    <a:noFill/>
                    <a:ln>
                      <a:noFill/>
                    </a:ln>
                  </pic:spPr>
                </pic:pic>
              </a:graphicData>
            </a:graphic>
          </wp:inline>
        </w:drawing>
      </w:r>
    </w:p>
    <w:p w14:paraId="15ECF8E0">
      <w:pPr>
        <w:adjustRightInd w:val="0"/>
        <w:snapToGrid w:val="0"/>
        <w:spacing w:line="288" w:lineRule="auto"/>
        <w:jc w:val="center"/>
        <w:rPr>
          <w:rFonts w:ascii="楷体_GB2312" w:eastAsia="楷体_GB2312"/>
          <w:sz w:val="36"/>
          <w:szCs w:val="36"/>
        </w:rPr>
        <w:sectPr>
          <w:headerReference r:id="rId6" w:type="first"/>
          <w:footerReference r:id="rId9" w:type="first"/>
          <w:footerReference r:id="rId7" w:type="default"/>
          <w:headerReference r:id="rId5" w:type="even"/>
          <w:footerReference r:id="rId8" w:type="even"/>
          <w:type w:val="continuous"/>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3F146BC3">
      <w:pPr>
        <w:pStyle w:val="14"/>
        <w:spacing w:before="0" w:beforeAutospacing="0" w:after="0" w:afterAutospacing="0"/>
        <w:ind w:firstLine="0" w:firstLineChars="0"/>
        <w:jc w:val="center"/>
        <w:rPr>
          <w:rFonts w:hint="default" w:ascii="黑体" w:hAnsi="黑体" w:eastAsia="黑体"/>
          <w:snapToGrid w:val="0"/>
          <w:sz w:val="30"/>
          <w:szCs w:val="30"/>
          <w:lang w:val="en-US" w:eastAsia="zh-CN"/>
        </w:rPr>
        <w:sectPr>
          <w:footerReference r:id="rId10"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drawing>
          <wp:inline distT="0" distB="0" distL="114300" distR="114300">
            <wp:extent cx="5596255" cy="8114030"/>
            <wp:effectExtent l="0" t="0" r="4445" b="127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5"/>
                    <a:stretch>
                      <a:fillRect/>
                    </a:stretch>
                  </pic:blipFill>
                  <pic:spPr>
                    <a:xfrm>
                      <a:off x="0" y="0"/>
                      <a:ext cx="5596255" cy="8114030"/>
                    </a:xfrm>
                    <a:prstGeom prst="rect">
                      <a:avLst/>
                    </a:prstGeom>
                    <a:noFill/>
                    <a:ln>
                      <a:noFill/>
                    </a:ln>
                  </pic:spPr>
                </pic:pic>
              </a:graphicData>
            </a:graphic>
          </wp:inline>
        </w:drawing>
      </w:r>
    </w:p>
    <w:p w14:paraId="212102ED">
      <w:pPr>
        <w:pStyle w:val="14"/>
        <w:spacing w:before="120" w:beforeLines="50" w:beforeAutospacing="0" w:after="120" w:afterLines="50" w:afterAutospacing="0"/>
        <w:ind w:firstLine="0" w:firstLineChars="0"/>
        <w:jc w:val="center"/>
        <w:outlineLvl w:val="0"/>
        <w:rPr>
          <w:rFonts w:hint="eastAsia" w:ascii="黑体" w:hAnsi="黑体" w:eastAsia="黑体"/>
          <w:snapToGrid w:val="0"/>
          <w:sz w:val="30"/>
          <w:szCs w:val="30"/>
        </w:rPr>
      </w:pPr>
      <w:r>
        <w:rPr>
          <w:rFonts w:hint="eastAsia" w:ascii="黑体" w:hAnsi="黑体" w:eastAsia="黑体"/>
          <w:snapToGrid w:val="0"/>
          <w:sz w:val="30"/>
          <w:szCs w:val="30"/>
        </w:rPr>
        <w:t>一、建设项目基本情况</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1849"/>
        <w:gridCol w:w="2149"/>
        <w:gridCol w:w="2078"/>
        <w:gridCol w:w="121"/>
        <w:gridCol w:w="2627"/>
      </w:tblGrid>
      <w:tr w14:paraId="66FC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7" w:hRule="atLeast"/>
          <w:jc w:val="center"/>
        </w:trPr>
        <w:tc>
          <w:tcPr>
            <w:tcW w:w="1849" w:type="dxa"/>
            <w:tcMar>
              <w:top w:w="16" w:type="dxa"/>
              <w:left w:w="16" w:type="dxa"/>
              <w:right w:w="16" w:type="dxa"/>
            </w:tcMar>
            <w:vAlign w:val="center"/>
          </w:tcPr>
          <w:p w14:paraId="0A7A1102">
            <w:pPr>
              <w:adjustRightInd w:val="0"/>
              <w:snapToGrid w:val="0"/>
              <w:spacing w:line="240" w:lineRule="auto"/>
              <w:ind w:firstLine="0" w:firstLineChars="0"/>
              <w:jc w:val="center"/>
              <w:rPr>
                <w:sz w:val="21"/>
                <w:szCs w:val="21"/>
              </w:rPr>
            </w:pPr>
            <w:r>
              <w:rPr>
                <w:rFonts w:hint="eastAsia"/>
                <w:sz w:val="21"/>
                <w:szCs w:val="21"/>
              </w:rPr>
              <w:t>建设项目名称</w:t>
            </w:r>
          </w:p>
        </w:tc>
        <w:tc>
          <w:tcPr>
            <w:tcW w:w="6975" w:type="dxa"/>
            <w:gridSpan w:val="4"/>
            <w:vAlign w:val="center"/>
          </w:tcPr>
          <w:p w14:paraId="07EB3FD3">
            <w:pPr>
              <w:adjustRightInd w:val="0"/>
              <w:snapToGrid w:val="0"/>
              <w:spacing w:line="240" w:lineRule="auto"/>
              <w:ind w:firstLine="0" w:firstLineChars="0"/>
              <w:jc w:val="center"/>
              <w:rPr>
                <w:sz w:val="21"/>
                <w:szCs w:val="21"/>
              </w:rPr>
            </w:pPr>
            <w:r>
              <w:rPr>
                <w:rFonts w:hint="eastAsia"/>
                <w:sz w:val="21"/>
                <w:szCs w:val="21"/>
              </w:rPr>
              <w:t>永荣锦江绿色低碳环保、高性能、可降解、新材料智能化纺丝织造一体化配套产业研究院</w:t>
            </w:r>
          </w:p>
        </w:tc>
      </w:tr>
      <w:tr w14:paraId="4623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7" w:hRule="atLeast"/>
          <w:jc w:val="center"/>
        </w:trPr>
        <w:tc>
          <w:tcPr>
            <w:tcW w:w="1849" w:type="dxa"/>
            <w:tcMar>
              <w:top w:w="16" w:type="dxa"/>
              <w:left w:w="16" w:type="dxa"/>
              <w:right w:w="16" w:type="dxa"/>
            </w:tcMar>
            <w:vAlign w:val="center"/>
          </w:tcPr>
          <w:p w14:paraId="77003887">
            <w:pPr>
              <w:adjustRightInd w:val="0"/>
              <w:snapToGrid w:val="0"/>
              <w:spacing w:line="240" w:lineRule="auto"/>
              <w:ind w:firstLine="0" w:firstLineChars="0"/>
              <w:jc w:val="center"/>
              <w:rPr>
                <w:sz w:val="21"/>
                <w:szCs w:val="21"/>
              </w:rPr>
            </w:pPr>
            <w:r>
              <w:rPr>
                <w:rFonts w:hint="eastAsia"/>
                <w:sz w:val="21"/>
                <w:szCs w:val="21"/>
              </w:rPr>
              <w:t>项目代码</w:t>
            </w:r>
          </w:p>
        </w:tc>
        <w:tc>
          <w:tcPr>
            <w:tcW w:w="6975" w:type="dxa"/>
            <w:gridSpan w:val="4"/>
            <w:vAlign w:val="center"/>
          </w:tcPr>
          <w:p w14:paraId="5E8597F7">
            <w:pPr>
              <w:adjustRightInd w:val="0"/>
              <w:snapToGrid w:val="0"/>
              <w:spacing w:line="240" w:lineRule="auto"/>
              <w:ind w:firstLine="0" w:firstLineChars="0"/>
              <w:jc w:val="center"/>
              <w:rPr>
                <w:sz w:val="21"/>
                <w:szCs w:val="21"/>
              </w:rPr>
            </w:pPr>
            <w:r>
              <w:rPr>
                <w:rFonts w:hint="eastAsia"/>
                <w:sz w:val="21"/>
                <w:szCs w:val="21"/>
              </w:rPr>
              <w:t>2505-350112-04-05-745236</w:t>
            </w:r>
          </w:p>
        </w:tc>
      </w:tr>
      <w:tr w14:paraId="7D24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7" w:hRule="atLeast"/>
          <w:jc w:val="center"/>
        </w:trPr>
        <w:tc>
          <w:tcPr>
            <w:tcW w:w="1849" w:type="dxa"/>
            <w:tcMar>
              <w:top w:w="16" w:type="dxa"/>
              <w:left w:w="16" w:type="dxa"/>
              <w:right w:w="16" w:type="dxa"/>
            </w:tcMar>
            <w:vAlign w:val="center"/>
          </w:tcPr>
          <w:p w14:paraId="64C57B31">
            <w:pPr>
              <w:adjustRightInd w:val="0"/>
              <w:snapToGrid w:val="0"/>
              <w:spacing w:line="240" w:lineRule="auto"/>
              <w:ind w:firstLine="0" w:firstLineChars="0"/>
              <w:jc w:val="center"/>
              <w:rPr>
                <w:sz w:val="21"/>
                <w:szCs w:val="21"/>
              </w:rPr>
            </w:pPr>
            <w:r>
              <w:rPr>
                <w:rFonts w:hint="eastAsia"/>
                <w:sz w:val="21"/>
                <w:szCs w:val="21"/>
              </w:rPr>
              <w:t>建设单位联系人</w:t>
            </w:r>
          </w:p>
        </w:tc>
        <w:tc>
          <w:tcPr>
            <w:tcW w:w="2149" w:type="dxa"/>
            <w:vAlign w:val="center"/>
          </w:tcPr>
          <w:p w14:paraId="0713E464">
            <w:pPr>
              <w:adjustRightInd w:val="0"/>
              <w:snapToGrid w:val="0"/>
              <w:spacing w:line="240" w:lineRule="auto"/>
              <w:ind w:firstLine="0" w:firstLineChars="0"/>
              <w:jc w:val="center"/>
              <w:rPr>
                <w:sz w:val="21"/>
                <w:szCs w:val="21"/>
              </w:rPr>
            </w:pPr>
          </w:p>
        </w:tc>
        <w:tc>
          <w:tcPr>
            <w:tcW w:w="2199" w:type="dxa"/>
            <w:gridSpan w:val="2"/>
            <w:vAlign w:val="center"/>
          </w:tcPr>
          <w:p w14:paraId="212D7EC9">
            <w:pPr>
              <w:adjustRightInd w:val="0"/>
              <w:snapToGrid w:val="0"/>
              <w:spacing w:line="240" w:lineRule="auto"/>
              <w:ind w:firstLine="0" w:firstLineChars="0"/>
              <w:jc w:val="center"/>
              <w:rPr>
                <w:sz w:val="21"/>
                <w:szCs w:val="21"/>
              </w:rPr>
            </w:pPr>
            <w:r>
              <w:rPr>
                <w:rFonts w:hint="eastAsia"/>
                <w:sz w:val="21"/>
                <w:szCs w:val="21"/>
              </w:rPr>
              <w:t>联系方式</w:t>
            </w:r>
          </w:p>
        </w:tc>
        <w:tc>
          <w:tcPr>
            <w:tcW w:w="2627" w:type="dxa"/>
            <w:vAlign w:val="center"/>
          </w:tcPr>
          <w:p w14:paraId="6965B02C">
            <w:pPr>
              <w:adjustRightInd w:val="0"/>
              <w:snapToGrid w:val="0"/>
              <w:spacing w:line="240" w:lineRule="auto"/>
              <w:ind w:firstLine="0" w:firstLineChars="0"/>
              <w:jc w:val="center"/>
              <w:rPr>
                <w:sz w:val="21"/>
                <w:szCs w:val="21"/>
              </w:rPr>
            </w:pPr>
          </w:p>
        </w:tc>
      </w:tr>
      <w:tr w14:paraId="728D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7" w:hRule="atLeast"/>
          <w:jc w:val="center"/>
        </w:trPr>
        <w:tc>
          <w:tcPr>
            <w:tcW w:w="1849" w:type="dxa"/>
            <w:tcMar>
              <w:top w:w="16" w:type="dxa"/>
              <w:left w:w="16" w:type="dxa"/>
              <w:right w:w="16" w:type="dxa"/>
            </w:tcMar>
            <w:vAlign w:val="center"/>
          </w:tcPr>
          <w:p w14:paraId="78DAC109">
            <w:pPr>
              <w:adjustRightInd w:val="0"/>
              <w:snapToGrid w:val="0"/>
              <w:spacing w:line="240" w:lineRule="auto"/>
              <w:ind w:firstLine="0" w:firstLineChars="0"/>
              <w:jc w:val="center"/>
              <w:rPr>
                <w:sz w:val="21"/>
                <w:szCs w:val="21"/>
              </w:rPr>
            </w:pPr>
            <w:r>
              <w:rPr>
                <w:rFonts w:hint="eastAsia"/>
                <w:sz w:val="21"/>
                <w:szCs w:val="21"/>
              </w:rPr>
              <w:t>建设地点</w:t>
            </w:r>
          </w:p>
        </w:tc>
        <w:tc>
          <w:tcPr>
            <w:tcW w:w="6975" w:type="dxa"/>
            <w:gridSpan w:val="4"/>
            <w:vAlign w:val="center"/>
          </w:tcPr>
          <w:p w14:paraId="7B2C6E3A">
            <w:pPr>
              <w:adjustRightInd w:val="0"/>
              <w:snapToGrid w:val="0"/>
              <w:spacing w:line="240" w:lineRule="auto"/>
              <w:ind w:firstLine="0" w:firstLineChars="0"/>
              <w:jc w:val="center"/>
              <w:rPr>
                <w:sz w:val="21"/>
                <w:szCs w:val="21"/>
              </w:rPr>
            </w:pPr>
            <w:r>
              <w:rPr>
                <w:rFonts w:hint="eastAsia"/>
                <w:sz w:val="21"/>
                <w:szCs w:val="21"/>
              </w:rPr>
              <w:t>福州市长乐区湖南镇鹏程路28号</w:t>
            </w:r>
          </w:p>
        </w:tc>
      </w:tr>
      <w:tr w14:paraId="0F64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7" w:hRule="atLeast"/>
          <w:jc w:val="center"/>
        </w:trPr>
        <w:tc>
          <w:tcPr>
            <w:tcW w:w="1849" w:type="dxa"/>
            <w:tcMar>
              <w:top w:w="16" w:type="dxa"/>
              <w:left w:w="16" w:type="dxa"/>
              <w:right w:w="16" w:type="dxa"/>
            </w:tcMar>
            <w:vAlign w:val="center"/>
          </w:tcPr>
          <w:p w14:paraId="3E3D46DA">
            <w:pPr>
              <w:adjustRightInd w:val="0"/>
              <w:snapToGrid w:val="0"/>
              <w:spacing w:line="240" w:lineRule="auto"/>
              <w:ind w:firstLine="0" w:firstLineChars="0"/>
              <w:jc w:val="center"/>
              <w:rPr>
                <w:sz w:val="21"/>
                <w:szCs w:val="21"/>
              </w:rPr>
            </w:pPr>
            <w:r>
              <w:rPr>
                <w:rFonts w:hint="eastAsia"/>
                <w:sz w:val="21"/>
                <w:szCs w:val="21"/>
              </w:rPr>
              <w:t>地理坐标</w:t>
            </w:r>
          </w:p>
        </w:tc>
        <w:tc>
          <w:tcPr>
            <w:tcW w:w="6975" w:type="dxa"/>
            <w:gridSpan w:val="4"/>
            <w:vAlign w:val="center"/>
          </w:tcPr>
          <w:p w14:paraId="4FD3E77F">
            <w:pPr>
              <w:spacing w:line="240" w:lineRule="auto"/>
              <w:ind w:firstLine="0" w:firstLineChars="0"/>
              <w:jc w:val="center"/>
              <w:rPr>
                <w:sz w:val="21"/>
                <w:szCs w:val="21"/>
              </w:rPr>
            </w:pPr>
            <w:r>
              <w:rPr>
                <w:rFonts w:hint="eastAsia"/>
                <w:sz w:val="21"/>
                <w:szCs w:val="21"/>
              </w:rPr>
              <w:t>东经119度40分12.65秒，北纬25度57分39.48秒</w:t>
            </w:r>
          </w:p>
        </w:tc>
      </w:tr>
      <w:tr w14:paraId="64A4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61" w:hRule="atLeast"/>
          <w:jc w:val="center"/>
        </w:trPr>
        <w:tc>
          <w:tcPr>
            <w:tcW w:w="1849" w:type="dxa"/>
            <w:tcMar>
              <w:top w:w="16" w:type="dxa"/>
              <w:left w:w="16" w:type="dxa"/>
              <w:right w:w="16" w:type="dxa"/>
            </w:tcMar>
            <w:vAlign w:val="center"/>
          </w:tcPr>
          <w:p w14:paraId="280750C8">
            <w:pPr>
              <w:adjustRightInd w:val="0"/>
              <w:snapToGrid w:val="0"/>
              <w:spacing w:line="240" w:lineRule="auto"/>
              <w:ind w:firstLine="0" w:firstLineChars="0"/>
              <w:jc w:val="center"/>
              <w:rPr>
                <w:sz w:val="21"/>
                <w:szCs w:val="21"/>
              </w:rPr>
            </w:pPr>
            <w:r>
              <w:rPr>
                <w:rFonts w:hint="eastAsia"/>
                <w:sz w:val="21"/>
                <w:szCs w:val="21"/>
              </w:rPr>
              <w:t>国民经济</w:t>
            </w:r>
          </w:p>
          <w:p w14:paraId="3BB2C38D">
            <w:pPr>
              <w:adjustRightInd w:val="0"/>
              <w:snapToGrid w:val="0"/>
              <w:spacing w:line="240" w:lineRule="auto"/>
              <w:ind w:firstLine="0" w:firstLineChars="0"/>
              <w:jc w:val="center"/>
              <w:rPr>
                <w:sz w:val="21"/>
                <w:szCs w:val="21"/>
              </w:rPr>
            </w:pPr>
            <w:r>
              <w:rPr>
                <w:rFonts w:hint="eastAsia"/>
                <w:sz w:val="21"/>
                <w:szCs w:val="21"/>
              </w:rPr>
              <w:t>行业类别</w:t>
            </w:r>
          </w:p>
        </w:tc>
        <w:tc>
          <w:tcPr>
            <w:tcW w:w="2149" w:type="dxa"/>
            <w:vAlign w:val="center"/>
          </w:tcPr>
          <w:p w14:paraId="5404C938">
            <w:pPr>
              <w:adjustRightInd w:val="0"/>
              <w:snapToGrid w:val="0"/>
              <w:spacing w:line="240" w:lineRule="auto"/>
              <w:ind w:firstLine="0" w:firstLineChars="0"/>
              <w:jc w:val="center"/>
              <w:rPr>
                <w:sz w:val="21"/>
                <w:szCs w:val="21"/>
              </w:rPr>
            </w:pPr>
            <w:r>
              <w:rPr>
                <w:rFonts w:hint="eastAsia"/>
                <w:sz w:val="21"/>
                <w:szCs w:val="21"/>
              </w:rPr>
              <w:t>M7320 工程和技术研究和试验发展</w:t>
            </w:r>
          </w:p>
        </w:tc>
        <w:tc>
          <w:tcPr>
            <w:tcW w:w="2078" w:type="dxa"/>
            <w:vAlign w:val="center"/>
          </w:tcPr>
          <w:p w14:paraId="56A850BE">
            <w:pPr>
              <w:adjustRightInd w:val="0"/>
              <w:snapToGrid w:val="0"/>
              <w:spacing w:line="240" w:lineRule="auto"/>
              <w:ind w:firstLine="0" w:firstLineChars="0"/>
              <w:jc w:val="center"/>
              <w:rPr>
                <w:sz w:val="21"/>
                <w:szCs w:val="21"/>
              </w:rPr>
            </w:pPr>
            <w:bookmarkStart w:id="0" w:name="_Hlk49843745"/>
            <w:r>
              <w:rPr>
                <w:rFonts w:hint="eastAsia"/>
                <w:sz w:val="21"/>
                <w:szCs w:val="21"/>
              </w:rPr>
              <w:t>建设项目</w:t>
            </w:r>
          </w:p>
          <w:p w14:paraId="122E7C57">
            <w:pPr>
              <w:adjustRightInd w:val="0"/>
              <w:snapToGrid w:val="0"/>
              <w:spacing w:line="240" w:lineRule="auto"/>
              <w:ind w:firstLine="0" w:firstLineChars="0"/>
              <w:jc w:val="center"/>
              <w:rPr>
                <w:sz w:val="21"/>
                <w:szCs w:val="21"/>
              </w:rPr>
            </w:pPr>
            <w:r>
              <w:rPr>
                <w:rFonts w:hint="eastAsia"/>
                <w:sz w:val="21"/>
                <w:szCs w:val="21"/>
              </w:rPr>
              <w:t>行业类别</w:t>
            </w:r>
            <w:bookmarkEnd w:id="0"/>
          </w:p>
        </w:tc>
        <w:tc>
          <w:tcPr>
            <w:tcW w:w="2748" w:type="dxa"/>
            <w:gridSpan w:val="2"/>
            <w:vAlign w:val="center"/>
          </w:tcPr>
          <w:p w14:paraId="1C64DDFD">
            <w:pPr>
              <w:adjustRightInd w:val="0"/>
              <w:snapToGrid w:val="0"/>
              <w:spacing w:line="240" w:lineRule="auto"/>
              <w:ind w:firstLine="0" w:firstLineChars="0"/>
              <w:rPr>
                <w:sz w:val="21"/>
                <w:szCs w:val="21"/>
              </w:rPr>
            </w:pPr>
            <w:r>
              <w:rPr>
                <w:rFonts w:hint="eastAsia"/>
                <w:sz w:val="21"/>
                <w:szCs w:val="21"/>
              </w:rPr>
              <w:t>“四十五、研究和试验发展”中的“98.专业实验室、研发（试验）基地”中的“其他（不产生实验废气、废水、危险废物的除外）”</w:t>
            </w:r>
          </w:p>
        </w:tc>
      </w:tr>
      <w:tr w14:paraId="563A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19" w:hRule="atLeast"/>
          <w:jc w:val="center"/>
        </w:trPr>
        <w:tc>
          <w:tcPr>
            <w:tcW w:w="1849" w:type="dxa"/>
            <w:tcMar>
              <w:top w:w="16" w:type="dxa"/>
              <w:left w:w="16" w:type="dxa"/>
              <w:right w:w="16" w:type="dxa"/>
            </w:tcMar>
            <w:vAlign w:val="center"/>
          </w:tcPr>
          <w:p w14:paraId="27D356DC">
            <w:pPr>
              <w:adjustRightInd w:val="0"/>
              <w:snapToGrid w:val="0"/>
              <w:spacing w:line="240" w:lineRule="auto"/>
              <w:ind w:firstLine="0" w:firstLineChars="0"/>
              <w:jc w:val="center"/>
              <w:rPr>
                <w:sz w:val="21"/>
                <w:szCs w:val="21"/>
              </w:rPr>
            </w:pPr>
            <w:r>
              <w:rPr>
                <w:rFonts w:hint="eastAsia"/>
                <w:sz w:val="21"/>
                <w:szCs w:val="21"/>
              </w:rPr>
              <w:t>建设性质</w:t>
            </w:r>
          </w:p>
        </w:tc>
        <w:tc>
          <w:tcPr>
            <w:tcW w:w="2149" w:type="dxa"/>
            <w:vAlign w:val="center"/>
          </w:tcPr>
          <w:p w14:paraId="71B7F994">
            <w:pPr>
              <w:spacing w:line="240" w:lineRule="auto"/>
              <w:ind w:firstLine="0" w:firstLineChars="0"/>
              <w:jc w:val="left"/>
              <w:rPr>
                <w:sz w:val="21"/>
                <w:szCs w:val="21"/>
              </w:rPr>
            </w:pPr>
            <w:r>
              <w:rPr>
                <w:rFonts w:hint="eastAsia"/>
                <w:spacing w:val="-6"/>
                <w:sz w:val="21"/>
                <w:szCs w:val="21"/>
              </w:rPr>
              <w:sym w:font="Wingdings 2" w:char="00A3"/>
            </w:r>
            <w:r>
              <w:rPr>
                <w:rFonts w:hint="eastAsia"/>
                <w:sz w:val="21"/>
                <w:szCs w:val="21"/>
              </w:rPr>
              <w:t>新建（迁建）</w:t>
            </w:r>
          </w:p>
          <w:p w14:paraId="39EEA3CB">
            <w:pPr>
              <w:spacing w:line="240" w:lineRule="auto"/>
              <w:ind w:firstLine="0" w:firstLineChars="0"/>
              <w:jc w:val="left"/>
              <w:rPr>
                <w:sz w:val="21"/>
                <w:szCs w:val="21"/>
              </w:rPr>
            </w:pPr>
            <w:r>
              <w:rPr>
                <w:rFonts w:hint="eastAsia"/>
                <w:spacing w:val="-6"/>
                <w:sz w:val="21"/>
                <w:szCs w:val="21"/>
              </w:rPr>
              <w:sym w:font="Wingdings 2" w:char="00A3"/>
            </w:r>
            <w:r>
              <w:rPr>
                <w:rFonts w:hint="eastAsia"/>
                <w:sz w:val="21"/>
                <w:szCs w:val="21"/>
              </w:rPr>
              <w:t>改建</w:t>
            </w:r>
          </w:p>
          <w:p w14:paraId="130E747F">
            <w:pPr>
              <w:spacing w:line="240" w:lineRule="auto"/>
              <w:ind w:firstLine="0" w:firstLineChars="0"/>
              <w:jc w:val="left"/>
              <w:rPr>
                <w:sz w:val="21"/>
                <w:szCs w:val="21"/>
              </w:rPr>
            </w:pPr>
            <w:r>
              <w:rPr>
                <w:rFonts w:hint="eastAsia"/>
                <w:sz w:val="21"/>
                <w:szCs w:val="21"/>
              </w:rPr>
              <w:sym w:font="Wingdings 2" w:char="F052"/>
            </w:r>
            <w:r>
              <w:rPr>
                <w:rFonts w:hint="eastAsia"/>
                <w:sz w:val="21"/>
                <w:szCs w:val="21"/>
              </w:rPr>
              <w:t>扩建</w:t>
            </w:r>
          </w:p>
          <w:p w14:paraId="2C97E622">
            <w:pPr>
              <w:spacing w:line="240" w:lineRule="auto"/>
              <w:ind w:firstLine="0" w:firstLineChars="0"/>
              <w:jc w:val="left"/>
              <w:rPr>
                <w:sz w:val="21"/>
                <w:szCs w:val="21"/>
              </w:rPr>
            </w:pPr>
            <w:r>
              <w:rPr>
                <w:rFonts w:hint="eastAsia"/>
                <w:spacing w:val="-6"/>
                <w:sz w:val="21"/>
                <w:szCs w:val="21"/>
              </w:rPr>
              <w:sym w:font="Wingdings 2" w:char="00A3"/>
            </w:r>
            <w:r>
              <w:rPr>
                <w:rFonts w:hint="eastAsia"/>
                <w:sz w:val="21"/>
                <w:szCs w:val="21"/>
              </w:rPr>
              <w:t>技术改造</w:t>
            </w:r>
          </w:p>
        </w:tc>
        <w:tc>
          <w:tcPr>
            <w:tcW w:w="2078" w:type="dxa"/>
            <w:vAlign w:val="center"/>
          </w:tcPr>
          <w:p w14:paraId="5A647074">
            <w:pPr>
              <w:adjustRightInd w:val="0"/>
              <w:snapToGrid w:val="0"/>
              <w:spacing w:line="240" w:lineRule="auto"/>
              <w:ind w:firstLine="0" w:firstLineChars="0"/>
              <w:jc w:val="center"/>
              <w:rPr>
                <w:sz w:val="21"/>
                <w:szCs w:val="21"/>
              </w:rPr>
            </w:pPr>
            <w:r>
              <w:rPr>
                <w:rFonts w:hint="eastAsia"/>
                <w:sz w:val="21"/>
                <w:szCs w:val="21"/>
              </w:rPr>
              <w:t>建设项目</w:t>
            </w:r>
          </w:p>
          <w:p w14:paraId="5A3B04A1">
            <w:pPr>
              <w:adjustRightInd w:val="0"/>
              <w:snapToGrid w:val="0"/>
              <w:spacing w:line="240" w:lineRule="auto"/>
              <w:ind w:firstLine="0" w:firstLineChars="0"/>
              <w:jc w:val="center"/>
              <w:rPr>
                <w:sz w:val="21"/>
                <w:szCs w:val="21"/>
              </w:rPr>
            </w:pPr>
            <w:r>
              <w:rPr>
                <w:rFonts w:hint="eastAsia"/>
                <w:sz w:val="21"/>
                <w:szCs w:val="21"/>
              </w:rPr>
              <w:t>申报情形</w:t>
            </w:r>
          </w:p>
        </w:tc>
        <w:tc>
          <w:tcPr>
            <w:tcW w:w="2748" w:type="dxa"/>
            <w:gridSpan w:val="2"/>
            <w:vAlign w:val="center"/>
          </w:tcPr>
          <w:p w14:paraId="252D834F">
            <w:pPr>
              <w:spacing w:line="240" w:lineRule="auto"/>
              <w:ind w:firstLine="0" w:firstLineChars="0"/>
              <w:jc w:val="left"/>
              <w:rPr>
                <w:sz w:val="21"/>
                <w:szCs w:val="21"/>
              </w:rPr>
            </w:pPr>
            <w:r>
              <w:rPr>
                <w:rFonts w:hint="eastAsia"/>
                <w:sz w:val="21"/>
                <w:szCs w:val="21"/>
              </w:rPr>
              <w:sym w:font="Wingdings 2" w:char="F052"/>
            </w:r>
            <w:r>
              <w:rPr>
                <w:rFonts w:hint="eastAsia"/>
                <w:sz w:val="21"/>
                <w:szCs w:val="21"/>
              </w:rPr>
              <w:t xml:space="preserve">首次申报项目             </w:t>
            </w:r>
          </w:p>
          <w:p w14:paraId="5E1339FA">
            <w:pPr>
              <w:spacing w:line="240" w:lineRule="auto"/>
              <w:ind w:firstLine="0" w:firstLineChars="0"/>
              <w:jc w:val="left"/>
              <w:rPr>
                <w:sz w:val="21"/>
                <w:szCs w:val="21"/>
              </w:rPr>
            </w:pPr>
            <w:r>
              <w:rPr>
                <w:rFonts w:hint="eastAsia"/>
                <w:spacing w:val="-6"/>
                <w:sz w:val="21"/>
                <w:szCs w:val="21"/>
              </w:rPr>
              <w:sym w:font="Wingdings 2" w:char="00A3"/>
            </w:r>
            <w:r>
              <w:rPr>
                <w:rFonts w:hint="eastAsia"/>
                <w:sz w:val="21"/>
                <w:szCs w:val="21"/>
              </w:rPr>
              <w:t>不予批准后再次申报项目</w:t>
            </w:r>
          </w:p>
          <w:p w14:paraId="22A40237">
            <w:pPr>
              <w:spacing w:line="240" w:lineRule="auto"/>
              <w:ind w:firstLine="0" w:firstLineChars="0"/>
              <w:jc w:val="left"/>
              <w:rPr>
                <w:sz w:val="21"/>
                <w:szCs w:val="21"/>
              </w:rPr>
            </w:pPr>
            <w:r>
              <w:rPr>
                <w:rFonts w:hint="eastAsia"/>
                <w:sz w:val="21"/>
                <w:szCs w:val="21"/>
              </w:rPr>
              <w:sym w:font="Wingdings 2" w:char="00A3"/>
            </w:r>
            <w:r>
              <w:rPr>
                <w:rFonts w:hint="eastAsia"/>
                <w:sz w:val="21"/>
                <w:szCs w:val="21"/>
              </w:rPr>
              <w:t xml:space="preserve">超五年重新审核项目     </w:t>
            </w:r>
          </w:p>
          <w:p w14:paraId="08F5BC05">
            <w:pPr>
              <w:spacing w:line="240" w:lineRule="auto"/>
              <w:ind w:firstLine="0" w:firstLineChars="0"/>
              <w:jc w:val="left"/>
              <w:rPr>
                <w:sz w:val="21"/>
                <w:szCs w:val="21"/>
              </w:rPr>
            </w:pPr>
            <w:r>
              <w:rPr>
                <w:rFonts w:hint="eastAsia"/>
                <w:spacing w:val="-6"/>
                <w:sz w:val="21"/>
                <w:szCs w:val="21"/>
              </w:rPr>
              <w:sym w:font="Wingdings 2" w:char="00A3"/>
            </w:r>
            <w:r>
              <w:rPr>
                <w:rFonts w:hint="eastAsia"/>
                <w:sz w:val="21"/>
                <w:szCs w:val="21"/>
              </w:rPr>
              <w:t>重大变动重新报批项目</w:t>
            </w:r>
          </w:p>
        </w:tc>
      </w:tr>
      <w:tr w14:paraId="2815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851" w:hRule="atLeast"/>
          <w:jc w:val="center"/>
        </w:trPr>
        <w:tc>
          <w:tcPr>
            <w:tcW w:w="1849" w:type="dxa"/>
            <w:tcMar>
              <w:top w:w="16" w:type="dxa"/>
              <w:left w:w="16" w:type="dxa"/>
              <w:right w:w="16" w:type="dxa"/>
            </w:tcMar>
            <w:vAlign w:val="center"/>
          </w:tcPr>
          <w:p w14:paraId="2661F693">
            <w:pPr>
              <w:adjustRightInd w:val="0"/>
              <w:snapToGrid w:val="0"/>
              <w:spacing w:line="240" w:lineRule="auto"/>
              <w:ind w:firstLine="0" w:firstLineChars="0"/>
              <w:jc w:val="center"/>
              <w:rPr>
                <w:sz w:val="21"/>
                <w:szCs w:val="21"/>
              </w:rPr>
            </w:pPr>
            <w:r>
              <w:rPr>
                <w:rFonts w:hint="eastAsia"/>
                <w:sz w:val="21"/>
                <w:szCs w:val="21"/>
              </w:rPr>
              <w:t>项目审批（核准/</w:t>
            </w:r>
          </w:p>
          <w:p w14:paraId="173D39B3">
            <w:pPr>
              <w:adjustRightInd w:val="0"/>
              <w:snapToGrid w:val="0"/>
              <w:spacing w:line="240" w:lineRule="auto"/>
              <w:ind w:firstLine="0" w:firstLineChars="0"/>
              <w:jc w:val="center"/>
              <w:rPr>
                <w:sz w:val="21"/>
                <w:szCs w:val="21"/>
              </w:rPr>
            </w:pPr>
            <w:r>
              <w:rPr>
                <w:rFonts w:hint="eastAsia"/>
                <w:sz w:val="21"/>
                <w:szCs w:val="21"/>
              </w:rPr>
              <w:t>备案）部门（选填）</w:t>
            </w:r>
          </w:p>
        </w:tc>
        <w:tc>
          <w:tcPr>
            <w:tcW w:w="2149" w:type="dxa"/>
            <w:vAlign w:val="center"/>
          </w:tcPr>
          <w:p w14:paraId="22DB48C4">
            <w:pPr>
              <w:adjustRightInd w:val="0"/>
              <w:snapToGrid w:val="0"/>
              <w:spacing w:line="240" w:lineRule="auto"/>
              <w:ind w:firstLine="0" w:firstLineChars="0"/>
              <w:jc w:val="center"/>
              <w:rPr>
                <w:sz w:val="21"/>
                <w:szCs w:val="21"/>
              </w:rPr>
            </w:pPr>
            <w:r>
              <w:rPr>
                <w:rFonts w:hint="eastAsia"/>
                <w:sz w:val="21"/>
                <w:szCs w:val="21"/>
              </w:rPr>
              <w:t>福州市长乐区发展和改革局</w:t>
            </w:r>
          </w:p>
        </w:tc>
        <w:tc>
          <w:tcPr>
            <w:tcW w:w="2078" w:type="dxa"/>
            <w:vAlign w:val="center"/>
          </w:tcPr>
          <w:p w14:paraId="51835EA5">
            <w:pPr>
              <w:adjustRightInd w:val="0"/>
              <w:snapToGrid w:val="0"/>
              <w:spacing w:line="240" w:lineRule="auto"/>
              <w:ind w:firstLine="0" w:firstLineChars="0"/>
              <w:jc w:val="center"/>
              <w:rPr>
                <w:sz w:val="21"/>
                <w:szCs w:val="21"/>
              </w:rPr>
            </w:pPr>
            <w:r>
              <w:rPr>
                <w:rFonts w:hint="eastAsia"/>
                <w:sz w:val="21"/>
                <w:szCs w:val="21"/>
              </w:rPr>
              <w:t>项目审批（核准/</w:t>
            </w:r>
          </w:p>
          <w:p w14:paraId="37D2B8CF">
            <w:pPr>
              <w:adjustRightInd w:val="0"/>
              <w:snapToGrid w:val="0"/>
              <w:spacing w:line="240" w:lineRule="auto"/>
              <w:ind w:firstLine="0" w:firstLineChars="0"/>
              <w:jc w:val="center"/>
              <w:rPr>
                <w:sz w:val="21"/>
                <w:szCs w:val="21"/>
              </w:rPr>
            </w:pPr>
            <w:r>
              <w:rPr>
                <w:rFonts w:hint="eastAsia"/>
                <w:sz w:val="21"/>
                <w:szCs w:val="21"/>
              </w:rPr>
              <w:t>备案）文号（选填）</w:t>
            </w:r>
          </w:p>
        </w:tc>
        <w:tc>
          <w:tcPr>
            <w:tcW w:w="2748" w:type="dxa"/>
            <w:gridSpan w:val="2"/>
            <w:vAlign w:val="center"/>
          </w:tcPr>
          <w:p w14:paraId="2A08A103">
            <w:pPr>
              <w:adjustRightInd w:val="0"/>
              <w:snapToGrid w:val="0"/>
              <w:spacing w:line="240" w:lineRule="auto"/>
              <w:ind w:firstLine="0" w:firstLineChars="0"/>
              <w:jc w:val="center"/>
              <w:rPr>
                <w:sz w:val="21"/>
                <w:szCs w:val="21"/>
              </w:rPr>
            </w:pPr>
            <w:r>
              <w:rPr>
                <w:rFonts w:hint="eastAsia"/>
                <w:sz w:val="21"/>
                <w:szCs w:val="21"/>
              </w:rPr>
              <w:t>闽发改备</w:t>
            </w:r>
            <w:bookmarkStart w:id="1" w:name="_Hlk198068894"/>
            <w:r>
              <w:rPr>
                <w:rFonts w:hint="eastAsia"/>
                <w:sz w:val="21"/>
                <w:szCs w:val="21"/>
              </w:rPr>
              <w:t>〔2025〕0168号</w:t>
            </w:r>
            <w:bookmarkEnd w:id="1"/>
          </w:p>
        </w:tc>
      </w:tr>
      <w:tr w14:paraId="11C2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7" w:hRule="atLeast"/>
          <w:jc w:val="center"/>
        </w:trPr>
        <w:tc>
          <w:tcPr>
            <w:tcW w:w="1849" w:type="dxa"/>
            <w:tcMar>
              <w:top w:w="16" w:type="dxa"/>
              <w:left w:w="16" w:type="dxa"/>
              <w:right w:w="16" w:type="dxa"/>
            </w:tcMar>
            <w:vAlign w:val="center"/>
          </w:tcPr>
          <w:p w14:paraId="636709DE">
            <w:pPr>
              <w:adjustRightInd w:val="0"/>
              <w:snapToGrid w:val="0"/>
              <w:spacing w:line="240" w:lineRule="auto"/>
              <w:ind w:firstLine="0" w:firstLineChars="0"/>
              <w:jc w:val="center"/>
              <w:rPr>
                <w:sz w:val="21"/>
                <w:szCs w:val="21"/>
              </w:rPr>
            </w:pPr>
            <w:r>
              <w:rPr>
                <w:rFonts w:hint="eastAsia"/>
                <w:sz w:val="21"/>
                <w:szCs w:val="21"/>
              </w:rPr>
              <w:t>总投资（万元）</w:t>
            </w:r>
          </w:p>
        </w:tc>
        <w:tc>
          <w:tcPr>
            <w:tcW w:w="2149" w:type="dxa"/>
            <w:vAlign w:val="center"/>
          </w:tcPr>
          <w:p w14:paraId="02F28330">
            <w:pPr>
              <w:adjustRightInd w:val="0"/>
              <w:snapToGrid w:val="0"/>
              <w:spacing w:line="240" w:lineRule="auto"/>
              <w:ind w:firstLine="0" w:firstLineChars="0"/>
              <w:jc w:val="center"/>
              <w:rPr>
                <w:sz w:val="21"/>
                <w:szCs w:val="21"/>
              </w:rPr>
            </w:pPr>
            <w:r>
              <w:rPr>
                <w:rFonts w:hint="eastAsia"/>
                <w:sz w:val="21"/>
                <w:szCs w:val="21"/>
              </w:rPr>
              <w:t>18000</w:t>
            </w:r>
          </w:p>
        </w:tc>
        <w:tc>
          <w:tcPr>
            <w:tcW w:w="2078" w:type="dxa"/>
            <w:tcMar>
              <w:top w:w="16" w:type="dxa"/>
              <w:left w:w="16" w:type="dxa"/>
              <w:right w:w="16" w:type="dxa"/>
            </w:tcMar>
            <w:vAlign w:val="center"/>
          </w:tcPr>
          <w:p w14:paraId="2C9F6D61">
            <w:pPr>
              <w:adjustRightInd w:val="0"/>
              <w:snapToGrid w:val="0"/>
              <w:spacing w:line="240" w:lineRule="auto"/>
              <w:ind w:firstLine="0" w:firstLineChars="0"/>
              <w:jc w:val="center"/>
              <w:rPr>
                <w:sz w:val="21"/>
                <w:szCs w:val="21"/>
              </w:rPr>
            </w:pPr>
            <w:r>
              <w:rPr>
                <w:rFonts w:hint="eastAsia"/>
                <w:sz w:val="21"/>
                <w:szCs w:val="21"/>
              </w:rPr>
              <w:t>环保投资（万元）</w:t>
            </w:r>
          </w:p>
        </w:tc>
        <w:tc>
          <w:tcPr>
            <w:tcW w:w="2748" w:type="dxa"/>
            <w:gridSpan w:val="2"/>
            <w:vAlign w:val="center"/>
          </w:tcPr>
          <w:p w14:paraId="7B33EAC5">
            <w:pPr>
              <w:adjustRightInd w:val="0"/>
              <w:snapToGrid w:val="0"/>
              <w:spacing w:line="240" w:lineRule="auto"/>
              <w:ind w:firstLine="0" w:firstLineChars="0"/>
              <w:jc w:val="center"/>
              <w:rPr>
                <w:sz w:val="21"/>
                <w:szCs w:val="21"/>
              </w:rPr>
            </w:pPr>
            <w:r>
              <w:rPr>
                <w:rFonts w:hint="eastAsia"/>
                <w:sz w:val="21"/>
                <w:szCs w:val="21"/>
              </w:rPr>
              <w:t>150</w:t>
            </w:r>
          </w:p>
        </w:tc>
      </w:tr>
      <w:tr w14:paraId="03D2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7" w:hRule="atLeast"/>
          <w:jc w:val="center"/>
        </w:trPr>
        <w:tc>
          <w:tcPr>
            <w:tcW w:w="1849" w:type="dxa"/>
            <w:tcMar>
              <w:top w:w="16" w:type="dxa"/>
              <w:left w:w="16" w:type="dxa"/>
              <w:right w:w="16" w:type="dxa"/>
            </w:tcMar>
            <w:vAlign w:val="center"/>
          </w:tcPr>
          <w:p w14:paraId="6B952847">
            <w:pPr>
              <w:adjustRightInd w:val="0"/>
              <w:snapToGrid w:val="0"/>
              <w:spacing w:line="240" w:lineRule="auto"/>
              <w:ind w:firstLine="0" w:firstLineChars="0"/>
              <w:jc w:val="center"/>
              <w:rPr>
                <w:sz w:val="21"/>
                <w:szCs w:val="21"/>
              </w:rPr>
            </w:pPr>
            <w:r>
              <w:rPr>
                <w:rFonts w:hint="eastAsia"/>
                <w:sz w:val="21"/>
                <w:szCs w:val="21"/>
              </w:rPr>
              <w:t>环保投资占比（%）</w:t>
            </w:r>
          </w:p>
        </w:tc>
        <w:tc>
          <w:tcPr>
            <w:tcW w:w="2149" w:type="dxa"/>
            <w:vAlign w:val="center"/>
          </w:tcPr>
          <w:p w14:paraId="54372553">
            <w:pPr>
              <w:adjustRightInd w:val="0"/>
              <w:snapToGrid w:val="0"/>
              <w:spacing w:line="240" w:lineRule="auto"/>
              <w:ind w:firstLine="0" w:firstLineChars="0"/>
              <w:jc w:val="center"/>
              <w:rPr>
                <w:sz w:val="21"/>
                <w:szCs w:val="21"/>
              </w:rPr>
            </w:pPr>
            <w:r>
              <w:rPr>
                <w:rFonts w:hint="eastAsia"/>
                <w:sz w:val="21"/>
                <w:szCs w:val="21"/>
              </w:rPr>
              <w:t>0.83%</w:t>
            </w:r>
          </w:p>
        </w:tc>
        <w:tc>
          <w:tcPr>
            <w:tcW w:w="2078" w:type="dxa"/>
            <w:tcMar>
              <w:top w:w="16" w:type="dxa"/>
              <w:left w:w="16" w:type="dxa"/>
              <w:right w:w="16" w:type="dxa"/>
            </w:tcMar>
            <w:vAlign w:val="center"/>
          </w:tcPr>
          <w:p w14:paraId="629FD2F7">
            <w:pPr>
              <w:adjustRightInd w:val="0"/>
              <w:snapToGrid w:val="0"/>
              <w:spacing w:line="240" w:lineRule="auto"/>
              <w:ind w:firstLine="0" w:firstLineChars="0"/>
              <w:jc w:val="center"/>
              <w:rPr>
                <w:sz w:val="21"/>
                <w:szCs w:val="21"/>
              </w:rPr>
            </w:pPr>
            <w:r>
              <w:rPr>
                <w:rFonts w:hint="eastAsia"/>
                <w:sz w:val="21"/>
                <w:szCs w:val="21"/>
              </w:rPr>
              <w:t>施工工期</w:t>
            </w:r>
          </w:p>
        </w:tc>
        <w:tc>
          <w:tcPr>
            <w:tcW w:w="2748" w:type="dxa"/>
            <w:gridSpan w:val="2"/>
            <w:vAlign w:val="center"/>
          </w:tcPr>
          <w:p w14:paraId="286D4A90">
            <w:pPr>
              <w:adjustRightInd w:val="0"/>
              <w:snapToGrid w:val="0"/>
              <w:spacing w:line="240" w:lineRule="auto"/>
              <w:ind w:firstLine="0" w:firstLineChars="0"/>
              <w:jc w:val="center"/>
              <w:rPr>
                <w:sz w:val="21"/>
                <w:szCs w:val="21"/>
              </w:rPr>
            </w:pPr>
            <w:r>
              <w:rPr>
                <w:rFonts w:hint="eastAsia"/>
                <w:sz w:val="21"/>
                <w:szCs w:val="21"/>
              </w:rPr>
              <w:t>24个月</w:t>
            </w:r>
          </w:p>
        </w:tc>
      </w:tr>
      <w:tr w14:paraId="554D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7" w:hRule="atLeast"/>
          <w:jc w:val="center"/>
        </w:trPr>
        <w:tc>
          <w:tcPr>
            <w:tcW w:w="1849" w:type="dxa"/>
            <w:tcMar>
              <w:top w:w="16" w:type="dxa"/>
              <w:left w:w="16" w:type="dxa"/>
              <w:right w:w="16" w:type="dxa"/>
            </w:tcMar>
            <w:vAlign w:val="center"/>
          </w:tcPr>
          <w:p w14:paraId="34209373">
            <w:pPr>
              <w:adjustRightInd w:val="0"/>
              <w:snapToGrid w:val="0"/>
              <w:spacing w:line="240" w:lineRule="auto"/>
              <w:ind w:firstLine="0" w:firstLineChars="0"/>
              <w:jc w:val="center"/>
              <w:rPr>
                <w:sz w:val="21"/>
                <w:szCs w:val="21"/>
              </w:rPr>
            </w:pPr>
            <w:r>
              <w:rPr>
                <w:rFonts w:hint="eastAsia"/>
                <w:sz w:val="21"/>
                <w:szCs w:val="21"/>
              </w:rPr>
              <w:t>是否开工建设</w:t>
            </w:r>
          </w:p>
        </w:tc>
        <w:tc>
          <w:tcPr>
            <w:tcW w:w="2149" w:type="dxa"/>
            <w:vAlign w:val="center"/>
          </w:tcPr>
          <w:p w14:paraId="60C56024">
            <w:pPr>
              <w:adjustRightInd w:val="0"/>
              <w:snapToGrid w:val="0"/>
              <w:spacing w:line="240" w:lineRule="auto"/>
              <w:ind w:firstLine="0" w:firstLineChars="0"/>
              <w:rPr>
                <w:sz w:val="21"/>
                <w:szCs w:val="21"/>
              </w:rPr>
            </w:pPr>
            <w:r>
              <w:rPr>
                <w:rFonts w:hint="eastAsia"/>
                <w:sz w:val="21"/>
                <w:szCs w:val="21"/>
              </w:rPr>
              <w:sym w:font="Wingdings 2" w:char="F052"/>
            </w:r>
            <w:r>
              <w:rPr>
                <w:rFonts w:hint="eastAsia"/>
                <w:sz w:val="21"/>
                <w:szCs w:val="21"/>
              </w:rPr>
              <w:t>否</w:t>
            </w:r>
          </w:p>
          <w:p w14:paraId="0F063C38">
            <w:pPr>
              <w:adjustRightInd w:val="0"/>
              <w:snapToGrid w:val="0"/>
              <w:spacing w:line="240" w:lineRule="auto"/>
              <w:ind w:firstLine="0" w:firstLineChars="0"/>
              <w:rPr>
                <w:sz w:val="21"/>
                <w:szCs w:val="21"/>
              </w:rPr>
            </w:pPr>
            <w:r>
              <w:rPr>
                <w:rFonts w:hint="eastAsia"/>
                <w:sz w:val="21"/>
                <w:szCs w:val="21"/>
              </w:rPr>
              <w:sym w:font="Wingdings 2" w:char="00A3"/>
            </w:r>
            <w:r>
              <w:rPr>
                <w:rFonts w:hint="eastAsia"/>
                <w:sz w:val="21"/>
                <w:szCs w:val="21"/>
              </w:rPr>
              <w:t>是：</w:t>
            </w:r>
            <w:r>
              <w:rPr>
                <w:rFonts w:hint="eastAsia"/>
                <w:sz w:val="21"/>
                <w:szCs w:val="21"/>
                <w:u w:val="single"/>
              </w:rPr>
              <w:t xml:space="preserve">             </w:t>
            </w:r>
          </w:p>
        </w:tc>
        <w:tc>
          <w:tcPr>
            <w:tcW w:w="2078" w:type="dxa"/>
            <w:tcMar>
              <w:top w:w="16" w:type="dxa"/>
              <w:left w:w="16" w:type="dxa"/>
              <w:right w:w="16" w:type="dxa"/>
            </w:tcMar>
            <w:vAlign w:val="center"/>
          </w:tcPr>
          <w:p w14:paraId="7D40DC79">
            <w:pPr>
              <w:adjustRightInd w:val="0"/>
              <w:snapToGrid w:val="0"/>
              <w:spacing w:line="240" w:lineRule="auto"/>
              <w:ind w:firstLine="0" w:firstLineChars="0"/>
              <w:jc w:val="center"/>
              <w:rPr>
                <w:spacing w:val="-6"/>
                <w:sz w:val="21"/>
                <w:szCs w:val="21"/>
              </w:rPr>
            </w:pPr>
            <w:r>
              <w:rPr>
                <w:rFonts w:hint="eastAsia"/>
                <w:spacing w:val="-6"/>
                <w:sz w:val="21"/>
                <w:szCs w:val="21"/>
              </w:rPr>
              <w:t>用地（用海）</w:t>
            </w:r>
          </w:p>
          <w:p w14:paraId="3C570DA3">
            <w:pPr>
              <w:adjustRightInd w:val="0"/>
              <w:snapToGrid w:val="0"/>
              <w:spacing w:line="240" w:lineRule="auto"/>
              <w:ind w:firstLine="0" w:firstLineChars="0"/>
              <w:jc w:val="center"/>
              <w:rPr>
                <w:sz w:val="21"/>
                <w:szCs w:val="21"/>
              </w:rPr>
            </w:pPr>
            <w:r>
              <w:rPr>
                <w:rFonts w:hint="eastAsia"/>
                <w:spacing w:val="-6"/>
                <w:sz w:val="21"/>
                <w:szCs w:val="21"/>
              </w:rPr>
              <w:t>面积（m</w:t>
            </w:r>
            <w:r>
              <w:rPr>
                <w:rFonts w:hint="eastAsia"/>
                <w:spacing w:val="-6"/>
                <w:sz w:val="21"/>
                <w:szCs w:val="21"/>
                <w:vertAlign w:val="superscript"/>
              </w:rPr>
              <w:t>2</w:t>
            </w:r>
            <w:r>
              <w:rPr>
                <w:rFonts w:hint="eastAsia"/>
                <w:spacing w:val="-6"/>
                <w:sz w:val="21"/>
                <w:szCs w:val="21"/>
              </w:rPr>
              <w:t>）</w:t>
            </w:r>
          </w:p>
        </w:tc>
        <w:tc>
          <w:tcPr>
            <w:tcW w:w="2748" w:type="dxa"/>
            <w:gridSpan w:val="2"/>
            <w:vAlign w:val="center"/>
          </w:tcPr>
          <w:p w14:paraId="72B2ED78">
            <w:pPr>
              <w:adjustRightInd w:val="0"/>
              <w:snapToGrid w:val="0"/>
              <w:spacing w:line="240" w:lineRule="auto"/>
              <w:ind w:firstLine="0" w:firstLineChars="0"/>
              <w:jc w:val="center"/>
              <w:rPr>
                <w:sz w:val="21"/>
                <w:szCs w:val="21"/>
              </w:rPr>
            </w:pPr>
            <w:r>
              <w:rPr>
                <w:rFonts w:hint="eastAsia"/>
                <w:sz w:val="21"/>
                <w:szCs w:val="21"/>
              </w:rPr>
              <w:t>9746</w:t>
            </w:r>
          </w:p>
        </w:tc>
      </w:tr>
      <w:tr w14:paraId="1B0F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21" w:hRule="atLeast"/>
          <w:jc w:val="center"/>
        </w:trPr>
        <w:tc>
          <w:tcPr>
            <w:tcW w:w="1849" w:type="dxa"/>
            <w:vAlign w:val="center"/>
          </w:tcPr>
          <w:p w14:paraId="07A55923">
            <w:pPr>
              <w:autoSpaceDE w:val="0"/>
              <w:autoSpaceDN w:val="0"/>
              <w:adjustRightInd w:val="0"/>
              <w:snapToGrid w:val="0"/>
              <w:spacing w:line="240" w:lineRule="auto"/>
              <w:ind w:firstLine="0" w:firstLineChars="0"/>
              <w:jc w:val="center"/>
              <w:rPr>
                <w:kern w:val="0"/>
                <w:sz w:val="21"/>
                <w:szCs w:val="21"/>
              </w:rPr>
            </w:pPr>
            <w:r>
              <w:rPr>
                <w:rFonts w:hint="eastAsia"/>
                <w:kern w:val="0"/>
                <w:sz w:val="21"/>
                <w:szCs w:val="21"/>
              </w:rPr>
              <w:t>专项评价设置情况</w:t>
            </w:r>
          </w:p>
        </w:tc>
        <w:tc>
          <w:tcPr>
            <w:tcW w:w="6975" w:type="dxa"/>
            <w:gridSpan w:val="4"/>
            <w:vAlign w:val="center"/>
          </w:tcPr>
          <w:p w14:paraId="6D593954">
            <w:pPr>
              <w:pStyle w:val="46"/>
              <w:spacing w:line="240" w:lineRule="auto"/>
              <w:ind w:firstLine="0" w:firstLineChars="0"/>
              <w:rPr>
                <w:color w:val="auto"/>
                <w:sz w:val="21"/>
                <w:szCs w:val="21"/>
              </w:rPr>
            </w:pPr>
            <w:r>
              <w:rPr>
                <w:rFonts w:hint="eastAsia"/>
                <w:color w:val="auto"/>
                <w:sz w:val="21"/>
                <w:szCs w:val="21"/>
              </w:rPr>
              <w:t>专项评价设置原则表</w:t>
            </w:r>
          </w:p>
          <w:tbl>
            <w:tblPr>
              <w:tblStyle w:val="17"/>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2327"/>
              <w:gridCol w:w="1350"/>
              <w:gridCol w:w="812"/>
              <w:gridCol w:w="1347"/>
            </w:tblGrid>
            <w:tr w14:paraId="0079C6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2F92C67">
                  <w:pPr>
                    <w:pStyle w:val="83"/>
                    <w:rPr>
                      <w:rFonts w:hint="default"/>
                      <w:sz w:val="18"/>
                      <w:szCs w:val="18"/>
                    </w:rPr>
                  </w:pPr>
                  <w:r>
                    <w:rPr>
                      <w:sz w:val="18"/>
                      <w:szCs w:val="18"/>
                    </w:rPr>
                    <w:t>专项评价的类别</w:t>
                  </w:r>
                </w:p>
              </w:tc>
              <w:tc>
                <w:tcPr>
                  <w:tcW w:w="2327" w:type="dxa"/>
                  <w:vAlign w:val="center"/>
                </w:tcPr>
                <w:p w14:paraId="7C2919A5">
                  <w:pPr>
                    <w:pStyle w:val="83"/>
                    <w:rPr>
                      <w:rFonts w:hint="default"/>
                      <w:sz w:val="18"/>
                      <w:szCs w:val="18"/>
                    </w:rPr>
                  </w:pPr>
                  <w:r>
                    <w:rPr>
                      <w:sz w:val="18"/>
                      <w:szCs w:val="18"/>
                    </w:rPr>
                    <w:t>设置原则</w:t>
                  </w:r>
                </w:p>
              </w:tc>
              <w:tc>
                <w:tcPr>
                  <w:tcW w:w="1350" w:type="dxa"/>
                  <w:vAlign w:val="center"/>
                </w:tcPr>
                <w:p w14:paraId="4FC9D1EA">
                  <w:pPr>
                    <w:pStyle w:val="83"/>
                    <w:rPr>
                      <w:rFonts w:hint="default"/>
                      <w:sz w:val="18"/>
                      <w:szCs w:val="18"/>
                    </w:rPr>
                  </w:pPr>
                  <w:r>
                    <w:rPr>
                      <w:sz w:val="18"/>
                      <w:szCs w:val="18"/>
                    </w:rPr>
                    <w:t>本项目主要污染因子</w:t>
                  </w:r>
                </w:p>
              </w:tc>
              <w:tc>
                <w:tcPr>
                  <w:tcW w:w="812" w:type="dxa"/>
                  <w:vAlign w:val="center"/>
                </w:tcPr>
                <w:p w14:paraId="0C86EB55">
                  <w:pPr>
                    <w:pStyle w:val="83"/>
                    <w:rPr>
                      <w:rFonts w:hint="default"/>
                      <w:sz w:val="18"/>
                      <w:szCs w:val="18"/>
                    </w:rPr>
                  </w:pPr>
                  <w:r>
                    <w:rPr>
                      <w:sz w:val="18"/>
                      <w:szCs w:val="18"/>
                    </w:rPr>
                    <w:t>是否设置专题</w:t>
                  </w:r>
                </w:p>
              </w:tc>
              <w:tc>
                <w:tcPr>
                  <w:tcW w:w="1347" w:type="dxa"/>
                  <w:vAlign w:val="center"/>
                </w:tcPr>
                <w:p w14:paraId="2EFECFE1">
                  <w:pPr>
                    <w:pStyle w:val="83"/>
                    <w:rPr>
                      <w:rFonts w:hint="default"/>
                      <w:sz w:val="18"/>
                      <w:szCs w:val="18"/>
                    </w:rPr>
                  </w:pPr>
                  <w:r>
                    <w:rPr>
                      <w:sz w:val="18"/>
                      <w:szCs w:val="18"/>
                    </w:rPr>
                    <w:t>判定依据</w:t>
                  </w:r>
                </w:p>
              </w:tc>
            </w:tr>
            <w:tr w14:paraId="378DF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5ACD6F8E">
                  <w:pPr>
                    <w:pStyle w:val="83"/>
                    <w:rPr>
                      <w:rFonts w:hint="default"/>
                      <w:sz w:val="18"/>
                      <w:szCs w:val="18"/>
                    </w:rPr>
                  </w:pPr>
                  <w:r>
                    <w:rPr>
                      <w:sz w:val="18"/>
                      <w:szCs w:val="18"/>
                    </w:rPr>
                    <w:t>大气</w:t>
                  </w:r>
                </w:p>
              </w:tc>
              <w:tc>
                <w:tcPr>
                  <w:tcW w:w="2327" w:type="dxa"/>
                  <w:vAlign w:val="center"/>
                </w:tcPr>
                <w:p w14:paraId="163D91CD">
                  <w:pPr>
                    <w:pStyle w:val="83"/>
                    <w:rPr>
                      <w:rFonts w:hint="default"/>
                      <w:sz w:val="18"/>
                      <w:szCs w:val="18"/>
                    </w:rPr>
                  </w:pPr>
                  <w:r>
                    <w:rPr>
                      <w:sz w:val="18"/>
                      <w:szCs w:val="18"/>
                    </w:rPr>
                    <w:t>排放废气含有毒有害污染物（二氯甲烷、三氯甲烷、三氯乙烯、四氯乙烯、甲醛、乙醛、镉及其化合物、铬及其化合物、汞及其化合物、铅及其化合物、砷及其化合物）、二噁英、苯并[a]芘、氰化物、氯气且厂界外500米范围内有环境空气保护目标的建设项目</w:t>
                  </w:r>
                </w:p>
              </w:tc>
              <w:tc>
                <w:tcPr>
                  <w:tcW w:w="1350" w:type="dxa"/>
                  <w:vAlign w:val="center"/>
                </w:tcPr>
                <w:p w14:paraId="530F2409">
                  <w:pPr>
                    <w:pStyle w:val="83"/>
                    <w:rPr>
                      <w:rFonts w:hint="default"/>
                      <w:sz w:val="18"/>
                      <w:szCs w:val="18"/>
                    </w:rPr>
                  </w:pPr>
                  <w:r>
                    <w:rPr>
                      <w:sz w:val="18"/>
                      <w:szCs w:val="18"/>
                    </w:rPr>
                    <w:t>本项目废气主要污染因子为非甲烷总烃和颗粒物，不含导则判定的有毒有害污染物</w:t>
                  </w:r>
                </w:p>
              </w:tc>
              <w:tc>
                <w:tcPr>
                  <w:tcW w:w="812" w:type="dxa"/>
                  <w:vAlign w:val="center"/>
                </w:tcPr>
                <w:p w14:paraId="06E660D0">
                  <w:pPr>
                    <w:pStyle w:val="83"/>
                    <w:rPr>
                      <w:rFonts w:hint="default"/>
                      <w:sz w:val="18"/>
                      <w:szCs w:val="18"/>
                    </w:rPr>
                  </w:pPr>
                  <w:r>
                    <w:rPr>
                      <w:sz w:val="18"/>
                      <w:szCs w:val="18"/>
                    </w:rPr>
                    <w:t>否</w:t>
                  </w:r>
                </w:p>
              </w:tc>
              <w:tc>
                <w:tcPr>
                  <w:tcW w:w="1347" w:type="dxa"/>
                  <w:vAlign w:val="center"/>
                </w:tcPr>
                <w:p w14:paraId="4F1CC27C">
                  <w:pPr>
                    <w:pStyle w:val="83"/>
                    <w:rPr>
                      <w:rFonts w:hint="default"/>
                      <w:sz w:val="18"/>
                      <w:szCs w:val="18"/>
                    </w:rPr>
                  </w:pPr>
                  <w:r>
                    <w:rPr>
                      <w:sz w:val="18"/>
                      <w:szCs w:val="18"/>
                    </w:rPr>
                    <w:sym w:font="Wingdings 2" w:char="00A3"/>
                  </w:r>
                  <w:r>
                    <w:rPr>
                      <w:sz w:val="18"/>
                      <w:szCs w:val="18"/>
                    </w:rPr>
                    <w:t>含有毒有害污染物</w:t>
                  </w:r>
                </w:p>
                <w:p w14:paraId="1D5DEE5C">
                  <w:pPr>
                    <w:pStyle w:val="83"/>
                    <w:rPr>
                      <w:rFonts w:hint="default"/>
                      <w:sz w:val="18"/>
                      <w:szCs w:val="18"/>
                    </w:rPr>
                  </w:pPr>
                  <w:r>
                    <w:rPr>
                      <w:sz w:val="18"/>
                      <w:szCs w:val="18"/>
                    </w:rPr>
                    <w:sym w:font="Wingdings 2" w:char="00A3"/>
                  </w:r>
                  <w:r>
                    <w:rPr>
                      <w:sz w:val="18"/>
                      <w:szCs w:val="18"/>
                    </w:rPr>
                    <w:t>500m范围内有敏感目标</w:t>
                  </w:r>
                </w:p>
              </w:tc>
            </w:tr>
            <w:tr w14:paraId="37EE2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5BF1301F">
                  <w:pPr>
                    <w:pStyle w:val="83"/>
                    <w:rPr>
                      <w:rFonts w:hint="default"/>
                      <w:sz w:val="18"/>
                      <w:szCs w:val="18"/>
                    </w:rPr>
                  </w:pPr>
                  <w:r>
                    <w:rPr>
                      <w:sz w:val="18"/>
                      <w:szCs w:val="18"/>
                    </w:rPr>
                    <w:t>地表水</w:t>
                  </w:r>
                </w:p>
              </w:tc>
              <w:tc>
                <w:tcPr>
                  <w:tcW w:w="2327" w:type="dxa"/>
                  <w:vAlign w:val="center"/>
                </w:tcPr>
                <w:p w14:paraId="4ECFFED6">
                  <w:pPr>
                    <w:pStyle w:val="83"/>
                    <w:rPr>
                      <w:rFonts w:hint="default"/>
                      <w:sz w:val="18"/>
                      <w:szCs w:val="18"/>
                    </w:rPr>
                  </w:pPr>
                  <w:r>
                    <w:rPr>
                      <w:sz w:val="18"/>
                      <w:szCs w:val="18"/>
                    </w:rPr>
                    <w:t>新增工业废水直排建设项目（槽罐车外送污水处理厂的除外）；</w:t>
                  </w:r>
                </w:p>
                <w:p w14:paraId="1C702EF6">
                  <w:pPr>
                    <w:pStyle w:val="83"/>
                    <w:rPr>
                      <w:rFonts w:hint="default"/>
                      <w:sz w:val="18"/>
                      <w:szCs w:val="18"/>
                    </w:rPr>
                  </w:pPr>
                  <w:r>
                    <w:rPr>
                      <w:sz w:val="18"/>
                      <w:szCs w:val="18"/>
                    </w:rPr>
                    <w:t>新增废水直排的污水集中处理厂</w:t>
                  </w:r>
                </w:p>
              </w:tc>
              <w:tc>
                <w:tcPr>
                  <w:tcW w:w="1350" w:type="dxa"/>
                  <w:vAlign w:val="center"/>
                </w:tcPr>
                <w:p w14:paraId="16C65754">
                  <w:pPr>
                    <w:pStyle w:val="83"/>
                    <w:rPr>
                      <w:rFonts w:hint="default"/>
                      <w:sz w:val="18"/>
                      <w:szCs w:val="18"/>
                    </w:rPr>
                  </w:pPr>
                  <w:r>
                    <w:rPr>
                      <w:sz w:val="18"/>
                      <w:szCs w:val="18"/>
                    </w:rPr>
                    <w:t>项目生产废水经企业污水处理站预处理后经市政管网接入滨海工业污水处理厂集中处理，不直排周边水体</w:t>
                  </w:r>
                </w:p>
              </w:tc>
              <w:tc>
                <w:tcPr>
                  <w:tcW w:w="812" w:type="dxa"/>
                  <w:vAlign w:val="center"/>
                </w:tcPr>
                <w:p w14:paraId="521101B0">
                  <w:pPr>
                    <w:pStyle w:val="83"/>
                    <w:rPr>
                      <w:rFonts w:hint="default"/>
                      <w:sz w:val="18"/>
                      <w:szCs w:val="18"/>
                    </w:rPr>
                  </w:pPr>
                  <w:r>
                    <w:rPr>
                      <w:sz w:val="18"/>
                      <w:szCs w:val="18"/>
                    </w:rPr>
                    <w:t>否</w:t>
                  </w:r>
                </w:p>
              </w:tc>
              <w:tc>
                <w:tcPr>
                  <w:tcW w:w="1347" w:type="dxa"/>
                  <w:vAlign w:val="center"/>
                </w:tcPr>
                <w:p w14:paraId="717AA469">
                  <w:pPr>
                    <w:pStyle w:val="83"/>
                    <w:rPr>
                      <w:rFonts w:hint="default"/>
                      <w:sz w:val="18"/>
                      <w:szCs w:val="18"/>
                    </w:rPr>
                  </w:pPr>
                  <w:r>
                    <w:rPr>
                      <w:sz w:val="18"/>
                      <w:szCs w:val="18"/>
                    </w:rPr>
                    <w:sym w:font="Wingdings 2" w:char="00A3"/>
                  </w:r>
                  <w:r>
                    <w:rPr>
                      <w:sz w:val="18"/>
                      <w:szCs w:val="18"/>
                    </w:rPr>
                    <w:t>新增工业废水直排</w:t>
                  </w:r>
                </w:p>
                <w:p w14:paraId="09024A6E">
                  <w:pPr>
                    <w:pStyle w:val="83"/>
                    <w:rPr>
                      <w:rFonts w:hint="default"/>
                      <w:sz w:val="18"/>
                      <w:szCs w:val="18"/>
                    </w:rPr>
                  </w:pPr>
                  <w:r>
                    <w:rPr>
                      <w:sz w:val="18"/>
                      <w:szCs w:val="18"/>
                    </w:rPr>
                    <w:sym w:font="Wingdings 2" w:char="00A3"/>
                  </w:r>
                  <w:r>
                    <w:rPr>
                      <w:sz w:val="18"/>
                      <w:szCs w:val="18"/>
                    </w:rPr>
                    <w:t>新增废水直排的污水集中处理厂</w:t>
                  </w:r>
                </w:p>
              </w:tc>
            </w:tr>
            <w:tr w14:paraId="2BD6E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45A3AA64">
                  <w:pPr>
                    <w:pStyle w:val="83"/>
                    <w:rPr>
                      <w:rFonts w:hint="default"/>
                      <w:sz w:val="18"/>
                      <w:szCs w:val="18"/>
                    </w:rPr>
                  </w:pPr>
                  <w:r>
                    <w:rPr>
                      <w:sz w:val="18"/>
                      <w:szCs w:val="18"/>
                    </w:rPr>
                    <w:t>环境风险</w:t>
                  </w:r>
                </w:p>
              </w:tc>
              <w:tc>
                <w:tcPr>
                  <w:tcW w:w="2327" w:type="dxa"/>
                  <w:vAlign w:val="center"/>
                </w:tcPr>
                <w:p w14:paraId="32CC9552">
                  <w:pPr>
                    <w:pStyle w:val="83"/>
                    <w:rPr>
                      <w:rFonts w:hint="default"/>
                      <w:sz w:val="18"/>
                      <w:szCs w:val="18"/>
                    </w:rPr>
                  </w:pPr>
                  <w:r>
                    <w:rPr>
                      <w:sz w:val="18"/>
                      <w:szCs w:val="18"/>
                    </w:rPr>
                    <w:t>有毒有害和易燃易爆危险物质存在超过临界量的建设项目</w:t>
                  </w:r>
                </w:p>
              </w:tc>
              <w:tc>
                <w:tcPr>
                  <w:tcW w:w="1350" w:type="dxa"/>
                  <w:vAlign w:val="center"/>
                </w:tcPr>
                <w:p w14:paraId="6D894034">
                  <w:pPr>
                    <w:pStyle w:val="83"/>
                    <w:rPr>
                      <w:rFonts w:hint="default"/>
                      <w:sz w:val="18"/>
                      <w:szCs w:val="18"/>
                    </w:rPr>
                  </w:pPr>
                  <w:r>
                    <w:rPr>
                      <w:sz w:val="18"/>
                      <w:szCs w:val="18"/>
                    </w:rPr>
                    <w:t>本项目Q=0.00635</w:t>
                  </w:r>
                </w:p>
              </w:tc>
              <w:tc>
                <w:tcPr>
                  <w:tcW w:w="812" w:type="dxa"/>
                  <w:vAlign w:val="center"/>
                </w:tcPr>
                <w:p w14:paraId="45710DCA">
                  <w:pPr>
                    <w:pStyle w:val="83"/>
                    <w:rPr>
                      <w:rFonts w:hint="default"/>
                      <w:sz w:val="18"/>
                      <w:szCs w:val="18"/>
                    </w:rPr>
                  </w:pPr>
                  <w:r>
                    <w:rPr>
                      <w:sz w:val="18"/>
                      <w:szCs w:val="18"/>
                    </w:rPr>
                    <w:t>否</w:t>
                  </w:r>
                </w:p>
              </w:tc>
              <w:tc>
                <w:tcPr>
                  <w:tcW w:w="1347" w:type="dxa"/>
                  <w:vAlign w:val="center"/>
                </w:tcPr>
                <w:p w14:paraId="1D2AE4D0">
                  <w:pPr>
                    <w:pStyle w:val="83"/>
                    <w:rPr>
                      <w:rFonts w:hint="default"/>
                      <w:sz w:val="18"/>
                      <w:szCs w:val="18"/>
                    </w:rPr>
                  </w:pPr>
                  <w:r>
                    <w:rPr>
                      <w:sz w:val="18"/>
                      <w:szCs w:val="18"/>
                    </w:rPr>
                    <w:sym w:font="Wingdings 2" w:char="00A3"/>
                  </w:r>
                  <w:r>
                    <w:rPr>
                      <w:sz w:val="18"/>
                      <w:szCs w:val="18"/>
                    </w:rPr>
                    <w:t>Q≥1</w:t>
                  </w:r>
                </w:p>
                <w:p w14:paraId="1198BEA8">
                  <w:pPr>
                    <w:pStyle w:val="83"/>
                    <w:rPr>
                      <w:rFonts w:hint="default"/>
                      <w:sz w:val="18"/>
                      <w:szCs w:val="18"/>
                    </w:rPr>
                  </w:pPr>
                  <w:r>
                    <w:rPr>
                      <w:sz w:val="18"/>
                      <w:szCs w:val="18"/>
                    </w:rPr>
                    <w:sym w:font="Wingdings 2" w:char="F052"/>
                  </w:r>
                  <w:r>
                    <w:rPr>
                      <w:sz w:val="18"/>
                      <w:szCs w:val="18"/>
                    </w:rPr>
                    <w:t>Q＜1</w:t>
                  </w:r>
                </w:p>
              </w:tc>
            </w:tr>
            <w:tr w14:paraId="4FEEC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6DFF9EC7">
                  <w:pPr>
                    <w:pStyle w:val="83"/>
                    <w:rPr>
                      <w:rFonts w:hint="default"/>
                      <w:sz w:val="18"/>
                      <w:szCs w:val="18"/>
                    </w:rPr>
                  </w:pPr>
                  <w:r>
                    <w:rPr>
                      <w:sz w:val="18"/>
                      <w:szCs w:val="18"/>
                    </w:rPr>
                    <w:t>生态</w:t>
                  </w:r>
                </w:p>
              </w:tc>
              <w:tc>
                <w:tcPr>
                  <w:tcW w:w="2327" w:type="dxa"/>
                  <w:vAlign w:val="center"/>
                </w:tcPr>
                <w:p w14:paraId="027B1A3A">
                  <w:pPr>
                    <w:pStyle w:val="83"/>
                    <w:rPr>
                      <w:rFonts w:hint="default"/>
                      <w:sz w:val="18"/>
                      <w:szCs w:val="18"/>
                    </w:rPr>
                  </w:pPr>
                  <w:r>
                    <w:rPr>
                      <w:sz w:val="18"/>
                      <w:szCs w:val="18"/>
                    </w:rPr>
                    <w:t>取水口下游500米范围内有重要水生生物的自然产卵场、索饵场、越冬场和洄游通道的新增河道取水的污染类建设项目</w:t>
                  </w:r>
                </w:p>
              </w:tc>
              <w:tc>
                <w:tcPr>
                  <w:tcW w:w="1350" w:type="dxa"/>
                  <w:vAlign w:val="center"/>
                </w:tcPr>
                <w:p w14:paraId="47A9E622">
                  <w:pPr>
                    <w:pStyle w:val="83"/>
                    <w:rPr>
                      <w:rFonts w:hint="default"/>
                      <w:sz w:val="18"/>
                      <w:szCs w:val="18"/>
                    </w:rPr>
                  </w:pPr>
                  <w:r>
                    <w:rPr>
                      <w:sz w:val="18"/>
                      <w:szCs w:val="18"/>
                    </w:rPr>
                    <w:t>本项目由市政管网集中供水</w:t>
                  </w:r>
                </w:p>
              </w:tc>
              <w:tc>
                <w:tcPr>
                  <w:tcW w:w="812" w:type="dxa"/>
                  <w:vAlign w:val="center"/>
                </w:tcPr>
                <w:p w14:paraId="5BEE6FA2">
                  <w:pPr>
                    <w:pStyle w:val="83"/>
                    <w:rPr>
                      <w:rFonts w:hint="default"/>
                      <w:sz w:val="18"/>
                      <w:szCs w:val="18"/>
                    </w:rPr>
                  </w:pPr>
                  <w:r>
                    <w:rPr>
                      <w:sz w:val="18"/>
                      <w:szCs w:val="18"/>
                    </w:rPr>
                    <w:t>否</w:t>
                  </w:r>
                </w:p>
              </w:tc>
              <w:tc>
                <w:tcPr>
                  <w:tcW w:w="1347" w:type="dxa"/>
                  <w:vAlign w:val="center"/>
                </w:tcPr>
                <w:p w14:paraId="653D7D0E">
                  <w:pPr>
                    <w:pStyle w:val="83"/>
                    <w:rPr>
                      <w:rFonts w:hint="default"/>
                      <w:sz w:val="18"/>
                      <w:szCs w:val="18"/>
                    </w:rPr>
                  </w:pPr>
                  <w:r>
                    <w:rPr>
                      <w:sz w:val="18"/>
                      <w:szCs w:val="18"/>
                    </w:rPr>
                    <w:sym w:font="Wingdings 2" w:char="00A3"/>
                  </w:r>
                  <w:r>
                    <w:rPr>
                      <w:sz w:val="18"/>
                      <w:szCs w:val="18"/>
                    </w:rPr>
                    <w:t>涉及取水口</w:t>
                  </w:r>
                </w:p>
                <w:p w14:paraId="02F36ED0">
                  <w:pPr>
                    <w:pStyle w:val="83"/>
                    <w:rPr>
                      <w:rFonts w:hint="default"/>
                      <w:sz w:val="18"/>
                      <w:szCs w:val="18"/>
                    </w:rPr>
                  </w:pPr>
                  <w:r>
                    <w:rPr>
                      <w:sz w:val="18"/>
                      <w:szCs w:val="18"/>
                    </w:rPr>
                    <w:sym w:font="Wingdings 2" w:char="00A3"/>
                  </w:r>
                  <w:r>
                    <w:rPr>
                      <w:sz w:val="18"/>
                      <w:szCs w:val="18"/>
                    </w:rPr>
                    <w:t>取水口下游500米有上述敏感目标</w:t>
                  </w:r>
                </w:p>
              </w:tc>
            </w:tr>
            <w:tr w14:paraId="1520FD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8" w:type="dxa"/>
                  <w:vAlign w:val="center"/>
                </w:tcPr>
                <w:p w14:paraId="15E8EF69">
                  <w:pPr>
                    <w:pStyle w:val="83"/>
                    <w:rPr>
                      <w:rFonts w:hint="default"/>
                      <w:sz w:val="18"/>
                      <w:szCs w:val="18"/>
                    </w:rPr>
                  </w:pPr>
                  <w:r>
                    <w:rPr>
                      <w:sz w:val="18"/>
                      <w:szCs w:val="18"/>
                    </w:rPr>
                    <w:t>海洋</w:t>
                  </w:r>
                </w:p>
              </w:tc>
              <w:tc>
                <w:tcPr>
                  <w:tcW w:w="2327" w:type="dxa"/>
                  <w:vAlign w:val="center"/>
                </w:tcPr>
                <w:p w14:paraId="24353955">
                  <w:pPr>
                    <w:pStyle w:val="83"/>
                    <w:rPr>
                      <w:rFonts w:hint="default"/>
                      <w:sz w:val="18"/>
                      <w:szCs w:val="18"/>
                    </w:rPr>
                  </w:pPr>
                  <w:r>
                    <w:rPr>
                      <w:sz w:val="18"/>
                      <w:szCs w:val="18"/>
                    </w:rPr>
                    <w:t>直接向海排放污染物的海洋工程建设项目</w:t>
                  </w:r>
                </w:p>
              </w:tc>
              <w:tc>
                <w:tcPr>
                  <w:tcW w:w="1350" w:type="dxa"/>
                  <w:vAlign w:val="center"/>
                </w:tcPr>
                <w:p w14:paraId="28E52F79">
                  <w:pPr>
                    <w:pStyle w:val="83"/>
                    <w:rPr>
                      <w:rFonts w:hint="default"/>
                      <w:sz w:val="18"/>
                      <w:szCs w:val="18"/>
                    </w:rPr>
                  </w:pPr>
                  <w:r>
                    <w:rPr>
                      <w:sz w:val="18"/>
                      <w:szCs w:val="18"/>
                    </w:rPr>
                    <w:t>——</w:t>
                  </w:r>
                </w:p>
              </w:tc>
              <w:tc>
                <w:tcPr>
                  <w:tcW w:w="812" w:type="dxa"/>
                  <w:vAlign w:val="center"/>
                </w:tcPr>
                <w:p w14:paraId="7B5AF445">
                  <w:pPr>
                    <w:pStyle w:val="83"/>
                    <w:rPr>
                      <w:rFonts w:hint="default"/>
                      <w:sz w:val="18"/>
                      <w:szCs w:val="18"/>
                    </w:rPr>
                  </w:pPr>
                  <w:r>
                    <w:rPr>
                      <w:sz w:val="18"/>
                      <w:szCs w:val="18"/>
                    </w:rPr>
                    <w:t>否</w:t>
                  </w:r>
                </w:p>
              </w:tc>
              <w:tc>
                <w:tcPr>
                  <w:tcW w:w="1347" w:type="dxa"/>
                  <w:vAlign w:val="center"/>
                </w:tcPr>
                <w:p w14:paraId="6B59E78F">
                  <w:pPr>
                    <w:pStyle w:val="83"/>
                    <w:rPr>
                      <w:rFonts w:hint="default"/>
                      <w:sz w:val="18"/>
                      <w:szCs w:val="18"/>
                    </w:rPr>
                  </w:pPr>
                  <w:r>
                    <w:rPr>
                      <w:sz w:val="18"/>
                      <w:szCs w:val="18"/>
                    </w:rPr>
                    <w:sym w:font="Wingdings 2" w:char="00A3"/>
                  </w:r>
                  <w:r>
                    <w:rPr>
                      <w:sz w:val="18"/>
                      <w:szCs w:val="18"/>
                    </w:rPr>
                    <w:t>海洋工程建设项目</w:t>
                  </w:r>
                </w:p>
                <w:p w14:paraId="731559C0">
                  <w:pPr>
                    <w:pStyle w:val="83"/>
                    <w:rPr>
                      <w:rFonts w:hint="default"/>
                      <w:sz w:val="18"/>
                      <w:szCs w:val="18"/>
                    </w:rPr>
                  </w:pPr>
                  <w:r>
                    <w:rPr>
                      <w:sz w:val="18"/>
                      <w:szCs w:val="18"/>
                    </w:rPr>
                    <w:sym w:font="Wingdings 2" w:char="00A3"/>
                  </w:r>
                  <w:r>
                    <w:rPr>
                      <w:sz w:val="18"/>
                      <w:szCs w:val="18"/>
                    </w:rPr>
                    <w:t>直接排放海洋</w:t>
                  </w:r>
                </w:p>
              </w:tc>
            </w:tr>
          </w:tbl>
          <w:p w14:paraId="2DB88691">
            <w:pPr>
              <w:autoSpaceDE w:val="0"/>
              <w:autoSpaceDN w:val="0"/>
              <w:adjustRightInd w:val="0"/>
              <w:snapToGrid w:val="0"/>
              <w:spacing w:line="240" w:lineRule="auto"/>
              <w:ind w:firstLine="0" w:firstLineChars="0"/>
              <w:jc w:val="center"/>
              <w:rPr>
                <w:kern w:val="0"/>
                <w:sz w:val="21"/>
                <w:szCs w:val="21"/>
              </w:rPr>
            </w:pPr>
          </w:p>
        </w:tc>
      </w:tr>
      <w:tr w14:paraId="4FAB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21" w:hRule="atLeast"/>
          <w:jc w:val="center"/>
        </w:trPr>
        <w:tc>
          <w:tcPr>
            <w:tcW w:w="1849" w:type="dxa"/>
            <w:vAlign w:val="center"/>
          </w:tcPr>
          <w:p w14:paraId="329A3D96">
            <w:pPr>
              <w:autoSpaceDE w:val="0"/>
              <w:autoSpaceDN w:val="0"/>
              <w:adjustRightInd w:val="0"/>
              <w:snapToGrid w:val="0"/>
              <w:spacing w:line="240" w:lineRule="auto"/>
              <w:ind w:firstLine="0" w:firstLineChars="0"/>
              <w:jc w:val="center"/>
              <w:rPr>
                <w:kern w:val="0"/>
                <w:sz w:val="21"/>
                <w:szCs w:val="21"/>
              </w:rPr>
            </w:pPr>
            <w:r>
              <w:rPr>
                <w:rFonts w:hint="eastAsia"/>
                <w:sz w:val="21"/>
                <w:szCs w:val="21"/>
              </w:rPr>
              <w:t>规划情况</w:t>
            </w:r>
          </w:p>
        </w:tc>
        <w:tc>
          <w:tcPr>
            <w:tcW w:w="6975" w:type="dxa"/>
            <w:gridSpan w:val="4"/>
            <w:vAlign w:val="center"/>
          </w:tcPr>
          <w:p w14:paraId="623960EE">
            <w:pPr>
              <w:autoSpaceDE w:val="0"/>
              <w:autoSpaceDN w:val="0"/>
              <w:adjustRightInd w:val="0"/>
              <w:snapToGrid w:val="0"/>
              <w:ind w:firstLine="0" w:firstLineChars="0"/>
              <w:rPr>
                <w:kern w:val="0"/>
              </w:rPr>
            </w:pPr>
            <w:r>
              <w:rPr>
                <w:rFonts w:hint="eastAsia"/>
                <w:kern w:val="0"/>
              </w:rPr>
              <w:t>规划名称：《福州临空经济区产业布局规划（2021-2025）修编》</w:t>
            </w:r>
          </w:p>
          <w:p w14:paraId="4E488891">
            <w:pPr>
              <w:autoSpaceDE w:val="0"/>
              <w:autoSpaceDN w:val="0"/>
              <w:adjustRightInd w:val="0"/>
              <w:snapToGrid w:val="0"/>
              <w:ind w:firstLine="0" w:firstLineChars="0"/>
              <w:rPr>
                <w:kern w:val="0"/>
                <w:sz w:val="21"/>
                <w:szCs w:val="21"/>
              </w:rPr>
            </w:pPr>
            <w:r>
              <w:rPr>
                <w:rFonts w:hint="eastAsia"/>
                <w:kern w:val="0"/>
              </w:rPr>
              <w:t>审批机关：福州市人民政府</w:t>
            </w:r>
          </w:p>
        </w:tc>
      </w:tr>
      <w:tr w14:paraId="703D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21" w:hRule="atLeast"/>
          <w:jc w:val="center"/>
        </w:trPr>
        <w:tc>
          <w:tcPr>
            <w:tcW w:w="1849" w:type="dxa"/>
            <w:vAlign w:val="center"/>
          </w:tcPr>
          <w:p w14:paraId="124B596A">
            <w:pPr>
              <w:adjustRightInd w:val="0"/>
              <w:snapToGrid w:val="0"/>
              <w:spacing w:line="240" w:lineRule="auto"/>
              <w:ind w:firstLine="0" w:firstLineChars="0"/>
              <w:jc w:val="center"/>
              <w:rPr>
                <w:sz w:val="21"/>
                <w:szCs w:val="21"/>
              </w:rPr>
            </w:pPr>
            <w:r>
              <w:rPr>
                <w:rFonts w:hint="eastAsia"/>
                <w:sz w:val="21"/>
                <w:szCs w:val="21"/>
              </w:rPr>
              <w:t>规划环境影响</w:t>
            </w:r>
          </w:p>
          <w:p w14:paraId="6FB1FB3E">
            <w:pPr>
              <w:adjustRightInd w:val="0"/>
              <w:snapToGrid w:val="0"/>
              <w:spacing w:line="240" w:lineRule="auto"/>
              <w:ind w:firstLine="0" w:firstLineChars="0"/>
              <w:jc w:val="center"/>
              <w:rPr>
                <w:kern w:val="0"/>
                <w:sz w:val="21"/>
                <w:szCs w:val="21"/>
              </w:rPr>
            </w:pPr>
            <w:r>
              <w:rPr>
                <w:rFonts w:hint="eastAsia"/>
                <w:sz w:val="21"/>
                <w:szCs w:val="21"/>
              </w:rPr>
              <w:t>评价情况</w:t>
            </w:r>
          </w:p>
        </w:tc>
        <w:tc>
          <w:tcPr>
            <w:tcW w:w="6975" w:type="dxa"/>
            <w:gridSpan w:val="4"/>
            <w:vAlign w:val="center"/>
          </w:tcPr>
          <w:p w14:paraId="1A005B28">
            <w:pPr>
              <w:autoSpaceDE w:val="0"/>
              <w:autoSpaceDN w:val="0"/>
              <w:adjustRightInd w:val="0"/>
              <w:snapToGrid w:val="0"/>
              <w:ind w:firstLine="0" w:firstLineChars="0"/>
            </w:pPr>
            <w:r>
              <w:rPr>
                <w:rFonts w:hint="eastAsia"/>
                <w:kern w:val="0"/>
              </w:rPr>
              <w:t>规划环评名称：《</w:t>
            </w:r>
            <w:r>
              <w:rPr>
                <w:rFonts w:hint="eastAsia"/>
              </w:rPr>
              <w:t>福州临空经济区产业布局规划（2021—2025年）修编环境影响报告书》</w:t>
            </w:r>
          </w:p>
          <w:p w14:paraId="1AB5DB16">
            <w:pPr>
              <w:autoSpaceDE w:val="0"/>
              <w:autoSpaceDN w:val="0"/>
              <w:adjustRightInd w:val="0"/>
              <w:snapToGrid w:val="0"/>
              <w:ind w:firstLine="0" w:firstLineChars="0"/>
              <w:rPr>
                <w:kern w:val="0"/>
              </w:rPr>
            </w:pPr>
            <w:r>
              <w:rPr>
                <w:rFonts w:hint="eastAsia"/>
                <w:kern w:val="0"/>
              </w:rPr>
              <w:t>召集审查单位：福州市生态环境局</w:t>
            </w:r>
          </w:p>
          <w:p w14:paraId="4DA28E64">
            <w:pPr>
              <w:autoSpaceDE w:val="0"/>
              <w:autoSpaceDN w:val="0"/>
              <w:adjustRightInd w:val="0"/>
              <w:snapToGrid w:val="0"/>
              <w:ind w:firstLine="0" w:firstLineChars="0"/>
              <w:rPr>
                <w:sz w:val="21"/>
                <w:szCs w:val="21"/>
              </w:rPr>
            </w:pPr>
            <w:r>
              <w:rPr>
                <w:rFonts w:hint="eastAsia"/>
                <w:kern w:val="0"/>
              </w:rPr>
              <w:t>审批文件名称及文号：</w:t>
            </w:r>
            <w:r>
              <w:rPr>
                <w:rFonts w:hint="eastAsia"/>
              </w:rPr>
              <w:t>福州市生态环境局关于印发《福州临空经济区产业布局规划（2021—2025年）（修编）环境影响报告书》审查小组意见的通知（榕环评〔2022〕18号）</w:t>
            </w:r>
          </w:p>
        </w:tc>
      </w:tr>
      <w:tr w14:paraId="5709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21" w:hRule="atLeast"/>
          <w:jc w:val="center"/>
        </w:trPr>
        <w:tc>
          <w:tcPr>
            <w:tcW w:w="1849" w:type="dxa"/>
            <w:vAlign w:val="center"/>
          </w:tcPr>
          <w:p w14:paraId="02E69735">
            <w:pPr>
              <w:autoSpaceDE w:val="0"/>
              <w:autoSpaceDN w:val="0"/>
              <w:adjustRightInd w:val="0"/>
              <w:snapToGrid w:val="0"/>
              <w:spacing w:line="240" w:lineRule="auto"/>
              <w:ind w:firstLine="0" w:firstLineChars="0"/>
              <w:jc w:val="center"/>
              <w:rPr>
                <w:kern w:val="0"/>
                <w:sz w:val="21"/>
                <w:szCs w:val="21"/>
              </w:rPr>
            </w:pPr>
            <w:r>
              <w:rPr>
                <w:rFonts w:hint="eastAsia"/>
                <w:kern w:val="0"/>
                <w:sz w:val="21"/>
                <w:szCs w:val="21"/>
              </w:rPr>
              <w:t>规划及规划环境影响评价符合性分析</w:t>
            </w:r>
          </w:p>
        </w:tc>
        <w:tc>
          <w:tcPr>
            <w:tcW w:w="6975" w:type="dxa"/>
            <w:gridSpan w:val="4"/>
            <w:vAlign w:val="center"/>
          </w:tcPr>
          <w:p w14:paraId="634373BD">
            <w:pPr>
              <w:pStyle w:val="3"/>
              <w:spacing w:before="120" w:after="0" w:afterLines="0"/>
            </w:pPr>
            <w:r>
              <w:rPr>
                <w:rFonts w:hint="eastAsia"/>
              </w:rPr>
              <w:t>1.1 与规划符合性分析</w:t>
            </w:r>
          </w:p>
          <w:p w14:paraId="2DBC0F4D">
            <w:pPr>
              <w:ind w:firstLine="480"/>
            </w:pPr>
            <w:r>
              <w:rPr>
                <w:rFonts w:hint="eastAsia"/>
              </w:rPr>
              <w:t>福州临空经济区位于长乐区东北部。经济区东、北面两面临海，西至东绕城高速，南至机场高速，规划研究范围约174.5平方公里，包括长乐区梅花镇、文岭镇、湖南镇、金峰镇、潭头镇大部、鹤上镇东北部和漳港街道北部。</w:t>
            </w:r>
          </w:p>
          <w:p w14:paraId="22A3CE32">
            <w:pPr>
              <w:ind w:firstLine="480"/>
            </w:pPr>
            <w:r>
              <w:rPr>
                <w:rFonts w:hint="eastAsia"/>
              </w:rPr>
              <w:t>园区产业定位为：</w:t>
            </w:r>
          </w:p>
          <w:p w14:paraId="012A2A1C">
            <w:pPr>
              <w:ind w:firstLine="480"/>
            </w:pPr>
            <w:r>
              <w:rPr>
                <w:rFonts w:hint="eastAsia"/>
              </w:rPr>
              <w:t>紧紧抓住国家推动全国范围内各临空经济区建设发展，以及福州大力支持福州新区发展和加快海丝门户枢纽机场建设的契机，利用空港得天独厚的区位优势，加速形成综合枢纽引致、主导产业引领、龙头企业带动、重点项目依托、专业园区承载、产业生态平衡的国际化、数字化、高端化现代产业集群，加快形成以高端装备产业、先进制造产业、现代物流产业为主导，光电产业和数字融合产业为区域产业新增长极的临空产业体系。</w:t>
            </w:r>
          </w:p>
          <w:p w14:paraId="499E34C3">
            <w:pPr>
              <w:ind w:firstLine="480"/>
            </w:pPr>
            <w:r>
              <w:rPr>
                <w:rFonts w:hint="eastAsia"/>
              </w:rPr>
              <w:t>其中，先进制造产业结合临空经济区现有的大量纺织产业基础，不断吸收电子信息、数字化、机械、材料以及现代管理技术等方面的高新技术成果，大力推动产业转型升级，在纺织原料及纺织品工艺上实现突破，重点发展高端纺织产业、功能性新材料产业、绿色建筑产业和贵金属冶炼及制品产业，建立区域特色的先进制造业体系，提升制造业发展水平和产业配套水平。</w:t>
            </w:r>
          </w:p>
          <w:p w14:paraId="555AE658">
            <w:pPr>
              <w:ind w:firstLine="480"/>
            </w:pPr>
            <w:r>
              <w:rPr>
                <w:rFonts w:hint="eastAsia"/>
              </w:rPr>
              <w:t>本项目从事锦纶纤维制造和研发，与中国纺织工程学会联合共建聚酰胺共性技术中试平台，覆盖新材料研发、纤维与面料开发实验，提供纤维、面料检测服务，聚焦高性能、绿色化、智能化纺织材料研发，致力于攻克功能性纤维、可降解材料及智能纺织品等关键共性技术，助力我国纺织新材料产业升级，属于先进制造产业中的功能性新材料产业，符合临空经济区的产业规划。</w:t>
            </w:r>
          </w:p>
          <w:p w14:paraId="1B43AA8B">
            <w:pPr>
              <w:ind w:firstLine="480"/>
            </w:pPr>
            <w:r>
              <w:rPr>
                <w:rFonts w:hint="eastAsia"/>
              </w:rPr>
              <w:t>本项目在福建永荣锦江股份有限公司现有厂区范围内新建一座6#中试车间进行生产，根据园区土地利用规划，项目所在用地规划用途为工业用地（见附图5），符合福州临空经济区的用地规划。</w:t>
            </w:r>
          </w:p>
          <w:p w14:paraId="0DF2518B">
            <w:pPr>
              <w:pStyle w:val="3"/>
              <w:spacing w:before="120" w:after="0" w:afterLines="0"/>
            </w:pPr>
            <w:r>
              <w:rPr>
                <w:rFonts w:hint="eastAsia"/>
              </w:rPr>
              <w:t>1.2 与规划环评及其审查意见符合性</w:t>
            </w:r>
          </w:p>
          <w:p w14:paraId="242EFA12">
            <w:pPr>
              <w:ind w:firstLine="480"/>
            </w:pPr>
            <w:r>
              <w:rPr>
                <w:rFonts w:hint="eastAsia"/>
              </w:rPr>
              <w:t>根据已批准的《福州临空经济区产业布局规划（2021—2025年）（修编）环境影响报告书》及批复中确定的福州临空经济区环境准入清单，本项目位于临空经济区的产业聚集带区域内，属于重点管控单元。同时本项目在项目设计中充分考虑环境保护，将污染控制在了源头，并采取积极有效的治理措施进一步削减了污染物的排放量，通过制定严格的管控措施防止了风险事故的发生。</w:t>
            </w:r>
          </w:p>
          <w:p w14:paraId="393C3D56">
            <w:pPr>
              <w:ind w:firstLine="480"/>
              <w:rPr>
                <w:szCs w:val="21"/>
              </w:rPr>
            </w:pPr>
            <w:r>
              <w:rPr>
                <w:rFonts w:hint="eastAsia"/>
              </w:rPr>
              <w:t>项目和福州临空经济区环境准入清单中“产业聚集带”的相关管控要求符合性分析见表1.2-1。</w:t>
            </w:r>
          </w:p>
        </w:tc>
      </w:tr>
    </w:tbl>
    <w:p w14:paraId="2FFADA41">
      <w:pPr>
        <w:ind w:firstLine="600"/>
        <w:outlineLvl w:val="0"/>
        <w:rPr>
          <w:rFonts w:eastAsia="黑体"/>
          <w:sz w:val="30"/>
        </w:rPr>
        <w:sectPr>
          <w:footerReference r:id="rId11"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594"/>
        <w:gridCol w:w="19874"/>
      </w:tblGrid>
      <w:tr w14:paraId="096F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c>
          <w:tcPr>
            <w:tcW w:w="145" w:type="pct"/>
            <w:vAlign w:val="center"/>
          </w:tcPr>
          <w:p w14:paraId="4593B213">
            <w:pPr>
              <w:ind w:firstLine="0" w:firstLineChars="0"/>
              <w:jc w:val="center"/>
              <w:rPr>
                <w:rFonts w:hint="eastAsia" w:ascii="宋体" w:hAnsi="宋体"/>
                <w:sz w:val="21"/>
                <w:szCs w:val="21"/>
              </w:rPr>
            </w:pPr>
            <w:r>
              <w:rPr>
                <w:rFonts w:hint="eastAsia" w:ascii="宋体" w:hAnsi="宋体"/>
                <w:sz w:val="21"/>
                <w:szCs w:val="21"/>
              </w:rPr>
              <w:t>规划及规划环境影响评价符合性分析</w:t>
            </w:r>
          </w:p>
        </w:tc>
        <w:tc>
          <w:tcPr>
            <w:tcW w:w="4855" w:type="pct"/>
          </w:tcPr>
          <w:p w14:paraId="4E236129">
            <w:pPr>
              <w:pStyle w:val="13"/>
            </w:pPr>
            <w:r>
              <w:rPr>
                <w:rFonts w:hint="eastAsia"/>
              </w:rPr>
              <w:t>表1.2-1  临空经济区重点管控区域的环境准入（摘录）</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188"/>
              <w:gridCol w:w="1134"/>
              <w:gridCol w:w="10488"/>
              <w:gridCol w:w="4257"/>
              <w:gridCol w:w="852"/>
            </w:tblGrid>
            <w:tr w14:paraId="7D1FBF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 w:type="pct"/>
                  <w:vAlign w:val="center"/>
                </w:tcPr>
                <w:p w14:paraId="3E534F11">
                  <w:pPr>
                    <w:pStyle w:val="83"/>
                    <w:rPr>
                      <w:rFonts w:hint="default"/>
                    </w:rPr>
                  </w:pPr>
                  <w:r>
                    <w:t>环境管控单元</w:t>
                  </w:r>
                </w:p>
              </w:tc>
              <w:tc>
                <w:tcPr>
                  <w:tcW w:w="552" w:type="pct"/>
                  <w:vAlign w:val="center"/>
                </w:tcPr>
                <w:p w14:paraId="1D0D0B9B">
                  <w:pPr>
                    <w:pStyle w:val="83"/>
                    <w:rPr>
                      <w:rFonts w:hint="default"/>
                    </w:rPr>
                  </w:pPr>
                  <w:r>
                    <w:t>产业规划</w:t>
                  </w:r>
                </w:p>
              </w:tc>
              <w:tc>
                <w:tcPr>
                  <w:tcW w:w="2932" w:type="pct"/>
                  <w:gridSpan w:val="2"/>
                  <w:vAlign w:val="center"/>
                </w:tcPr>
                <w:p w14:paraId="1882F747">
                  <w:pPr>
                    <w:pStyle w:val="83"/>
                    <w:rPr>
                      <w:rFonts w:hint="default"/>
                    </w:rPr>
                  </w:pPr>
                  <w:r>
                    <w:t>管控要求</w:t>
                  </w:r>
                </w:p>
              </w:tc>
              <w:tc>
                <w:tcPr>
                  <w:tcW w:w="1074" w:type="pct"/>
                  <w:vAlign w:val="center"/>
                </w:tcPr>
                <w:p w14:paraId="73551A95">
                  <w:pPr>
                    <w:pStyle w:val="83"/>
                    <w:rPr>
                      <w:rFonts w:hint="default"/>
                    </w:rPr>
                  </w:pPr>
                  <w:r>
                    <w:t>本项目情况</w:t>
                  </w:r>
                </w:p>
              </w:tc>
              <w:tc>
                <w:tcPr>
                  <w:tcW w:w="215" w:type="pct"/>
                  <w:vAlign w:val="center"/>
                </w:tcPr>
                <w:p w14:paraId="22E9C463">
                  <w:pPr>
                    <w:pStyle w:val="83"/>
                    <w:rPr>
                      <w:rFonts w:hint="default"/>
                    </w:rPr>
                  </w:pPr>
                  <w:r>
                    <w:t>符合性</w:t>
                  </w:r>
                </w:p>
              </w:tc>
            </w:tr>
            <w:tr w14:paraId="42D699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 w:type="pct"/>
                  <w:vMerge w:val="restart"/>
                  <w:vAlign w:val="center"/>
                </w:tcPr>
                <w:p w14:paraId="46152553">
                  <w:pPr>
                    <w:pStyle w:val="83"/>
                    <w:rPr>
                      <w:rFonts w:hint="default"/>
                    </w:rPr>
                  </w:pPr>
                  <w:r>
                    <w:t>产业聚集带</w:t>
                  </w:r>
                </w:p>
              </w:tc>
              <w:tc>
                <w:tcPr>
                  <w:tcW w:w="552" w:type="pct"/>
                  <w:vMerge w:val="restart"/>
                  <w:vAlign w:val="center"/>
                </w:tcPr>
                <w:p w14:paraId="3445C7E1">
                  <w:pPr>
                    <w:pStyle w:val="83"/>
                    <w:rPr>
                      <w:rFonts w:hint="default"/>
                    </w:rPr>
                  </w:pPr>
                  <w:r>
                    <w:t>现区域内已形成了包括纺织、化纤、机械装备、光电、建材、数字等多产业分散布局的空间形态；拟大力发展高端装备产业、先进制造业、现代物流产业、光电产业和数字融合产业。</w:t>
                  </w:r>
                </w:p>
              </w:tc>
              <w:tc>
                <w:tcPr>
                  <w:tcW w:w="286" w:type="pct"/>
                  <w:vAlign w:val="center"/>
                </w:tcPr>
                <w:p w14:paraId="7411DDB3">
                  <w:pPr>
                    <w:pStyle w:val="83"/>
                    <w:rPr>
                      <w:rFonts w:hint="default"/>
                    </w:rPr>
                  </w:pPr>
                  <w:r>
                    <w:t>空间布局约束</w:t>
                  </w:r>
                </w:p>
              </w:tc>
              <w:tc>
                <w:tcPr>
                  <w:tcW w:w="2646" w:type="pct"/>
                  <w:vAlign w:val="center"/>
                </w:tcPr>
                <w:p w14:paraId="6C73097F">
                  <w:pPr>
                    <w:pStyle w:val="83"/>
                    <w:jc w:val="both"/>
                    <w:rPr>
                      <w:rFonts w:hint="default"/>
                    </w:rPr>
                  </w:pPr>
                  <w:r>
                    <w:t>1.食品产业禁止引进发酵类食品。</w:t>
                  </w:r>
                </w:p>
                <w:p w14:paraId="14403584">
                  <w:pPr>
                    <w:pStyle w:val="83"/>
                    <w:jc w:val="both"/>
                    <w:rPr>
                      <w:rFonts w:hint="default"/>
                    </w:rPr>
                  </w:pPr>
                  <w:r>
                    <w:t>2.纺织业禁止引进含染整工序的项目。</w:t>
                  </w:r>
                </w:p>
                <w:p w14:paraId="7E51BD79">
                  <w:pPr>
                    <w:pStyle w:val="83"/>
                    <w:jc w:val="both"/>
                    <w:rPr>
                      <w:rFonts w:hint="default"/>
                    </w:rPr>
                  </w:pPr>
                  <w:r>
                    <w:t>3.禁止发展以废铁、废钢、废铝、废铜等废旧金属为原材料提炼新金属的铸造行业。</w:t>
                  </w:r>
                </w:p>
                <w:p w14:paraId="20DED7D3">
                  <w:pPr>
                    <w:pStyle w:val="83"/>
                    <w:jc w:val="both"/>
                    <w:rPr>
                      <w:rFonts w:hint="default"/>
                    </w:rPr>
                  </w:pPr>
                  <w:r>
                    <w:t>4.推荐高附加值的电子组装等，禁止其中污染严重的前端电子专用器材制造以及影响航空通讯的产业。</w:t>
                  </w:r>
                </w:p>
                <w:p w14:paraId="200A7FB6">
                  <w:pPr>
                    <w:pStyle w:val="83"/>
                    <w:jc w:val="both"/>
                    <w:rPr>
                      <w:rFonts w:hint="default"/>
                    </w:rPr>
                  </w:pPr>
                  <w:r>
                    <w:t>5.在长乐国际机场净空保护区范围内的各类建筑物、构筑物等必须满足净空及导航电磁环境的相关要求。</w:t>
                  </w:r>
                </w:p>
                <w:p w14:paraId="4DD23C96">
                  <w:pPr>
                    <w:pStyle w:val="83"/>
                    <w:jc w:val="both"/>
                    <w:rPr>
                      <w:rFonts w:hint="default"/>
                    </w:rPr>
                  </w:pPr>
                  <w:r>
                    <w:t>6.园区内海滨森林公园划入禁止建设区。在保护区周边布局无污染、轻污染的产业，保护区内禁止新建排污口。</w:t>
                  </w:r>
                </w:p>
                <w:p w14:paraId="156B2DAC">
                  <w:pPr>
                    <w:pStyle w:val="83"/>
                    <w:jc w:val="both"/>
                    <w:rPr>
                      <w:rFonts w:hint="default"/>
                    </w:rPr>
                  </w:pPr>
                  <w:r>
                    <w:t>7.一般建设项目不得占用永久基本农田，重大建设项目选址确实难以避让永久基本农田的，不需依法依规办理。</w:t>
                  </w:r>
                </w:p>
                <w:p w14:paraId="4BC3D788">
                  <w:pPr>
                    <w:pStyle w:val="83"/>
                    <w:jc w:val="both"/>
                    <w:rPr>
                      <w:rFonts w:hint="default"/>
                    </w:rPr>
                  </w:pPr>
                  <w:r>
                    <w:t>8.限制合成纤维制造，现有企业实施产业升级。</w:t>
                  </w:r>
                </w:p>
                <w:p w14:paraId="33305127">
                  <w:pPr>
                    <w:pStyle w:val="83"/>
                    <w:jc w:val="both"/>
                    <w:rPr>
                      <w:rFonts w:hint="default"/>
                    </w:rPr>
                  </w:pPr>
                  <w:r>
                    <w:t>9.严格控制工业涂装等高VOCs排放的项目建设。</w:t>
                  </w:r>
                </w:p>
              </w:tc>
              <w:tc>
                <w:tcPr>
                  <w:tcW w:w="1074" w:type="pct"/>
                  <w:vAlign w:val="center"/>
                </w:tcPr>
                <w:p w14:paraId="5FA6095A">
                  <w:pPr>
                    <w:pStyle w:val="83"/>
                    <w:jc w:val="both"/>
                    <w:rPr>
                      <w:rFonts w:hint="default"/>
                    </w:rPr>
                  </w:pPr>
                  <w:r>
                    <w:t>项目不涉及染整工序，不属于临空经济区禁入项目。</w:t>
                  </w:r>
                </w:p>
                <w:p w14:paraId="7FC1A6C5">
                  <w:pPr>
                    <w:pStyle w:val="83"/>
                    <w:jc w:val="both"/>
                    <w:rPr>
                      <w:rFonts w:hint="default"/>
                    </w:rPr>
                  </w:pPr>
                  <w:r>
                    <w:t>本次项目在企业已征用地范围内新建一座6#中试车间进行生产，厂房高度16m，满足长乐国际机场净空高度要求；项目生产工序不涉及电磁排放。</w:t>
                  </w:r>
                </w:p>
                <w:p w14:paraId="4327D50B">
                  <w:pPr>
                    <w:pStyle w:val="83"/>
                    <w:jc w:val="both"/>
                    <w:rPr>
                      <w:rFonts w:hint="default"/>
                    </w:rPr>
                  </w:pPr>
                  <w:r>
                    <w:t>本次项目在企业已征用地范围内新建一座6#中试车间进行生产，企业厂区范围内不涉及海滨森林公园和永久基本农田。</w:t>
                  </w:r>
                </w:p>
                <w:p w14:paraId="6A24DC0A">
                  <w:pPr>
                    <w:pStyle w:val="83"/>
                    <w:jc w:val="both"/>
                    <w:rPr>
                      <w:rFonts w:hint="default"/>
                    </w:rPr>
                  </w:pPr>
                  <w:r>
                    <w:t>本次项目从事锦纶纤维的生产和研发，建设聚酰胺共性技术中试平台，覆盖新材料研发、纤维与面料开发实验，提供纤维、面料检测服务，生产工序不涉及化学反应，不属于工业涂装等高VOCs排放的项目。</w:t>
                  </w:r>
                </w:p>
              </w:tc>
              <w:tc>
                <w:tcPr>
                  <w:tcW w:w="215" w:type="pct"/>
                  <w:vAlign w:val="center"/>
                </w:tcPr>
                <w:p w14:paraId="231A4BB1">
                  <w:pPr>
                    <w:pStyle w:val="83"/>
                    <w:rPr>
                      <w:rFonts w:hint="default"/>
                    </w:rPr>
                  </w:pPr>
                  <w:r>
                    <w:t>符合</w:t>
                  </w:r>
                </w:p>
              </w:tc>
            </w:tr>
            <w:tr w14:paraId="136864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 w:type="pct"/>
                  <w:vMerge w:val="continue"/>
                  <w:vAlign w:val="center"/>
                </w:tcPr>
                <w:p w14:paraId="3DDAC2CE">
                  <w:pPr>
                    <w:pStyle w:val="83"/>
                    <w:rPr>
                      <w:rFonts w:hint="default"/>
                    </w:rPr>
                  </w:pPr>
                </w:p>
              </w:tc>
              <w:tc>
                <w:tcPr>
                  <w:tcW w:w="552" w:type="pct"/>
                  <w:vMerge w:val="continue"/>
                  <w:vAlign w:val="center"/>
                </w:tcPr>
                <w:p w14:paraId="0C701FCC">
                  <w:pPr>
                    <w:pStyle w:val="83"/>
                    <w:rPr>
                      <w:rFonts w:hint="default"/>
                    </w:rPr>
                  </w:pPr>
                </w:p>
              </w:tc>
              <w:tc>
                <w:tcPr>
                  <w:tcW w:w="286" w:type="pct"/>
                  <w:vAlign w:val="center"/>
                </w:tcPr>
                <w:p w14:paraId="4480891C">
                  <w:pPr>
                    <w:pStyle w:val="83"/>
                    <w:rPr>
                      <w:rFonts w:hint="default"/>
                    </w:rPr>
                  </w:pPr>
                  <w:r>
                    <w:t>污染物排放管控</w:t>
                  </w:r>
                </w:p>
              </w:tc>
              <w:tc>
                <w:tcPr>
                  <w:tcW w:w="2646" w:type="pct"/>
                  <w:vAlign w:val="center"/>
                </w:tcPr>
                <w:p w14:paraId="1218D343">
                  <w:pPr>
                    <w:pStyle w:val="83"/>
                    <w:jc w:val="both"/>
                    <w:rPr>
                      <w:rFonts w:hint="default"/>
                    </w:rPr>
                  </w:pPr>
                  <w:r>
                    <w:t>1.加强食品企业恶臭污染控制，防止恶臭扰民。</w:t>
                  </w:r>
                </w:p>
                <w:p w14:paraId="5D6D6DE1">
                  <w:pPr>
                    <w:pStyle w:val="83"/>
                    <w:jc w:val="both"/>
                    <w:rPr>
                      <w:rFonts w:hint="default"/>
                    </w:rPr>
                  </w:pPr>
                  <w:r>
                    <w:t>2.涉新增VOCs排放项目，VOCs排放实行区域内倍量替代。</w:t>
                  </w:r>
                </w:p>
              </w:tc>
              <w:tc>
                <w:tcPr>
                  <w:tcW w:w="1074" w:type="pct"/>
                  <w:vAlign w:val="center"/>
                </w:tcPr>
                <w:p w14:paraId="4A1D47F3">
                  <w:pPr>
                    <w:pStyle w:val="83"/>
                    <w:jc w:val="both"/>
                    <w:rPr>
                      <w:rFonts w:hint="default"/>
                    </w:rPr>
                  </w:pPr>
                  <w:r>
                    <w:t>项目不属于食品企业，排放非甲烷总烃总量实行区域内倍量替代。</w:t>
                  </w:r>
                </w:p>
              </w:tc>
              <w:tc>
                <w:tcPr>
                  <w:tcW w:w="215" w:type="pct"/>
                  <w:vAlign w:val="center"/>
                </w:tcPr>
                <w:p w14:paraId="605E0EBD">
                  <w:pPr>
                    <w:pStyle w:val="83"/>
                    <w:rPr>
                      <w:rFonts w:hint="default"/>
                    </w:rPr>
                  </w:pPr>
                  <w:r>
                    <w:t>符合</w:t>
                  </w:r>
                </w:p>
              </w:tc>
            </w:tr>
            <w:tr w14:paraId="3E5EEA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 w:type="pct"/>
                  <w:vMerge w:val="continue"/>
                  <w:vAlign w:val="center"/>
                </w:tcPr>
                <w:p w14:paraId="26D97FFA">
                  <w:pPr>
                    <w:pStyle w:val="83"/>
                    <w:rPr>
                      <w:rFonts w:hint="default"/>
                    </w:rPr>
                  </w:pPr>
                </w:p>
              </w:tc>
              <w:tc>
                <w:tcPr>
                  <w:tcW w:w="552" w:type="pct"/>
                  <w:vMerge w:val="continue"/>
                  <w:vAlign w:val="center"/>
                </w:tcPr>
                <w:p w14:paraId="010F662D">
                  <w:pPr>
                    <w:pStyle w:val="83"/>
                    <w:rPr>
                      <w:rFonts w:hint="default"/>
                    </w:rPr>
                  </w:pPr>
                </w:p>
              </w:tc>
              <w:tc>
                <w:tcPr>
                  <w:tcW w:w="286" w:type="pct"/>
                  <w:vAlign w:val="center"/>
                </w:tcPr>
                <w:p w14:paraId="46CF8358">
                  <w:pPr>
                    <w:pStyle w:val="83"/>
                    <w:rPr>
                      <w:rFonts w:hint="default"/>
                    </w:rPr>
                  </w:pPr>
                  <w:r>
                    <w:t>环境风险防控</w:t>
                  </w:r>
                </w:p>
              </w:tc>
              <w:tc>
                <w:tcPr>
                  <w:tcW w:w="2646" w:type="pct"/>
                  <w:vAlign w:val="center"/>
                </w:tcPr>
                <w:p w14:paraId="21EEAD40">
                  <w:pPr>
                    <w:pStyle w:val="83"/>
                    <w:jc w:val="both"/>
                    <w:rPr>
                      <w:rFonts w:hint="default"/>
                    </w:rPr>
                  </w:pPr>
                  <w:r>
                    <w:t>1.强化企业环境风险防范设施设备建设和正常运行监管，加强企业应急预案制定，建立常态化的企业隐患排查整治监管机制；加强风险防控体系建设。</w:t>
                  </w:r>
                </w:p>
                <w:p w14:paraId="5C792CDE">
                  <w:pPr>
                    <w:pStyle w:val="83"/>
                    <w:jc w:val="both"/>
                    <w:rPr>
                      <w:rFonts w:hint="default"/>
                    </w:rPr>
                  </w:pPr>
                  <w:r>
                    <w:t>2.涉及风险企业内部须设置事故应急池，用于收集事故时的生产废水、消防洗消废水和初期雨水。</w:t>
                  </w:r>
                </w:p>
                <w:p w14:paraId="2FBB1877">
                  <w:pPr>
                    <w:pStyle w:val="83"/>
                    <w:jc w:val="both"/>
                    <w:rPr>
                      <w:rFonts w:hint="default"/>
                    </w:rPr>
                  </w:pPr>
                  <w:r>
                    <w:t>3.加强固体废物堆放场所建设，临时堆放储存场所、转运站应设置防流失防渗透设施。要求区域内企业在危废间污染区地面建设防渗措施和泄漏、渗漏污染物收集措施，防止危险废物泄漏污染土壤。</w:t>
                  </w:r>
                </w:p>
                <w:p w14:paraId="37A66293">
                  <w:pPr>
                    <w:pStyle w:val="83"/>
                    <w:jc w:val="both"/>
                    <w:rPr>
                      <w:rFonts w:hint="default"/>
                    </w:rPr>
                  </w:pPr>
                  <w:r>
                    <w:t>4.建立环境风险三级防控体系。</w:t>
                  </w:r>
                </w:p>
              </w:tc>
              <w:tc>
                <w:tcPr>
                  <w:tcW w:w="1074" w:type="pct"/>
                  <w:vAlign w:val="center"/>
                </w:tcPr>
                <w:p w14:paraId="052076F9">
                  <w:pPr>
                    <w:pStyle w:val="83"/>
                    <w:jc w:val="both"/>
                    <w:rPr>
                      <w:rFonts w:hint="default"/>
                    </w:rPr>
                  </w:pPr>
                  <w:r>
                    <w:t>本次项目在企业已征用地范围内新建一座6#中试车间进行生产，企业厂区内设置3340m</w:t>
                  </w:r>
                  <w:r>
                    <w:rPr>
                      <w:vertAlign w:val="superscript"/>
                    </w:rPr>
                    <w:t>3</w:t>
                  </w:r>
                  <w:r>
                    <w:t>的事故应急池和490m</w:t>
                  </w:r>
                  <w:r>
                    <w:rPr>
                      <w:vertAlign w:val="superscript"/>
                    </w:rPr>
                    <w:t>3</w:t>
                  </w:r>
                  <w:r>
                    <w:t>的初期雨水池（200m</w:t>
                  </w:r>
                  <w:r>
                    <w:rPr>
                      <w:vertAlign w:val="superscript"/>
                    </w:rPr>
                    <w:t>3</w:t>
                  </w:r>
                  <w:r>
                    <w:t>已建+290m</w:t>
                  </w:r>
                  <w:r>
                    <w:rPr>
                      <w:vertAlign w:val="superscript"/>
                    </w:rPr>
                    <w:t>3</w:t>
                  </w:r>
                  <w:r>
                    <w:t>在建）。</w:t>
                  </w:r>
                </w:p>
                <w:p w14:paraId="4980F291">
                  <w:pPr>
                    <w:pStyle w:val="83"/>
                    <w:jc w:val="both"/>
                    <w:rPr>
                      <w:rFonts w:hint="default"/>
                    </w:rPr>
                  </w:pPr>
                  <w:r>
                    <w:t>企业已编制突发环境事件应急预案并在福州市长乐生态环境局备案（备案编号：350112-2026-014-H）。</w:t>
                  </w:r>
                </w:p>
                <w:p w14:paraId="72E682C8">
                  <w:pPr>
                    <w:pStyle w:val="83"/>
                    <w:jc w:val="both"/>
                    <w:rPr>
                      <w:rFonts w:hint="default"/>
                    </w:rPr>
                  </w:pPr>
                  <w:r>
                    <w:t>本项目固废贮存依托企业现有废料仓库和危废间，储存场所已根据相关要求采取防渗漏、防流失、防扬散措施，防止环境污染。</w:t>
                  </w:r>
                </w:p>
              </w:tc>
              <w:tc>
                <w:tcPr>
                  <w:tcW w:w="215" w:type="pct"/>
                  <w:vAlign w:val="center"/>
                </w:tcPr>
                <w:p w14:paraId="10343842">
                  <w:pPr>
                    <w:pStyle w:val="83"/>
                    <w:rPr>
                      <w:rFonts w:hint="default"/>
                    </w:rPr>
                  </w:pPr>
                  <w:r>
                    <w:t>符合</w:t>
                  </w:r>
                </w:p>
              </w:tc>
            </w:tr>
            <w:tr w14:paraId="2BCF31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 w:type="pct"/>
                  <w:vMerge w:val="continue"/>
                  <w:vAlign w:val="center"/>
                </w:tcPr>
                <w:p w14:paraId="5A518F9B">
                  <w:pPr>
                    <w:pStyle w:val="83"/>
                    <w:rPr>
                      <w:rFonts w:hint="default"/>
                    </w:rPr>
                  </w:pPr>
                </w:p>
              </w:tc>
              <w:tc>
                <w:tcPr>
                  <w:tcW w:w="552" w:type="pct"/>
                  <w:vMerge w:val="continue"/>
                  <w:vAlign w:val="center"/>
                </w:tcPr>
                <w:p w14:paraId="05FF1264">
                  <w:pPr>
                    <w:pStyle w:val="83"/>
                    <w:rPr>
                      <w:rFonts w:hint="default"/>
                    </w:rPr>
                  </w:pPr>
                </w:p>
              </w:tc>
              <w:tc>
                <w:tcPr>
                  <w:tcW w:w="286" w:type="pct"/>
                  <w:vAlign w:val="center"/>
                </w:tcPr>
                <w:p w14:paraId="25713B14">
                  <w:pPr>
                    <w:pStyle w:val="83"/>
                    <w:rPr>
                      <w:rFonts w:hint="default"/>
                    </w:rPr>
                  </w:pPr>
                  <w:r>
                    <w:t>资源开发效率要求</w:t>
                  </w:r>
                </w:p>
              </w:tc>
              <w:tc>
                <w:tcPr>
                  <w:tcW w:w="2646" w:type="pct"/>
                  <w:vAlign w:val="center"/>
                </w:tcPr>
                <w:p w14:paraId="03F44350">
                  <w:pPr>
                    <w:pStyle w:val="83"/>
                    <w:jc w:val="both"/>
                    <w:rPr>
                      <w:rFonts w:hint="default"/>
                    </w:rPr>
                  </w:pPr>
                  <w:r>
                    <w:t>1.实施能源消耗总量和强度双控。</w:t>
                  </w:r>
                </w:p>
                <w:p w14:paraId="4CC70DC2">
                  <w:pPr>
                    <w:pStyle w:val="83"/>
                    <w:jc w:val="both"/>
                    <w:rPr>
                      <w:rFonts w:hint="default"/>
                    </w:rPr>
                  </w:pPr>
                  <w:r>
                    <w:t>2.推进工业废水重复利用、污水处理厂尾水回用。</w:t>
                  </w:r>
                </w:p>
                <w:p w14:paraId="0B67A013">
                  <w:pPr>
                    <w:pStyle w:val="83"/>
                    <w:jc w:val="both"/>
                    <w:rPr>
                      <w:rFonts w:hint="default"/>
                    </w:rPr>
                  </w:pPr>
                  <w:r>
                    <w:t>3.区域内项目应使用电力、天然气、液化石油气等清洁能源。</w:t>
                  </w:r>
                </w:p>
              </w:tc>
              <w:tc>
                <w:tcPr>
                  <w:tcW w:w="1074" w:type="pct"/>
                  <w:vAlign w:val="center"/>
                </w:tcPr>
                <w:p w14:paraId="2174AF27">
                  <w:pPr>
                    <w:pStyle w:val="83"/>
                    <w:jc w:val="both"/>
                    <w:rPr>
                      <w:rFonts w:hint="default"/>
                    </w:rPr>
                  </w:pPr>
                  <w:r>
                    <w:t>项目不属于高污染、高耗能项目；</w:t>
                  </w:r>
                </w:p>
                <w:p w14:paraId="14703221">
                  <w:pPr>
                    <w:pStyle w:val="83"/>
                    <w:jc w:val="both"/>
                    <w:rPr>
                      <w:rFonts w:hint="default"/>
                    </w:rPr>
                  </w:pPr>
                  <w:r>
                    <w:t>项目废水依托企业厂区现有综合废水处理站进行处理，废水处理后通过RO反渗透系统回用于生产；</w:t>
                  </w:r>
                </w:p>
                <w:p w14:paraId="2F3FCFFD">
                  <w:pPr>
                    <w:pStyle w:val="83"/>
                    <w:jc w:val="both"/>
                    <w:rPr>
                      <w:rFonts w:hint="default"/>
                    </w:rPr>
                  </w:pPr>
                  <w:r>
                    <w:t>项目使用能源为电能。</w:t>
                  </w:r>
                </w:p>
              </w:tc>
              <w:tc>
                <w:tcPr>
                  <w:tcW w:w="215" w:type="pct"/>
                  <w:vAlign w:val="center"/>
                </w:tcPr>
                <w:p w14:paraId="3E1AF8FF">
                  <w:pPr>
                    <w:pStyle w:val="83"/>
                    <w:rPr>
                      <w:rFonts w:hint="default"/>
                    </w:rPr>
                  </w:pPr>
                  <w:r>
                    <w:t>符合</w:t>
                  </w:r>
                </w:p>
              </w:tc>
            </w:tr>
          </w:tbl>
          <w:p w14:paraId="46AC7258">
            <w:pPr>
              <w:ind w:firstLine="480"/>
            </w:pPr>
            <w:r>
              <w:rPr>
                <w:rFonts w:hint="eastAsia"/>
              </w:rPr>
              <w:t>项目与规划环评审查意见符合性分析见表1.2-2</w:t>
            </w:r>
          </w:p>
          <w:p w14:paraId="60AB736E">
            <w:pPr>
              <w:pStyle w:val="13"/>
            </w:pPr>
            <w:r>
              <w:rPr>
                <w:rFonts w:hint="eastAsia"/>
              </w:rPr>
              <w:t>表1.2-2  项目与规划环评审查意见符合性一览表</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313"/>
              <w:gridCol w:w="8649"/>
              <w:gridCol w:w="856"/>
            </w:tblGrid>
            <w:tr w14:paraId="3021E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602" w:type="pct"/>
                  <w:vAlign w:val="center"/>
                </w:tcPr>
                <w:p w14:paraId="2C783E85">
                  <w:pPr>
                    <w:pStyle w:val="83"/>
                    <w:rPr>
                      <w:rFonts w:hint="default"/>
                    </w:rPr>
                  </w:pPr>
                  <w:r>
                    <w:t>环评审查要求</w:t>
                  </w:r>
                </w:p>
              </w:tc>
              <w:tc>
                <w:tcPr>
                  <w:tcW w:w="2182" w:type="pct"/>
                  <w:vAlign w:val="center"/>
                </w:tcPr>
                <w:p w14:paraId="1C033BF3">
                  <w:pPr>
                    <w:pStyle w:val="83"/>
                    <w:rPr>
                      <w:rFonts w:hint="default"/>
                    </w:rPr>
                  </w:pPr>
                  <w:r>
                    <w:t>本项目</w:t>
                  </w:r>
                </w:p>
              </w:tc>
              <w:tc>
                <w:tcPr>
                  <w:tcW w:w="216" w:type="pct"/>
                  <w:vAlign w:val="center"/>
                </w:tcPr>
                <w:p w14:paraId="431FA5A1">
                  <w:pPr>
                    <w:pStyle w:val="83"/>
                    <w:rPr>
                      <w:rFonts w:hint="default"/>
                    </w:rPr>
                  </w:pPr>
                  <w:r>
                    <w:t>符合性</w:t>
                  </w:r>
                </w:p>
              </w:tc>
            </w:tr>
            <w:tr w14:paraId="3DBBC4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2" w:type="pct"/>
                  <w:vAlign w:val="center"/>
                </w:tcPr>
                <w:p w14:paraId="20D4E11D">
                  <w:pPr>
                    <w:pStyle w:val="83"/>
                    <w:jc w:val="both"/>
                    <w:rPr>
                      <w:rFonts w:hint="default"/>
                    </w:rPr>
                  </w:pPr>
                  <w:r>
                    <w:t>加强规划引导。坚持绿色发展、生态优先、高效集约的发展理念，以改善环境质量为核心，进一步优化规划方案，做好与省市区国土空间规划、产业发展规划及“三线一单”的衔接。</w:t>
                  </w:r>
                </w:p>
              </w:tc>
              <w:tc>
                <w:tcPr>
                  <w:tcW w:w="2182" w:type="pct"/>
                  <w:vAlign w:val="center"/>
                </w:tcPr>
                <w:p w14:paraId="21CCC6B1">
                  <w:pPr>
                    <w:pStyle w:val="83"/>
                    <w:jc w:val="both"/>
                    <w:rPr>
                      <w:rFonts w:hint="default"/>
                    </w:rPr>
                  </w:pPr>
                  <w:r>
                    <w:t>本项目属于园区先进制造业产业中的功能性新材料产业，项目用地位于福州市城镇开发边界划定范围内，不占用生态保护红线和永久基本农田，符合福建省国土空间规划、福州市国土空间总体规划、福州市生态环境分区管控相关要求。</w:t>
                  </w:r>
                </w:p>
              </w:tc>
              <w:tc>
                <w:tcPr>
                  <w:tcW w:w="216" w:type="pct"/>
                  <w:vAlign w:val="center"/>
                </w:tcPr>
                <w:p w14:paraId="47EF2DC5">
                  <w:pPr>
                    <w:pStyle w:val="83"/>
                    <w:rPr>
                      <w:rFonts w:hint="default"/>
                    </w:rPr>
                  </w:pPr>
                  <w:r>
                    <w:t>符合</w:t>
                  </w:r>
                </w:p>
              </w:tc>
            </w:tr>
            <w:tr w14:paraId="375EA7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2" w:type="pct"/>
                  <w:vAlign w:val="center"/>
                </w:tcPr>
                <w:p w14:paraId="6772CA5F">
                  <w:pPr>
                    <w:pStyle w:val="83"/>
                    <w:jc w:val="both"/>
                    <w:rPr>
                      <w:rFonts w:hint="default"/>
                    </w:rPr>
                  </w:pPr>
                  <w:r>
                    <w:t>优化产业定位。高端装备制造业中禁止引进向厂外排放重金属、持久性有机污染废水的新、改、扩建项目；禁止发展以废铁、废钢、废铝、废铜等废旧黑色金属、有色金属为原材料的铸造行业；禁止电镀工序，严格控制高VOCs排放的项目建设。先进制造业禁止引进新型纤维素纤维、甲壳素复合纤维、海藻酸盐纤维、壳聚糖纤维项目；贵金属提纯加工及制品产业仅从事现有贵金属企业配套的上游足金提纯的项目。</w:t>
                  </w:r>
                </w:p>
              </w:tc>
              <w:tc>
                <w:tcPr>
                  <w:tcW w:w="2182" w:type="pct"/>
                  <w:vAlign w:val="center"/>
                </w:tcPr>
                <w:p w14:paraId="39CA8AB5">
                  <w:pPr>
                    <w:pStyle w:val="83"/>
                    <w:jc w:val="both"/>
                    <w:rPr>
                      <w:rFonts w:hint="default"/>
                    </w:rPr>
                  </w:pPr>
                  <w:r>
                    <w:t>本项目废水不含重金属和持久性有机污染物，生产过程不涉及电镀工序，项目产生的废气为低浓度VOCs废气。</w:t>
                  </w:r>
                </w:p>
                <w:p w14:paraId="2A3826AF">
                  <w:pPr>
                    <w:pStyle w:val="83"/>
                    <w:jc w:val="both"/>
                    <w:rPr>
                      <w:rFonts w:hint="default"/>
                    </w:rPr>
                  </w:pPr>
                  <w:r>
                    <w:t>本次项目从事锦纶纤维的生产和研发，建设聚酰胺共性技术中试平台，开展新材料研发、纤维与面料开发实验、纤维检测等工作，不属于新型纤维素纤维、甲壳素复合纤维、海藻酸盐纤维、壳聚糖纤维项目</w:t>
                  </w:r>
                </w:p>
              </w:tc>
              <w:tc>
                <w:tcPr>
                  <w:tcW w:w="216" w:type="pct"/>
                  <w:vAlign w:val="center"/>
                </w:tcPr>
                <w:p w14:paraId="4730D4C0">
                  <w:pPr>
                    <w:pStyle w:val="83"/>
                    <w:rPr>
                      <w:rFonts w:hint="default"/>
                    </w:rPr>
                  </w:pPr>
                  <w:r>
                    <w:t>符合</w:t>
                  </w:r>
                </w:p>
              </w:tc>
            </w:tr>
            <w:tr w14:paraId="7FB05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2" w:type="pct"/>
                  <w:vAlign w:val="center"/>
                </w:tcPr>
                <w:p w14:paraId="453AE394">
                  <w:pPr>
                    <w:pStyle w:val="83"/>
                    <w:jc w:val="both"/>
                    <w:rPr>
                      <w:rFonts w:hint="default"/>
                    </w:rPr>
                  </w:pPr>
                  <w:r>
                    <w:t>优化规划布局。落实《报告书》提出的用地调整要求，保留永久基本农田和生态保护红线，园区大气污染型工业用地与居住区之间应设置合理的环保控制带，控制带内可作为无大气污染的工业、物流、仓储用地。入园企业应按照建设项目环评确定合理大气环境防护距离。</w:t>
                  </w:r>
                </w:p>
              </w:tc>
              <w:tc>
                <w:tcPr>
                  <w:tcW w:w="2182" w:type="pct"/>
                  <w:vAlign w:val="center"/>
                </w:tcPr>
                <w:p w14:paraId="7F398066">
                  <w:pPr>
                    <w:pStyle w:val="83"/>
                    <w:jc w:val="both"/>
                    <w:rPr>
                      <w:rFonts w:hint="default"/>
                    </w:rPr>
                  </w:pPr>
                  <w:r>
                    <w:t>本次项目在企业已征用地范围内新建一座6#中试车间进行生产，不涉及新增用地，不占用永久基本农田和生态保护红线。项目废气经烟气净化处理系统处理后可达标排放，无需设置大气环境防护距离。</w:t>
                  </w:r>
                </w:p>
              </w:tc>
              <w:tc>
                <w:tcPr>
                  <w:tcW w:w="216" w:type="pct"/>
                  <w:vAlign w:val="center"/>
                </w:tcPr>
                <w:p w14:paraId="5BFFCEE0">
                  <w:pPr>
                    <w:pStyle w:val="83"/>
                    <w:rPr>
                      <w:rFonts w:hint="default"/>
                    </w:rPr>
                  </w:pPr>
                  <w:r>
                    <w:t>符合</w:t>
                  </w:r>
                </w:p>
              </w:tc>
            </w:tr>
            <w:tr w14:paraId="0909E6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2" w:type="pct"/>
                  <w:vAlign w:val="center"/>
                </w:tcPr>
                <w:p w14:paraId="2A24113D">
                  <w:pPr>
                    <w:pStyle w:val="83"/>
                    <w:jc w:val="both"/>
                    <w:rPr>
                      <w:rFonts w:hint="default"/>
                    </w:rPr>
                  </w:pPr>
                  <w:r>
                    <w:t>严格生态环境准入。按照《报告书》提出的生态环境准入清单严格项目准入。引进项目的生产工艺、技术装备、污染治理水平以及单位产品能耗、物耗等应达国内同行业清洁生产先进水平。禁止引进新增排放第一类重金属和持久性有机污染物的项目，严控以氨氮、总磷等为主要污染物的项目。</w:t>
                  </w:r>
                </w:p>
              </w:tc>
              <w:tc>
                <w:tcPr>
                  <w:tcW w:w="2182" w:type="pct"/>
                  <w:vAlign w:val="center"/>
                </w:tcPr>
                <w:p w14:paraId="44B60D07">
                  <w:pPr>
                    <w:pStyle w:val="83"/>
                    <w:jc w:val="both"/>
                    <w:rPr>
                      <w:rFonts w:hint="default"/>
                    </w:rPr>
                  </w:pPr>
                  <w:r>
                    <w:t>本项目符合《报告书》提出的临空经济区重点管控区域的环境准入要求；</w:t>
                  </w:r>
                </w:p>
                <w:p w14:paraId="171EA468">
                  <w:pPr>
                    <w:pStyle w:val="83"/>
                    <w:jc w:val="both"/>
                    <w:rPr>
                      <w:rFonts w:hint="default"/>
                    </w:rPr>
                  </w:pPr>
                  <w:r>
                    <w:t>项目的生产工艺、技术装备、污染治理水平以及单位产品能耗、物耗等达到国内同行业清洁生产先进水平；</w:t>
                  </w:r>
                </w:p>
                <w:p w14:paraId="0D95DB9D">
                  <w:pPr>
                    <w:pStyle w:val="83"/>
                    <w:jc w:val="both"/>
                    <w:rPr>
                      <w:rFonts w:hint="default"/>
                    </w:rPr>
                  </w:pPr>
                  <w:r>
                    <w:t>本项目不排放第一类重金属和持久性有机污染物，不属于以氨氮、总磷为主要污染物的项目。</w:t>
                  </w:r>
                </w:p>
              </w:tc>
              <w:tc>
                <w:tcPr>
                  <w:tcW w:w="216" w:type="pct"/>
                  <w:vAlign w:val="center"/>
                </w:tcPr>
                <w:p w14:paraId="4916C17E">
                  <w:pPr>
                    <w:pStyle w:val="83"/>
                    <w:rPr>
                      <w:rFonts w:hint="default"/>
                    </w:rPr>
                  </w:pPr>
                  <w:r>
                    <w:t>符合</w:t>
                  </w:r>
                </w:p>
              </w:tc>
            </w:tr>
            <w:tr w14:paraId="7629D5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2" w:type="pct"/>
                  <w:vAlign w:val="center"/>
                </w:tcPr>
                <w:p w14:paraId="5BCD396D">
                  <w:pPr>
                    <w:pStyle w:val="83"/>
                    <w:jc w:val="both"/>
                    <w:rPr>
                      <w:rFonts w:hint="default"/>
                    </w:rPr>
                  </w:pPr>
                  <w:r>
                    <w:t>加快环保基础设施提升改造。应按照“分质分流、清污分流、雨污分流”的原则建设污水收集和处理系统、加快流域环境综合整治，开展区域中水回用、生态补水、雨水利用等节水工程。严格控制三门闸下游排污口水污染物排放总量，潭头污水处理厂尾水远期建议引至松下港特殊利用区排放。加快推进区域集中供热替代分散锅炉的进度。依法依规做好一般工业固体废物和危险废物的分类收集、利用、处理处置工作。</w:t>
                  </w:r>
                </w:p>
              </w:tc>
              <w:tc>
                <w:tcPr>
                  <w:tcW w:w="2182" w:type="pct"/>
                  <w:vAlign w:val="center"/>
                </w:tcPr>
                <w:p w14:paraId="6B20FD76">
                  <w:pPr>
                    <w:pStyle w:val="83"/>
                    <w:jc w:val="both"/>
                    <w:rPr>
                      <w:rFonts w:hint="default"/>
                    </w:rPr>
                  </w:pPr>
                  <w:r>
                    <w:t>项目废水依托企业现有综合废水处理站进行处理，外排废水为RO反渗透浓水，实行雨污分流、清污分流制经市政污水管网进入滨海污水处理厂统一处理，处理达标后排放至牛头湾。</w:t>
                  </w:r>
                </w:p>
                <w:p w14:paraId="6BA8832A">
                  <w:pPr>
                    <w:pStyle w:val="83"/>
                    <w:jc w:val="both"/>
                    <w:rPr>
                      <w:rFonts w:hint="default"/>
                    </w:rPr>
                  </w:pPr>
                  <w:r>
                    <w:t>项目固废贮存依托企业现有废料仓库和危废间，依法依规做好一般工业固体废物和危险废物的分类收集、利用、处理处置工作。</w:t>
                  </w:r>
                </w:p>
              </w:tc>
              <w:tc>
                <w:tcPr>
                  <w:tcW w:w="216" w:type="pct"/>
                  <w:vAlign w:val="center"/>
                </w:tcPr>
                <w:p w14:paraId="3ABCC04B">
                  <w:pPr>
                    <w:pStyle w:val="83"/>
                    <w:rPr>
                      <w:rFonts w:hint="default"/>
                    </w:rPr>
                  </w:pPr>
                  <w:r>
                    <w:t>符合</w:t>
                  </w:r>
                </w:p>
              </w:tc>
            </w:tr>
            <w:tr w14:paraId="43C2C2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2" w:type="pct"/>
                  <w:vAlign w:val="center"/>
                </w:tcPr>
                <w:p w14:paraId="3DF3BB40">
                  <w:pPr>
                    <w:pStyle w:val="83"/>
                    <w:jc w:val="both"/>
                    <w:rPr>
                      <w:rFonts w:hint="default"/>
                    </w:rPr>
                  </w:pPr>
                  <w:r>
                    <w:t>建立健全环境风险防范体系。建立健全园区突发事件环境应急预案，并与当地政府、相关部门及临空经济区相关预案衔接，构建区域环境风险联控机制。做好环境应急保障，建设环境应急物资库和必要的应急防控工程。</w:t>
                  </w:r>
                </w:p>
              </w:tc>
              <w:tc>
                <w:tcPr>
                  <w:tcW w:w="2182" w:type="pct"/>
                  <w:vAlign w:val="center"/>
                </w:tcPr>
                <w:p w14:paraId="4A63657C">
                  <w:pPr>
                    <w:pStyle w:val="83"/>
                    <w:jc w:val="both"/>
                    <w:rPr>
                      <w:rFonts w:hint="default"/>
                    </w:rPr>
                  </w:pPr>
                  <w:r>
                    <w:t>项目加强环境风险事故防范措施，建成运行后其应急预案管理将纳入福建永荣锦江股份有限公司应急预案组织和管理系统应急预案组织和管理系统。</w:t>
                  </w:r>
                </w:p>
              </w:tc>
              <w:tc>
                <w:tcPr>
                  <w:tcW w:w="216" w:type="pct"/>
                  <w:vAlign w:val="center"/>
                </w:tcPr>
                <w:p w14:paraId="62391AB7">
                  <w:pPr>
                    <w:pStyle w:val="83"/>
                    <w:rPr>
                      <w:rFonts w:hint="default"/>
                    </w:rPr>
                  </w:pPr>
                  <w:r>
                    <w:t>符合</w:t>
                  </w:r>
                </w:p>
              </w:tc>
            </w:tr>
            <w:tr w14:paraId="0B632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02" w:type="pct"/>
                  <w:vAlign w:val="center"/>
                </w:tcPr>
                <w:p w14:paraId="219BA2A7">
                  <w:pPr>
                    <w:pStyle w:val="83"/>
                    <w:jc w:val="both"/>
                    <w:rPr>
                      <w:rFonts w:hint="default"/>
                    </w:rPr>
                  </w:pPr>
                  <w:r>
                    <w:t>加强环境监测体系和能力建设。重点做好区内饮用水源地保护区、湿地保护区、近岸海域、周边居民区大气环境及土壤和地下水环境的长期跟踪监测与管理，根据监测结果及时采取相应措施 明确园区环境保护主体责任，加强园区环境管理能力建设。</w:t>
                  </w:r>
                </w:p>
              </w:tc>
              <w:tc>
                <w:tcPr>
                  <w:tcW w:w="2182" w:type="pct"/>
                  <w:vAlign w:val="center"/>
                </w:tcPr>
                <w:p w14:paraId="6ABB950A">
                  <w:pPr>
                    <w:pStyle w:val="83"/>
                    <w:jc w:val="both"/>
                    <w:rPr>
                      <w:rFonts w:hint="default"/>
                    </w:rPr>
                  </w:pPr>
                  <w:r>
                    <w:t>本项目根据环境监测计划做好跟踪监测与管理，并根据监测结果及时采取相应措施。</w:t>
                  </w:r>
                </w:p>
              </w:tc>
              <w:tc>
                <w:tcPr>
                  <w:tcW w:w="216" w:type="pct"/>
                  <w:vAlign w:val="center"/>
                </w:tcPr>
                <w:p w14:paraId="39519F90">
                  <w:pPr>
                    <w:pStyle w:val="83"/>
                    <w:rPr>
                      <w:rFonts w:hint="default"/>
                    </w:rPr>
                  </w:pPr>
                  <w:r>
                    <w:t>符合</w:t>
                  </w:r>
                </w:p>
              </w:tc>
            </w:tr>
          </w:tbl>
          <w:p w14:paraId="75A6CAC1">
            <w:pPr>
              <w:ind w:firstLine="480"/>
            </w:pPr>
            <w:r>
              <w:rPr>
                <w:rFonts w:hint="eastAsia"/>
              </w:rPr>
              <w:t>对照规划环评报告及批文，项目建设符合当前的环保政策，满足规划环评中对进区项目的环保要求，与规划及规划环评不冲突。</w:t>
            </w:r>
          </w:p>
          <w:p w14:paraId="1ABD3C56">
            <w:pPr>
              <w:ind w:firstLine="600"/>
              <w:outlineLvl w:val="0"/>
              <w:rPr>
                <w:rFonts w:eastAsia="黑体"/>
                <w:sz w:val="30"/>
              </w:rPr>
            </w:pPr>
          </w:p>
          <w:p w14:paraId="68C06A35">
            <w:pPr>
              <w:ind w:firstLine="600"/>
              <w:outlineLvl w:val="0"/>
              <w:rPr>
                <w:rFonts w:eastAsia="黑体"/>
                <w:sz w:val="30"/>
              </w:rPr>
            </w:pPr>
          </w:p>
          <w:p w14:paraId="38B77195">
            <w:pPr>
              <w:ind w:firstLine="600"/>
              <w:outlineLvl w:val="0"/>
              <w:rPr>
                <w:rFonts w:eastAsia="黑体"/>
                <w:sz w:val="30"/>
              </w:rPr>
            </w:pPr>
          </w:p>
          <w:p w14:paraId="708D4468">
            <w:pPr>
              <w:ind w:firstLine="600"/>
              <w:outlineLvl w:val="0"/>
              <w:rPr>
                <w:rFonts w:eastAsia="黑体"/>
                <w:sz w:val="30"/>
              </w:rPr>
            </w:pPr>
          </w:p>
          <w:p w14:paraId="76863D78">
            <w:pPr>
              <w:ind w:firstLine="600"/>
              <w:outlineLvl w:val="0"/>
              <w:rPr>
                <w:rFonts w:eastAsia="黑体"/>
                <w:sz w:val="30"/>
              </w:rPr>
            </w:pPr>
          </w:p>
          <w:p w14:paraId="16F10FD2">
            <w:pPr>
              <w:ind w:firstLine="600"/>
              <w:outlineLvl w:val="0"/>
              <w:rPr>
                <w:rFonts w:eastAsia="黑体"/>
                <w:sz w:val="30"/>
              </w:rPr>
            </w:pPr>
          </w:p>
          <w:p w14:paraId="38F89C11">
            <w:pPr>
              <w:ind w:firstLine="600"/>
              <w:outlineLvl w:val="0"/>
              <w:rPr>
                <w:rFonts w:eastAsia="黑体"/>
                <w:sz w:val="30"/>
              </w:rPr>
            </w:pPr>
          </w:p>
          <w:p w14:paraId="34881B88">
            <w:pPr>
              <w:ind w:firstLine="600"/>
              <w:outlineLvl w:val="0"/>
              <w:rPr>
                <w:rFonts w:eastAsia="黑体"/>
                <w:sz w:val="30"/>
              </w:rPr>
            </w:pPr>
          </w:p>
          <w:p w14:paraId="649504B3">
            <w:pPr>
              <w:ind w:firstLine="600"/>
              <w:outlineLvl w:val="0"/>
              <w:rPr>
                <w:rFonts w:eastAsia="黑体"/>
                <w:sz w:val="30"/>
              </w:rPr>
            </w:pPr>
          </w:p>
          <w:p w14:paraId="43E22E21">
            <w:pPr>
              <w:ind w:firstLine="600"/>
              <w:outlineLvl w:val="0"/>
              <w:rPr>
                <w:rFonts w:eastAsia="黑体"/>
                <w:sz w:val="30"/>
              </w:rPr>
            </w:pPr>
          </w:p>
          <w:p w14:paraId="57107F6E">
            <w:pPr>
              <w:ind w:firstLine="600"/>
              <w:outlineLvl w:val="0"/>
              <w:rPr>
                <w:rFonts w:eastAsia="黑体"/>
                <w:sz w:val="30"/>
              </w:rPr>
            </w:pPr>
          </w:p>
          <w:p w14:paraId="2EF577D4">
            <w:pPr>
              <w:ind w:firstLine="600"/>
              <w:outlineLvl w:val="0"/>
              <w:rPr>
                <w:rFonts w:eastAsia="黑体"/>
                <w:sz w:val="30"/>
              </w:rPr>
            </w:pPr>
          </w:p>
          <w:p w14:paraId="1A02C3D4">
            <w:pPr>
              <w:ind w:firstLine="600"/>
              <w:outlineLvl w:val="0"/>
              <w:rPr>
                <w:rFonts w:eastAsia="黑体"/>
                <w:sz w:val="30"/>
              </w:rPr>
            </w:pPr>
          </w:p>
          <w:p w14:paraId="771F5E40">
            <w:pPr>
              <w:ind w:firstLine="600"/>
              <w:outlineLvl w:val="0"/>
              <w:rPr>
                <w:rFonts w:eastAsia="黑体"/>
                <w:sz w:val="30"/>
              </w:rPr>
            </w:pPr>
          </w:p>
        </w:tc>
      </w:tr>
    </w:tbl>
    <w:p w14:paraId="1C4B7957">
      <w:pPr>
        <w:ind w:firstLine="600"/>
        <w:outlineLvl w:val="0"/>
        <w:rPr>
          <w:rFonts w:eastAsia="黑体"/>
          <w:sz w:val="30"/>
        </w:rPr>
        <w:sectPr>
          <w:pgSz w:w="23814" w:h="16839" w:orient="landscape"/>
          <w:pgMar w:top="1531" w:right="1701" w:bottom="1531" w:left="170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595"/>
        <w:gridCol w:w="8305"/>
      </w:tblGrid>
      <w:tr w14:paraId="3A02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5" w:type="dxa"/>
            <w:vAlign w:val="center"/>
          </w:tcPr>
          <w:p w14:paraId="167AD0E1">
            <w:pPr>
              <w:autoSpaceDE w:val="0"/>
              <w:autoSpaceDN w:val="0"/>
              <w:adjustRightInd w:val="0"/>
              <w:snapToGrid w:val="0"/>
              <w:ind w:firstLine="0" w:firstLineChars="0"/>
              <w:jc w:val="center"/>
              <w:rPr>
                <w:kern w:val="0"/>
                <w:sz w:val="21"/>
                <w:szCs w:val="18"/>
              </w:rPr>
            </w:pPr>
            <w:r>
              <w:rPr>
                <w:rFonts w:hint="eastAsia"/>
                <w:kern w:val="0"/>
                <w:sz w:val="21"/>
                <w:szCs w:val="18"/>
              </w:rPr>
              <w:t>其他符合性分析</w:t>
            </w:r>
          </w:p>
        </w:tc>
        <w:tc>
          <w:tcPr>
            <w:tcW w:w="8305" w:type="dxa"/>
            <w:vAlign w:val="center"/>
          </w:tcPr>
          <w:p w14:paraId="00AC0C27">
            <w:pPr>
              <w:pStyle w:val="3"/>
              <w:spacing w:before="120" w:after="0" w:afterLines="0"/>
            </w:pPr>
            <w:r>
              <w:rPr>
                <w:rFonts w:hint="eastAsia"/>
              </w:rPr>
              <w:t>1.3 产业政策符合性分析</w:t>
            </w:r>
          </w:p>
          <w:p w14:paraId="635AE16C">
            <w:pPr>
              <w:ind w:firstLine="480"/>
            </w:pPr>
            <w:r>
              <w:rPr>
                <w:rFonts w:hint="eastAsia"/>
              </w:rPr>
              <w:t>本次项目从事锦纶纤维的生产和研发，建设聚酰胺共性技术中试平台，覆盖新材料研发、纤维与面料开发实验，提供纤维、面料检测服务，聚焦高性能、绿色化、智能化纺织材料研发，致力于攻克功能性纤维、可降解材料及智能纺织品等关键共性技术，助力我国纺织新材料产业升级。</w:t>
            </w:r>
          </w:p>
          <w:p w14:paraId="3086E15A">
            <w:pPr>
              <w:ind w:firstLine="480"/>
            </w:pPr>
            <w:r>
              <w:rPr>
                <w:rFonts w:hint="eastAsia"/>
              </w:rPr>
              <w:t>项目属于《产业结构调整指导目录（2024年本）》（中华人民共和国国家发展和改革委员会令第7号）中鼓励类“二十、纺织1、差别化、功能性聚酯（PET）的连续共聚改性[阳离子染料可染聚酯（CDP、ECDP）、碱溶性聚酯（COPET）、高收缩聚酯（HSPET）、阻燃聚酯、低熔点聚酯、非结晶聚酯、生物可降解聚酯、采用绿色催化剂生产的聚酯等]；阻燃、抗静电、抗紫外、抗菌、相变储能、光致变色、原液着色等差别化、功能性化学纤维的高效柔性化制备技术；智能化、超仿真等功能性化学纤维生产；原创性开发高速纺丝加工用绿色高效环保油剂。”中的</w:t>
            </w:r>
            <w:r>
              <w:rPr>
                <w:rFonts w:hint="eastAsia"/>
                <w:b/>
                <w:bCs/>
              </w:rPr>
              <w:t>“智能化、超仿真等功能性化学纤维生产”。</w:t>
            </w:r>
          </w:p>
          <w:p w14:paraId="417FF4F7">
            <w:pPr>
              <w:ind w:firstLine="480"/>
            </w:pPr>
            <w:r>
              <w:rPr>
                <w:rFonts w:hint="eastAsia"/>
              </w:rPr>
              <w:t>生产工艺和生产设备均不属于《产业结构调整指导目录（2024年本）》（中华人民共和国国家发展和改革委员会令第7号）中的限制类或淘汰类。项目已取得福州市长乐区发展和改革局颁发的备案（闽发改备〔2025〕0168号）。</w:t>
            </w:r>
          </w:p>
          <w:p w14:paraId="64E57534">
            <w:pPr>
              <w:ind w:firstLine="480"/>
            </w:pPr>
            <w:r>
              <w:rPr>
                <w:rFonts w:hint="eastAsia"/>
              </w:rPr>
              <w:t>综上所述，项目的建设符合当前国家相关产业政策的要求。</w:t>
            </w:r>
          </w:p>
          <w:p w14:paraId="51CE450D">
            <w:pPr>
              <w:pStyle w:val="3"/>
              <w:spacing w:before="120" w:after="0" w:afterLines="0"/>
            </w:pPr>
            <w:r>
              <w:rPr>
                <w:rFonts w:hint="eastAsia"/>
              </w:rPr>
              <w:t>1.4 项目选址合理性分析</w:t>
            </w:r>
          </w:p>
          <w:p w14:paraId="713BD28B">
            <w:pPr>
              <w:pStyle w:val="4"/>
              <w:spacing w:before="120" w:after="0" w:afterLines="0"/>
            </w:pPr>
            <w:r>
              <w:rPr>
                <w:rFonts w:hint="eastAsia"/>
              </w:rPr>
              <w:t>1.4.1 土地利用合理性分析</w:t>
            </w:r>
          </w:p>
          <w:p w14:paraId="1F0921FF">
            <w:pPr>
              <w:ind w:firstLine="480"/>
            </w:pPr>
            <w:r>
              <w:rPr>
                <w:rFonts w:hint="eastAsia"/>
              </w:rPr>
              <w:t>本次项目</w:t>
            </w:r>
            <w:bookmarkStart w:id="2" w:name="_Hlk140072363"/>
            <w:r>
              <w:rPr>
                <w:rFonts w:hint="eastAsia"/>
              </w:rPr>
              <w:t>位于福州市长乐区湖南镇鹏程路28号，在福建永荣锦江股份有限公司现有厂区范围内新建一座6#中试车间进行生产</w:t>
            </w:r>
            <w:bookmarkEnd w:id="2"/>
            <w:r>
              <w:rPr>
                <w:rFonts w:hint="eastAsia"/>
              </w:rPr>
              <w:t>。根据企业土地证（闽（2020）长乐区不动产权第0004479号），项目用地性质为工业用地，符合土地利用规划（见附图5）。</w:t>
            </w:r>
          </w:p>
          <w:p w14:paraId="3C6A0516">
            <w:pPr>
              <w:pStyle w:val="4"/>
              <w:spacing w:before="120" w:after="0" w:afterLines="0"/>
            </w:pPr>
            <w:r>
              <w:rPr>
                <w:rFonts w:hint="eastAsia"/>
              </w:rPr>
              <w:t>1.4.2 与周边环境相容性</w:t>
            </w:r>
          </w:p>
          <w:p w14:paraId="4A51E17A">
            <w:pPr>
              <w:ind w:firstLine="480"/>
            </w:pPr>
            <w:r>
              <w:rPr>
                <w:rFonts w:hint="eastAsia"/>
              </w:rPr>
              <w:t>根据现场勘查，企业厂界东侧为福州长乐机场综合保税区一期，南侧为福建长源纺织有限公司，西侧为空地，北侧为福建省鑫港纺织机械有限公司和长乐永德信电力器材设备有限公司，距离企业厂界最近的居民区为西南侧388m处的湖滨村。项目地理位置优越，交通便捷，从建设项目环境影响角度分析，本项目在采取严格的污染防治措施后，各项污染物均可达标排放，对周围环境影响不大，项目建设和周围环境相容。</w:t>
            </w:r>
          </w:p>
          <w:p w14:paraId="4243DFE9">
            <w:pPr>
              <w:pStyle w:val="3"/>
              <w:spacing w:before="120" w:after="0" w:afterLines="0"/>
            </w:pPr>
            <w:r>
              <w:rPr>
                <w:rFonts w:hint="eastAsia"/>
              </w:rPr>
              <w:t>1.5 与《福州市国土空间总体规划（2021—2035年）》符合性分析</w:t>
            </w:r>
          </w:p>
          <w:p w14:paraId="40F1B846">
            <w:pPr>
              <w:ind w:firstLine="480"/>
            </w:pPr>
            <w:r>
              <w:rPr>
                <w:rFonts w:hint="eastAsia"/>
              </w:rPr>
              <w:t>1.相关内容</w:t>
            </w:r>
          </w:p>
          <w:p w14:paraId="14372BFA">
            <w:pPr>
              <w:ind w:firstLine="480"/>
            </w:pPr>
            <w:r>
              <w:rPr>
                <w:rFonts w:hint="eastAsia"/>
              </w:rPr>
              <w:t>（1）国土空间开发保护总体格局</w:t>
            </w:r>
          </w:p>
          <w:p w14:paraId="239EC16E">
            <w:pPr>
              <w:ind w:firstLine="480"/>
            </w:pPr>
            <w:r>
              <w:rPr>
                <w:rFonts w:hint="eastAsia"/>
              </w:rPr>
              <w:t>衔接落实国家和福建省农业、生态、城镇格局，坚持“东进南下、沿江向海”空间发展方向，统筹开发与保护，构建“一主一副、双轴两翼、五廊一区”的国土空间开发保护总体格局。“一主一副”即市域主中心（福州中心城区）和市域副中心（福清市区）；“双轴两翼”即沿江发展轴和滨海发展轴，以及北翼（罗源湾地区）和南翼（江阴湾、福清湾地区）；“五廊一区”即五条山海生态廊道，以及西部山地生态涵养和绿色发展区。</w:t>
            </w:r>
          </w:p>
          <w:p w14:paraId="1C6F67DD">
            <w:pPr>
              <w:ind w:firstLine="480"/>
            </w:pPr>
            <w:r>
              <w:rPr>
                <w:rFonts w:hint="eastAsia"/>
              </w:rPr>
              <w:t>（2）产业空间布局</w:t>
            </w:r>
          </w:p>
          <w:p w14:paraId="78F04706">
            <w:pPr>
              <w:ind w:firstLine="480"/>
            </w:pPr>
            <w:r>
              <w:rPr>
                <w:rFonts w:hint="eastAsia"/>
              </w:rPr>
              <w:t>聚焦数字经济、海洋经济、绿色经济、文旅经济，加快构建现代化经济体系。以各类园区为支撑，按照“核心引领、山海协同、湾区联动、板块集聚”思路，引导优势产业向重点产业功能区集中集约发展。……保障沿海地区园区新兴龙头产业项目及其上下游配套项目的落地，打造新兴产业集聚区。……</w:t>
            </w:r>
          </w:p>
          <w:p w14:paraId="34E1A4CC">
            <w:pPr>
              <w:ind w:firstLine="480"/>
            </w:pPr>
            <w:r>
              <w:rPr>
                <w:rFonts w:hint="eastAsia"/>
              </w:rPr>
              <w:t>（3）中心城区空间结构</w:t>
            </w:r>
          </w:p>
          <w:p w14:paraId="4F7BE413">
            <w:pPr>
              <w:ind w:firstLine="480"/>
            </w:pPr>
            <w:r>
              <w:rPr>
                <w:rFonts w:hint="eastAsia"/>
              </w:rPr>
              <w:t>推进福州主城与滨海新城一体化发展，引导中心城区空间格局从单中心向多中心、组团式、网络化转变，打造“一环两带两轴、双核两心七组团”的空间结构。“一环”为环城山体公园带，“两带”为闽江城市活力景观带、乌龙江生态景观带，“两轴”为传统城市发展轴、新兴东进发展轴；“双核”为福州主城核心区、滨海新城核心区，“两心”为三江口副中心、科学城副中心，“七组团”为福州主城外围的荆溪组团、旗山山前组团、青口组团、吴航组团、闽江口组团、航空城组团和松下港城组团。……航空城组团，推进空港改扩建，加强城际铁路与空港一体化建设，推进高铁进机场，提升空港枢纽地位，建设智能制造研发中心、工业互联网研究中心，聚集发展临空产业、高新技术产业，打造福州（长乐）国际航空城。</w:t>
            </w:r>
          </w:p>
          <w:p w14:paraId="5EE98F0F">
            <w:pPr>
              <w:ind w:firstLine="480"/>
            </w:pPr>
            <w:r>
              <w:rPr>
                <w:rFonts w:hint="eastAsia"/>
              </w:rPr>
              <w:t>2.符合性分析</w:t>
            </w:r>
          </w:p>
          <w:p w14:paraId="41220A57">
            <w:pPr>
              <w:ind w:firstLine="480"/>
            </w:pPr>
            <w:r>
              <w:rPr>
                <w:rFonts w:hint="eastAsia"/>
              </w:rPr>
              <w:t>本项目位于空间规划中的滨海发展轴和航空城组团，主要从事锦纶纤维的生产和研发，建设聚酰胺共性技术中试平台，开展新材料研发、纤维与面料开发实验、纤维检测等工作，属于先进制造业。因此，项目建设符合《福州市国土空间总体规划（2021—2035年）》要求。</w:t>
            </w:r>
          </w:p>
          <w:p w14:paraId="51F387EB">
            <w:pPr>
              <w:pStyle w:val="13"/>
            </w:pPr>
            <w:r>
              <w:rPr>
                <w:rFonts w:hint="eastAsia"/>
              </w:rPr>
              <mc:AlternateContent>
                <mc:Choice Requires="wps">
                  <w:drawing>
                    <wp:anchor distT="0" distB="0" distL="114300" distR="114300" simplePos="0" relativeHeight="251660288" behindDoc="0" locked="0" layoutInCell="1" allowOverlap="1">
                      <wp:simplePos x="0" y="0"/>
                      <wp:positionH relativeFrom="column">
                        <wp:posOffset>2923540</wp:posOffset>
                      </wp:positionH>
                      <wp:positionV relativeFrom="paragraph">
                        <wp:posOffset>1557020</wp:posOffset>
                      </wp:positionV>
                      <wp:extent cx="1177290" cy="328930"/>
                      <wp:effectExtent l="453390" t="4445" r="7620" b="47625"/>
                      <wp:wrapNone/>
                      <wp:docPr id="64" name="线形标注 1 64"/>
                      <wp:cNvGraphicFramePr/>
                      <a:graphic xmlns:a="http://schemas.openxmlformats.org/drawingml/2006/main">
                        <a:graphicData uri="http://schemas.microsoft.com/office/word/2010/wordprocessingShape">
                          <wps:wsp>
                            <wps:cNvSpPr/>
                            <wps:spPr>
                              <a:xfrm>
                                <a:off x="3849370" y="5450205"/>
                                <a:ext cx="1177290" cy="328930"/>
                              </a:xfrm>
                              <a:prstGeom prst="borderCallout1">
                                <a:avLst>
                                  <a:gd name="adj1" fmla="val 53088"/>
                                  <a:gd name="adj2" fmla="val -970"/>
                                  <a:gd name="adj3" fmla="val 112500"/>
                                  <a:gd name="adj4" fmla="val -38333"/>
                                </a:avLst>
                              </a:prstGeom>
                              <a:solidFill>
                                <a:schemeClr val="bg2"/>
                              </a:solid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A71DB09">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本项目所在位置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230.2pt;margin-top:122.6pt;height:25.9pt;width:92.7pt;z-index:251660288;v-text-anchor:middle;mso-width-relative:page;mso-height-relative:page;" fillcolor="#EEECE1 [3214]" filled="t" stroked="t" coordsize="21600,21600" o:gfxdata="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28AGAdkA&#10;AAALAQAADwAAAAAAAAABACAAAAAiAAAAZHJzL2Rvd25yZXYueG1sUEsBAhQAFAAAAAgAh07iQMn8&#10;ScTJAgAAoQUAAA4AAAAAAAAAAQAgAAAAKAEAAGRycy9lMm9Eb2MueG1sUEsFBgAAAAAGAAYAWQEA&#10;AGMGAAAAAA==&#10;" adj="-8280,24300,-210,11467">
                      <v:fill on="t" focussize="0,0"/>
                      <v:stroke weight="0.25pt" color="#000000 [3213]" joinstyle="round"/>
                      <v:imagedata o:title=""/>
                      <o:lock v:ext="edit" aspectratio="f"/>
                      <v:textbox>
                        <w:txbxContent>
                          <w:p w14:paraId="6A71DB09">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本项目所在位置</w:t>
                            </w:r>
                          </w:p>
                        </w:txbxContent>
                      </v:textbox>
                    </v:shap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2344420</wp:posOffset>
                      </wp:positionH>
                      <wp:positionV relativeFrom="paragraph">
                        <wp:posOffset>1833880</wp:posOffset>
                      </wp:positionV>
                      <wp:extent cx="179705" cy="179705"/>
                      <wp:effectExtent l="0" t="0" r="10795" b="10795"/>
                      <wp:wrapNone/>
                      <wp:docPr id="62" name="五角星 62"/>
                      <wp:cNvGraphicFramePr/>
                      <a:graphic xmlns:a="http://schemas.openxmlformats.org/drawingml/2006/main">
                        <a:graphicData uri="http://schemas.microsoft.com/office/word/2010/wordprocessingShape">
                          <wps:wsp>
                            <wps:cNvSpPr/>
                            <wps:spPr>
                              <a:xfrm>
                                <a:off x="4117975" y="5433060"/>
                                <a:ext cx="179705" cy="179705"/>
                              </a:xfrm>
                              <a:prstGeom prst="star5">
                                <a:avLst/>
                              </a:prstGeom>
                              <a:solidFill>
                                <a:srgbClr val="FFFF00"/>
                              </a:solidFill>
                              <a:ln w="6350">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4.6pt;margin-top:144.4pt;height:14.15pt;width:14.15pt;z-index:251659264;v-text-anchor:middle;mso-width-relative:page;mso-height-relative:page;" fillcolor="#FFFF00" filled="t" stroked="f" coordsize="179705,179705" o:gfxdata="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IabMmnbAAAACwEAAA8AAAAAAAAAAQAgAAAAIgAAAGRycy9kb3du&#10;cmV2LnhtbFBLAQIUABQAAAAIAIdO4kDP9GzcbgIAAMQEAAAOAAAAAAAAAAEAIAAAACoBAABkcnMv&#10;ZTJvRG9jLnhtbFBLBQYAAAAABgAGAFkBAAAKBgAAAAA=&#10;" path="m0,68641l68641,68641,89852,0,111063,68641,179704,68641,124172,111063,145384,179704,89852,137281,34320,179704,55532,111063xe">
                      <v:path o:connectlocs="89852,0;0,68641;34320,179704;145384,179704;179704,68641" o:connectangles="247,164,82,82,0"/>
                      <v:fill on="t" focussize="0,0"/>
                      <v:stroke on="f" weight="0.5pt"/>
                      <v:imagedata o:title=""/>
                      <o:lock v:ext="edit" aspectratio="f"/>
                    </v:shape>
                  </w:pict>
                </mc:Fallback>
              </mc:AlternateContent>
            </w:r>
            <w:r>
              <w:rPr>
                <w:rFonts w:hint="eastAsia"/>
              </w:rPr>
              <w:drawing>
                <wp:inline distT="0" distB="0" distL="114300" distR="114300">
                  <wp:extent cx="5139055" cy="3636010"/>
                  <wp:effectExtent l="0" t="0" r="4445" b="2540"/>
                  <wp:docPr id="6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
                          <pic:cNvPicPr>
                            <a:picLocks noChangeAspect="1"/>
                          </pic:cNvPicPr>
                        </pic:nvPicPr>
                        <pic:blipFill>
                          <a:blip r:embed="rId16"/>
                          <a:stretch>
                            <a:fillRect/>
                          </a:stretch>
                        </pic:blipFill>
                        <pic:spPr>
                          <a:xfrm>
                            <a:off x="0" y="0"/>
                            <a:ext cx="5139055" cy="3636010"/>
                          </a:xfrm>
                          <a:prstGeom prst="rect">
                            <a:avLst/>
                          </a:prstGeom>
                          <a:noFill/>
                          <a:ln>
                            <a:noFill/>
                          </a:ln>
                        </pic:spPr>
                      </pic:pic>
                    </a:graphicData>
                  </a:graphic>
                </wp:inline>
              </w:drawing>
            </w:r>
          </w:p>
          <w:p w14:paraId="06B213D2">
            <w:pPr>
              <w:pStyle w:val="13"/>
            </w:pPr>
            <w:r>
              <w:rPr>
                <w:rFonts w:hint="eastAsia"/>
              </w:rPr>
              <w:t>图1.5-1  项目在福州市国土空间总体格局规划中的位置</w:t>
            </w:r>
          </w:p>
          <w:p w14:paraId="78AF23C5">
            <w:pPr>
              <w:pStyle w:val="13"/>
            </w:pPr>
            <w:r>
              <w:rPr>
                <w:rFonts w:hint="eastAsia"/>
              </w:rPr>
              <mc:AlternateContent>
                <mc:Choice Requires="wps">
                  <w:drawing>
                    <wp:anchor distT="0" distB="0" distL="114300" distR="114300" simplePos="0" relativeHeight="251662336" behindDoc="0" locked="0" layoutInCell="1" allowOverlap="1">
                      <wp:simplePos x="0" y="0"/>
                      <wp:positionH relativeFrom="column">
                        <wp:posOffset>3469005</wp:posOffset>
                      </wp:positionH>
                      <wp:positionV relativeFrom="paragraph">
                        <wp:posOffset>2501265</wp:posOffset>
                      </wp:positionV>
                      <wp:extent cx="1177290" cy="328930"/>
                      <wp:effectExtent l="178435" t="323215" r="15875" b="14605"/>
                      <wp:wrapNone/>
                      <wp:docPr id="66" name="线形标注 1 66"/>
                      <wp:cNvGraphicFramePr/>
                      <a:graphic xmlns:a="http://schemas.openxmlformats.org/drawingml/2006/main">
                        <a:graphicData uri="http://schemas.microsoft.com/office/word/2010/wordprocessingShape">
                          <wps:wsp>
                            <wps:cNvSpPr/>
                            <wps:spPr>
                              <a:xfrm>
                                <a:off x="0" y="0"/>
                                <a:ext cx="1177290" cy="328930"/>
                              </a:xfrm>
                              <a:prstGeom prst="borderCallout1">
                                <a:avLst>
                                  <a:gd name="adj1" fmla="val 50386"/>
                                  <a:gd name="adj2" fmla="val -215"/>
                                  <a:gd name="adj3" fmla="val -97876"/>
                                  <a:gd name="adj4" fmla="val -14778"/>
                                </a:avLst>
                              </a:prstGeom>
                              <a:solidFill>
                                <a:schemeClr val="bg2"/>
                              </a:solid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3D0C779">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本项目所在位置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7" type="#_x0000_t47" style="position:absolute;left:0pt;margin-left:273.15pt;margin-top:196.95pt;height:25.9pt;width:92.7pt;z-index:251662336;v-text-anchor:middle;mso-width-relative:page;mso-height-relative:page;" fillcolor="#EEECE1 [3214]" filled="t" stroked="t" coordsize="21600,21600" o:gfxdata="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FpZ5DXbAAAACwEAAA8AAAAA&#10;AAAAAQAgAAAAIgAAAGRycy9kb3ducmV2LnhtbFBLAQIUABQAAAAIAIdO4kB69jdJvAIAAJUFAAAO&#10;AAAAAAAAAAEAIAAAACoBAABkcnMvZTJvRG9jLnhtbFBLBQYAAAAABgAGAFkBAABYBgAAAAA=&#10;" adj="-3192,-21141,-46,10883">
                      <v:fill on="t" focussize="0,0"/>
                      <v:stroke weight="0.25pt" color="#000000 [3213]" joinstyle="round"/>
                      <v:imagedata o:title=""/>
                      <o:lock v:ext="edit" aspectratio="f"/>
                      <v:textbox>
                        <w:txbxContent>
                          <w:p w14:paraId="13D0C779">
                            <w:pPr>
                              <w:spacing w:line="240" w:lineRule="auto"/>
                              <w:ind w:firstLine="0" w:firstLineChars="0"/>
                              <w:jc w:val="center"/>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本项目所在位置</w:t>
                            </w:r>
                          </w:p>
                        </w:txbxContent>
                      </v:textbox>
                    </v:shape>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3201670</wp:posOffset>
                      </wp:positionH>
                      <wp:positionV relativeFrom="paragraph">
                        <wp:posOffset>2042160</wp:posOffset>
                      </wp:positionV>
                      <wp:extent cx="179705" cy="179705"/>
                      <wp:effectExtent l="4445" t="4445" r="6350" b="6350"/>
                      <wp:wrapNone/>
                      <wp:docPr id="67" name="五角星 67"/>
                      <wp:cNvGraphicFramePr/>
                      <a:graphic xmlns:a="http://schemas.openxmlformats.org/drawingml/2006/main">
                        <a:graphicData uri="http://schemas.microsoft.com/office/word/2010/wordprocessingShape">
                          <wps:wsp>
                            <wps:cNvSpPr/>
                            <wps:spPr>
                              <a:xfrm>
                                <a:off x="0" y="0"/>
                                <a:ext cx="179705" cy="179705"/>
                              </a:xfrm>
                              <a:prstGeom prst="star5">
                                <a:avLst/>
                              </a:prstGeom>
                              <a:solidFill>
                                <a:srgbClr val="7030A0"/>
                              </a:solidFill>
                              <a:ln w="6350">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52.1pt;margin-top:160.8pt;height:14.15pt;width:14.15pt;z-index:251661312;v-text-anchor:middle;mso-width-relative:page;mso-height-relative:page;" fillcolor="#7030A0" filled="t" stroked="t" coordsize="179705,179705" o:gfxdata="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bmpsK2QAAAAsBAAAPAAAAAAAAAAEAIAAAACIAAABkcnMvZG93bnJldi54&#10;bWxQSwECFAAUAAAACACHTuJAjvu/smsCAADhBAAADgAAAAAAAAABACAAAAAoAQAAZHJzL2Uyb0Rv&#10;Yy54bWxQSwUGAAAAAAYABgBZAQAABQYAAAAA&#10;" path="m0,68641l68641,68641,89852,0,111063,68641,179704,68641,124172,111063,145384,179704,89852,137281,34320,179704,55532,111063xe">
                      <v:path o:connectlocs="89852,0;0,68641;34320,179704;145384,179704;179704,68641" o:connectangles="247,164,82,82,0"/>
                      <v:fill on="t" focussize="0,0"/>
                      <v:stroke weight="0.5pt" color="#FFFFFF [3212]" joinstyle="round"/>
                      <v:imagedata o:title=""/>
                      <o:lock v:ext="edit" aspectratio="f"/>
                    </v:shape>
                  </w:pict>
                </mc:Fallback>
              </mc:AlternateContent>
            </w:r>
            <w:r>
              <w:rPr>
                <w:rFonts w:hint="eastAsia"/>
              </w:rPr>
              <w:drawing>
                <wp:inline distT="0" distB="0" distL="114300" distR="114300">
                  <wp:extent cx="5139690" cy="3636010"/>
                  <wp:effectExtent l="0" t="0" r="3810" b="2540"/>
                  <wp:docPr id="6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8"/>
                          <pic:cNvPicPr>
                            <a:picLocks noChangeAspect="1"/>
                          </pic:cNvPicPr>
                        </pic:nvPicPr>
                        <pic:blipFill>
                          <a:blip r:embed="rId17"/>
                          <a:stretch>
                            <a:fillRect/>
                          </a:stretch>
                        </pic:blipFill>
                        <pic:spPr>
                          <a:xfrm>
                            <a:off x="0" y="0"/>
                            <a:ext cx="5139690" cy="3636010"/>
                          </a:xfrm>
                          <a:prstGeom prst="rect">
                            <a:avLst/>
                          </a:prstGeom>
                          <a:noFill/>
                          <a:ln>
                            <a:noFill/>
                          </a:ln>
                        </pic:spPr>
                      </pic:pic>
                    </a:graphicData>
                  </a:graphic>
                </wp:inline>
              </w:drawing>
            </w:r>
          </w:p>
          <w:p w14:paraId="71FC3D84">
            <w:pPr>
              <w:pStyle w:val="13"/>
            </w:pPr>
            <w:r>
              <w:rPr>
                <w:rFonts w:hint="eastAsia"/>
              </w:rPr>
              <w:t>图1.5-2  项目在福州市中心城区结构规划中的位置</w:t>
            </w:r>
          </w:p>
          <w:p w14:paraId="74D0E204">
            <w:pPr>
              <w:pStyle w:val="3"/>
              <w:spacing w:before="120" w:after="0" w:afterLines="0"/>
            </w:pPr>
            <w:r>
              <w:rPr>
                <w:rFonts w:hint="eastAsia"/>
              </w:rPr>
              <w:t>1.6 生态环境分区管控符合性分析</w:t>
            </w:r>
          </w:p>
          <w:p w14:paraId="0C7BB768">
            <w:pPr>
              <w:ind w:firstLine="480"/>
            </w:pPr>
            <w:r>
              <w:rPr>
                <w:rFonts w:hint="eastAsia"/>
              </w:rPr>
              <w:t>根据《福州市生态环境局关于发布福州市2024年生态环境分区管控动态更新成果的通知》（榕环保综〔2025〕1号），项目与福州市生态环境分区管控要求符合性分析如下：</w:t>
            </w:r>
          </w:p>
          <w:p w14:paraId="0137BF51">
            <w:pPr>
              <w:pStyle w:val="4"/>
              <w:spacing w:before="120" w:after="0" w:afterLines="0"/>
            </w:pPr>
            <w:r>
              <w:rPr>
                <w:rFonts w:hint="eastAsia"/>
              </w:rPr>
              <w:t>1.6.1 生态保护红线与一般生态空间</w:t>
            </w:r>
          </w:p>
          <w:p w14:paraId="52B3322F">
            <w:pPr>
              <w:ind w:firstLine="480"/>
            </w:pPr>
            <w:r>
              <w:rPr>
                <w:rFonts w:hint="eastAsia"/>
              </w:rPr>
              <w:t>项目位于福州临空经济区内，从事锦纶纤维的生产和研发。根据企业土地证（闽（2020）长乐区不动产权第0004479号），项目用地性质为工业用地。与此同时，本项目不在饮用水源保护区、风景名胜区、自然保护区等生态保护区内，不涉及生态保护红线和一般生态空间，因此项目建设与生态保护红线及一般生态空间管控要求不冲突。</w:t>
            </w:r>
          </w:p>
          <w:p w14:paraId="3F9911E9">
            <w:pPr>
              <w:pStyle w:val="4"/>
              <w:spacing w:before="120" w:after="0" w:afterLines="0"/>
            </w:pPr>
            <w:r>
              <w:rPr>
                <w:rFonts w:hint="eastAsia"/>
              </w:rPr>
              <w:t>1.6.2 环境质量底线</w:t>
            </w:r>
          </w:p>
          <w:p w14:paraId="6E50FEF8">
            <w:pPr>
              <w:ind w:firstLine="480"/>
            </w:pPr>
            <w:r>
              <w:rPr>
                <w:rFonts w:hint="eastAsia"/>
              </w:rPr>
              <w:t>1.地表水环境质量底线</w:t>
            </w:r>
          </w:p>
          <w:p w14:paraId="34525C71">
            <w:pPr>
              <w:ind w:firstLine="480"/>
            </w:pPr>
            <w:r>
              <w:rPr>
                <w:rFonts w:hint="default" w:ascii="Times New Roman" w:hAnsi="Times New Roman" w:cs="Times New Roman"/>
              </w:rPr>
              <w:t>根据福州市生态环境局发布的2025年1—12月福州市水环境质量状况，2025年全市主要流域9个国控断面Ⅰ-Ⅲ类水质比例为100%，36个省控及以上断面Ⅰ-Ⅲ类水质比例为100%；小流域54个省控断面Ⅰ-Ⅲ类水质比例为100%。县级及以上集中式饮用水源地水质达标率为100%。本次项目废水由厂区污水处理设施预处理后经市政管网进入滨海工业区污水厂处理，尾水最终排入牛头湾，不直接排入附近地表水体，可减少对周边</w:t>
            </w:r>
            <w:r>
              <w:rPr>
                <w:rFonts w:hint="eastAsia"/>
              </w:rPr>
              <w:t>地表水体的污染负荷。</w:t>
            </w:r>
          </w:p>
          <w:p w14:paraId="56B127B4">
            <w:pPr>
              <w:ind w:firstLine="480"/>
            </w:pPr>
            <w:r>
              <w:rPr>
                <w:rFonts w:hint="eastAsia"/>
              </w:rPr>
              <w:t>2.近岸海域环境质量底线</w:t>
            </w:r>
          </w:p>
          <w:p w14:paraId="654CF742">
            <w:pPr>
              <w:ind w:firstLine="480"/>
            </w:pPr>
            <w:r>
              <w:rPr>
                <w:rFonts w:hint="eastAsia"/>
              </w:rPr>
              <w:t>根据福建省生态环境厅发布的《2025年福建省生态环境状况公报》，全省近岸海域142个国控点位，达到或好于《海水水质标准》（GB3097-1997）二类标准的海水面积比例为94.6%。沿海各地市近岸海域水质总体保持稳定，其中，福州、厦门、漳州、泉州、莆田和平潭近岸海域水质状况级别优。本次项目废水由厂区污水处理设施预处理后经市政管网进入滨海工业区污水厂处理，尾水排入牛头湾。根据福建省生态环境厅公布的2025年福建省近岸海域235个国省控监测数据，2025年牛头湾海域的水质可满足《海水水质标准》（GB3097-1997）第二类标准，项目运行不会对附近海水水质产生明显影响。</w:t>
            </w:r>
          </w:p>
          <w:p w14:paraId="54B69B22">
            <w:pPr>
              <w:ind w:firstLine="480"/>
            </w:pPr>
            <w:r>
              <w:rPr>
                <w:rFonts w:hint="eastAsia"/>
              </w:rPr>
              <w:t>3.大气环境质量底线</w:t>
            </w:r>
          </w:p>
          <w:p w14:paraId="7C6A405D">
            <w:pPr>
              <w:ind w:firstLine="480"/>
            </w:pPr>
            <w:r>
              <w:rPr>
                <w:rFonts w:hint="eastAsia"/>
              </w:rPr>
              <w:t>根据福州市生态环境局发布的《2025年福州市环境状况公报》，2025年，福州市环境空气质量优良天数比例97.5%，空气质量综合指数2.385，空气质量在全国168个重点城市中排名第三。项目所在区域属于大气环境质量达标区域，可满足《环境空气质量标准》（GB3095-2026）中的二级标准。</w:t>
            </w:r>
          </w:p>
          <w:p w14:paraId="133427E6">
            <w:pPr>
              <w:ind w:firstLine="480"/>
            </w:pPr>
            <w:r>
              <w:rPr>
                <w:rFonts w:hint="eastAsia"/>
              </w:rPr>
              <w:t>4.声环境质量底线</w:t>
            </w:r>
          </w:p>
          <w:p w14:paraId="52EB5CA0">
            <w:pPr>
              <w:ind w:firstLine="480"/>
            </w:pPr>
            <w:r>
              <w:rPr>
                <w:rFonts w:hint="eastAsia"/>
              </w:rPr>
              <w:t>企业厂界环境质量现状可达到《声环境质量标准》（GB3096-2008）中的3类标准。根据预测结果，采取相应的减振、隔声措施后，本项目对周边声环境影响较小。</w:t>
            </w:r>
          </w:p>
          <w:p w14:paraId="2A4D3733">
            <w:pPr>
              <w:ind w:firstLine="480"/>
            </w:pPr>
            <w:r>
              <w:rPr>
                <w:rFonts w:hint="eastAsia"/>
              </w:rPr>
              <w:t>5.固体废物</w:t>
            </w:r>
          </w:p>
          <w:p w14:paraId="6F4B6788">
            <w:pPr>
              <w:ind w:firstLine="480"/>
            </w:pPr>
            <w:r>
              <w:rPr>
                <w:rFonts w:hint="eastAsia"/>
              </w:rPr>
              <w:t>本项目生活垃圾由环卫部门定期清运，一般工业固废外售综合利用，危险废物全部委托有资质单位进行处置，项目产生的固体废物均得到妥善处置，未排放至外环境，避免二次污染。</w:t>
            </w:r>
          </w:p>
          <w:p w14:paraId="3ACFBB9A">
            <w:pPr>
              <w:ind w:firstLine="480"/>
            </w:pPr>
            <w:r>
              <w:rPr>
                <w:rFonts w:hint="eastAsia"/>
              </w:rPr>
              <w:t>综上所述，本项目建成后采取本评价提出的环保措施并做到达标排放后，对区域内环境影响较小，环境质量可以保持现有水平，不会对区域环境质量底线造成冲击。</w:t>
            </w:r>
          </w:p>
          <w:p w14:paraId="4E5CCBB3">
            <w:pPr>
              <w:pStyle w:val="4"/>
              <w:spacing w:before="120" w:after="0" w:afterLines="0"/>
            </w:pPr>
            <w:r>
              <w:rPr>
                <w:rFonts w:hint="eastAsia"/>
              </w:rPr>
              <w:t>1.6.3 资源利用上线</w:t>
            </w:r>
          </w:p>
          <w:p w14:paraId="58FF7A2D">
            <w:pPr>
              <w:ind w:firstLine="480"/>
            </w:pPr>
            <w:r>
              <w:rPr>
                <w:rFonts w:hint="eastAsia"/>
              </w:rPr>
              <w:t>本项目从事锦纶纤维的生产和研发，生产过程中所采用的生产工艺和设备成熟先进、资源能源消耗水平较低、污染控制措施有效，整个项目符合清洁生产的理念，项目能源和资源利用率高、污染物产生量较小。项目综合利用一般固废，收集后全部合理处理，实现固废的减量化和资源化；项目使用电能作为主要消耗能源，属于清洁能源。项目的水、电均为区域集中供应，年用水量25404吨，年用电量869.41万kWh。项目资源利用不会突破区域的资源利用上线。</w:t>
            </w:r>
          </w:p>
          <w:p w14:paraId="5BFEFC9E">
            <w:pPr>
              <w:pStyle w:val="4"/>
              <w:spacing w:before="120" w:after="0" w:afterLines="0"/>
            </w:pPr>
            <w:r>
              <w:rPr>
                <w:rFonts w:hint="eastAsia"/>
              </w:rPr>
              <w:t>1.6.4 生态环境准入清单</w:t>
            </w:r>
          </w:p>
          <w:p w14:paraId="602E254B">
            <w:pPr>
              <w:ind w:firstLine="480"/>
            </w:pPr>
            <w:r>
              <w:rPr>
                <w:rFonts w:hint="eastAsia"/>
              </w:rPr>
              <w:t>根据《福州临空经济区产业布局规划（2021—2025年）（修编）环境影响报告书》，本项目位于福州临空经济区内，从事锦纶纤维的生产和研发，不属于禁止建设类项目；项目属于《产业结构调整指导目录（2024年本）》中的鼓励类项目，不属于《市场准入负面清单（2025年版）》中的禁止或限制类项目，并已经在长乐区发展和改革局备案，符合产业政策要求；项目采取有效的三废治理措施，符合工业区环保规划要求。</w:t>
            </w:r>
          </w:p>
          <w:p w14:paraId="65599DAA">
            <w:pPr>
              <w:ind w:firstLine="480"/>
            </w:pPr>
            <w:r>
              <w:rPr>
                <w:rFonts w:hint="eastAsia"/>
              </w:rPr>
              <w:t>根据《福州市生态环境局关于发布福州市2024年生态环境分区管控动态更新成果的通知》（榕环保综〔2025〕1号），项目位于长乐区重点管控单元——福州临空经济区。项目与福州市生态环境总体准入要求符合性分析见表1.6-1，与福州临空经济区管控要求符合性分析见表1.6-2，本项目福建省生态环境分区管控综合查询报告详见附件11。</w:t>
            </w:r>
          </w:p>
        </w:tc>
      </w:tr>
    </w:tbl>
    <w:p w14:paraId="0839C4A9">
      <w:pPr>
        <w:pStyle w:val="14"/>
        <w:ind w:firstLine="600"/>
        <w:jc w:val="center"/>
        <w:outlineLvl w:val="0"/>
        <w:rPr>
          <w:rFonts w:hint="eastAsia" w:ascii="黑体" w:hAnsi="黑体" w:eastAsia="黑体"/>
          <w:snapToGrid w:val="0"/>
          <w:sz w:val="30"/>
          <w:szCs w:val="30"/>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tbl>
      <w:tblPr>
        <w:tblStyle w:val="18"/>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2936"/>
      </w:tblGrid>
      <w:tr w14:paraId="26015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Align w:val="center"/>
          </w:tcPr>
          <w:p w14:paraId="2B3A4E6E">
            <w:pPr>
              <w:pStyle w:val="14"/>
              <w:spacing w:before="120" w:beforeLines="50" w:beforeAutospacing="0" w:after="0" w:afterAutospacing="0"/>
              <w:ind w:firstLine="0" w:firstLineChars="0"/>
              <w:jc w:val="center"/>
              <w:rPr>
                <w:rFonts w:ascii="Times New Roman" w:hAnsi="Times New Roman"/>
                <w:snapToGrid w:val="0"/>
                <w:sz w:val="21"/>
                <w:szCs w:val="21"/>
              </w:rPr>
            </w:pPr>
            <w:r>
              <w:rPr>
                <w:rFonts w:hint="eastAsia" w:ascii="Times New Roman" w:hAnsi="Times New Roman"/>
                <w:snapToGrid w:val="0"/>
                <w:sz w:val="21"/>
                <w:szCs w:val="21"/>
              </w:rPr>
              <w:t>其他符合性分析</w:t>
            </w:r>
          </w:p>
        </w:tc>
        <w:tc>
          <w:tcPr>
            <w:tcW w:w="4738" w:type="pct"/>
            <w:vAlign w:val="center"/>
          </w:tcPr>
          <w:p w14:paraId="76DF8CED">
            <w:pPr>
              <w:pStyle w:val="13"/>
            </w:pPr>
            <w:r>
              <w:rPr>
                <w:rFonts w:hint="eastAsia"/>
              </w:rPr>
              <w:t>表1.6-1  福州市生态环境总体准入要求一览表</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18"/>
              <w:gridCol w:w="722"/>
              <w:gridCol w:w="7070"/>
              <w:gridCol w:w="3315"/>
              <w:gridCol w:w="895"/>
            </w:tblGrid>
            <w:tr w14:paraId="6F3A01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282" w:type="pct"/>
                  <w:vAlign w:val="center"/>
                </w:tcPr>
                <w:p w14:paraId="792E5E6C">
                  <w:pPr>
                    <w:pStyle w:val="83"/>
                    <w:rPr>
                      <w:rFonts w:hint="default"/>
                    </w:rPr>
                  </w:pPr>
                  <w:r>
                    <w:t>范围</w:t>
                  </w:r>
                </w:p>
              </w:tc>
              <w:tc>
                <w:tcPr>
                  <w:tcW w:w="3061" w:type="pct"/>
                  <w:gridSpan w:val="2"/>
                  <w:vAlign w:val="center"/>
                </w:tcPr>
                <w:p w14:paraId="02E95F08">
                  <w:pPr>
                    <w:pStyle w:val="83"/>
                    <w:rPr>
                      <w:rFonts w:hint="default"/>
                    </w:rPr>
                  </w:pPr>
                  <w:r>
                    <w:t>准入要求</w:t>
                  </w:r>
                </w:p>
              </w:tc>
              <w:tc>
                <w:tcPr>
                  <w:tcW w:w="1302" w:type="pct"/>
                  <w:vAlign w:val="center"/>
                </w:tcPr>
                <w:p w14:paraId="4DEF6AE1">
                  <w:pPr>
                    <w:pStyle w:val="83"/>
                    <w:rPr>
                      <w:rFonts w:hint="default"/>
                    </w:rPr>
                  </w:pPr>
                  <w:r>
                    <w:t>本项目</w:t>
                  </w:r>
                </w:p>
              </w:tc>
              <w:tc>
                <w:tcPr>
                  <w:tcW w:w="352" w:type="pct"/>
                  <w:vAlign w:val="center"/>
                </w:tcPr>
                <w:p w14:paraId="74E423B0">
                  <w:pPr>
                    <w:pStyle w:val="83"/>
                    <w:rPr>
                      <w:rFonts w:hint="default"/>
                    </w:rPr>
                  </w:pPr>
                  <w:r>
                    <w:t>符合性</w:t>
                  </w:r>
                </w:p>
              </w:tc>
            </w:tr>
            <w:tr w14:paraId="638E75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82" w:type="pct"/>
                  <w:vMerge w:val="restart"/>
                  <w:vAlign w:val="center"/>
                </w:tcPr>
                <w:p w14:paraId="1F5D96DE">
                  <w:pPr>
                    <w:pStyle w:val="83"/>
                    <w:rPr>
                      <w:rFonts w:hint="default"/>
                    </w:rPr>
                  </w:pPr>
                  <w:r>
                    <w:t>全市陆域</w:t>
                  </w:r>
                </w:p>
              </w:tc>
              <w:tc>
                <w:tcPr>
                  <w:tcW w:w="284" w:type="pct"/>
                  <w:vAlign w:val="center"/>
                </w:tcPr>
                <w:p w14:paraId="64719598">
                  <w:pPr>
                    <w:pStyle w:val="83"/>
                    <w:rPr>
                      <w:rFonts w:hint="default"/>
                    </w:rPr>
                  </w:pPr>
                  <w:r>
                    <w:t>空间布局约束</w:t>
                  </w:r>
                </w:p>
              </w:tc>
              <w:tc>
                <w:tcPr>
                  <w:tcW w:w="2776" w:type="pct"/>
                  <w:vAlign w:val="center"/>
                </w:tcPr>
                <w:p w14:paraId="7484C4FA">
                  <w:pPr>
                    <w:pStyle w:val="83"/>
                    <w:jc w:val="both"/>
                    <w:rPr>
                      <w:rFonts w:hint="default"/>
                    </w:rPr>
                  </w:pPr>
                  <w:r>
                    <w:t>1.福州市石化中上游项目重点在福州江阴港城经济区、可门港经济区化工新材料产业园布局。</w:t>
                  </w:r>
                </w:p>
                <w:p w14:paraId="2485A614">
                  <w:pPr>
                    <w:pStyle w:val="83"/>
                    <w:jc w:val="both"/>
                    <w:rPr>
                      <w:rFonts w:hint="default"/>
                    </w:rPr>
                  </w:pPr>
                  <w:r>
                    <w:t>2.禁止在闽江马尾罗星塔以上流域范围新、扩建制革项目，严控新（扩）建植物制浆、印染、合成革及人造革、电镀项目。</w:t>
                  </w:r>
                </w:p>
                <w:p w14:paraId="36411F76">
                  <w:pPr>
                    <w:pStyle w:val="83"/>
                    <w:jc w:val="both"/>
                    <w:rPr>
                      <w:rFonts w:hint="default"/>
                    </w:rPr>
                  </w:pPr>
                  <w:r>
                    <w:t>3.禁止在通风廊道和主导风向的上风向布局大气重污染企业，推进建成区大气重污染企业搬迁或升级改造、环境风险企业搬迁或关闭退出。</w:t>
                  </w:r>
                </w:p>
                <w:p w14:paraId="7B60D5AB">
                  <w:pPr>
                    <w:pStyle w:val="83"/>
                    <w:jc w:val="both"/>
                    <w:rPr>
                      <w:rFonts w:hint="default"/>
                    </w:rPr>
                  </w:pPr>
                  <w:r>
                    <w:t>4.禁止新、改、扩建生产高VOCs含量有机溶剂型涂料、油墨和胶黏剂的项目。</w:t>
                  </w:r>
                </w:p>
                <w:p w14:paraId="4CF1FF3A">
                  <w:pPr>
                    <w:pStyle w:val="83"/>
                    <w:jc w:val="both"/>
                    <w:rPr>
                      <w:rFonts w:hint="default"/>
                    </w:rPr>
                  </w:pPr>
                  <w:r>
                    <w:t>5.持续加强闽清等地建陶产业的环境综合治理，充分衔接国土空间规划和生态环境分区管控，并对照产业政策、城市总体发展规划等要求，进一步明确发展定位，优化产业布局和规模。</w:t>
                  </w:r>
                </w:p>
                <w:p w14:paraId="7AD92284">
                  <w:pPr>
                    <w:pStyle w:val="83"/>
                    <w:jc w:val="both"/>
                    <w:rPr>
                      <w:rFonts w:hint="default"/>
                    </w:rPr>
                  </w:pPr>
                  <w:r>
                    <w:t>6.新建、扩建的涉及重点重金属污染物的有色金属冶炼、电镀、制革、铅蓄电池制造企业应优先选择布设在依法合规设立并经规划环评、环境基础设施和环境风险防范措施齐全的产业园区。禁止低端落后产能向闽江中上游地区转移。禁止新建用汞的电石法（聚）氯乙烯生产工艺。加快推进专业电镀企业入园，到2025年底专业电镀企业入园率达到90%以上。</w:t>
                  </w:r>
                </w:p>
                <w:p w14:paraId="770E28F9">
                  <w:pPr>
                    <w:pStyle w:val="83"/>
                    <w:jc w:val="both"/>
                    <w:rPr>
                      <w:rFonts w:hint="default"/>
                    </w:rPr>
                  </w:pPr>
                  <w:r>
                    <w:t>7.禁止在流域上游新建、扩建重污染企业和项目。</w:t>
                  </w:r>
                </w:p>
                <w:p w14:paraId="7546BE95">
                  <w:pPr>
                    <w:pStyle w:val="83"/>
                    <w:jc w:val="both"/>
                    <w:rPr>
                      <w:rFonts w:hint="default"/>
                    </w:rPr>
                  </w:pPr>
                  <w:r>
                    <w:t>8.重要敏感水体及富营养化湖库生态缓冲带除相关政府部门批准的科学研究活动外，禁止其它可能对保护区构成危害或不良影响的大规模生产、建设活动。</w:t>
                  </w:r>
                </w:p>
                <w:p w14:paraId="360A4A26">
                  <w:pPr>
                    <w:pStyle w:val="83"/>
                    <w:jc w:val="both"/>
                    <w:rPr>
                      <w:rFonts w:hint="default"/>
                    </w:rPr>
                  </w:pPr>
                  <w:r>
                    <w:t>9.新、改、扩建煤电、钢铁、建材、石化、化工等“两高”项目，严格落实国家、省、市产业规划、产业政策、“三线一单”、规划环评，以及产能置换、煤炭消费减量替代、区域污染削减等相关要求。</w:t>
                  </w:r>
                </w:p>
                <w:p w14:paraId="43CB5C8F">
                  <w:pPr>
                    <w:pStyle w:val="83"/>
                    <w:jc w:val="both"/>
                    <w:rPr>
                      <w:rFonts w:hint="default"/>
                    </w:rPr>
                  </w:pPr>
                  <w:r>
                    <w:t>10.单元内涉及永久基本农田的，应按照《福建省基本农田保护条例》（2010 年修正本）、《国土资源部关于全面实行永久基本农田特 殊保护的通知》（国土资规〔2018〕1号）、《中共中央国务院关于加强耕地保护和改进占补平衡的意见》（2017年1月9日）等相关文件要求进行严格管理，一般建设项目不得占用永久基本农田，重大建设项目选址确实难以避让永久基本农田的，必须依法依规办理。严禁通过擅自调整县乡国土空间规划，规避占用永久基本农田的审批。禁止随意砍伐防风固沙林和农田保护林。严格按照自然资源部、农业农村部、国家林业和草原局《关于严格耕地用途管制有关问题的通知》（自然资发〔2021〕166号）要求全面落实耕地用途管制。</w:t>
                  </w:r>
                </w:p>
              </w:tc>
              <w:tc>
                <w:tcPr>
                  <w:tcW w:w="1302" w:type="pct"/>
                  <w:vAlign w:val="center"/>
                </w:tcPr>
                <w:p w14:paraId="6BAAC219">
                  <w:pPr>
                    <w:pStyle w:val="83"/>
                    <w:jc w:val="both"/>
                    <w:rPr>
                      <w:rFonts w:hint="default"/>
                    </w:rPr>
                  </w:pPr>
                  <w:r>
                    <w:t>本项目位于长乐区临空经济区内，从事锦纶纤维的生产和研发，不属于石化中上游项目，不属于制革、植物制浆、印染、合成革及人造革、电镀项目，不属于生产高VOCs含量有机溶剂型涂料、油墨和胶黏剂的项目，不属于建陶产业，不属于“两高”项目。项目属于《产业结构调整指导目录（2024年本）》中的鼓励类项目，不属于低端落后产能。项目运行过程主要涉及熔融、上油、卷绕等工序，不涉及用汞的电石法（聚）氯乙烯生产工艺。</w:t>
                  </w:r>
                </w:p>
                <w:p w14:paraId="10E5255B">
                  <w:pPr>
                    <w:pStyle w:val="83"/>
                    <w:jc w:val="both"/>
                    <w:rPr>
                      <w:rFonts w:hint="default"/>
                    </w:rPr>
                  </w:pPr>
                  <w:r>
                    <w:t>本项目产生的废气为低浓度VOCs废气，废气由烟气净化处理系统处理达标后通过排气筒排放，废水由厂区污水处理设施预处理后经市政管网进入滨海工业区污水处理厂集中处理，不涉及重点重金属污染物，不属于重污染企业。</w:t>
                  </w:r>
                </w:p>
                <w:p w14:paraId="41D6D9AB">
                  <w:pPr>
                    <w:pStyle w:val="83"/>
                    <w:jc w:val="both"/>
                    <w:rPr>
                      <w:rFonts w:hint="default"/>
                    </w:rPr>
                  </w:pPr>
                  <w:r>
                    <w:t>本项目在福建永荣锦江股份有限公司现有厂区范围内新建一座6#中试车间进行生产，不占用永久基本农田、耕地、防风固沙林和农田保护林。</w:t>
                  </w:r>
                </w:p>
              </w:tc>
              <w:tc>
                <w:tcPr>
                  <w:tcW w:w="352" w:type="pct"/>
                  <w:vAlign w:val="center"/>
                </w:tcPr>
                <w:p w14:paraId="6A694524">
                  <w:pPr>
                    <w:pStyle w:val="83"/>
                    <w:rPr>
                      <w:rFonts w:hint="default"/>
                    </w:rPr>
                  </w:pPr>
                  <w:r>
                    <w:t>符合</w:t>
                  </w:r>
                </w:p>
              </w:tc>
            </w:tr>
            <w:tr w14:paraId="5BFE53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6B50FA58">
                  <w:pPr>
                    <w:pStyle w:val="83"/>
                    <w:rPr>
                      <w:rFonts w:hint="default"/>
                    </w:rPr>
                  </w:pPr>
                </w:p>
              </w:tc>
              <w:tc>
                <w:tcPr>
                  <w:tcW w:w="284" w:type="pct"/>
                  <w:vAlign w:val="center"/>
                </w:tcPr>
                <w:p w14:paraId="1CA0EBD8">
                  <w:pPr>
                    <w:pStyle w:val="83"/>
                    <w:rPr>
                      <w:rFonts w:hint="default"/>
                    </w:rPr>
                  </w:pPr>
                  <w:r>
                    <w:t>污染物排放管控</w:t>
                  </w:r>
                </w:p>
              </w:tc>
              <w:tc>
                <w:tcPr>
                  <w:tcW w:w="2776" w:type="pct"/>
                  <w:vAlign w:val="center"/>
                </w:tcPr>
                <w:p w14:paraId="64848A45">
                  <w:pPr>
                    <w:pStyle w:val="83"/>
                    <w:jc w:val="both"/>
                    <w:rPr>
                      <w:rFonts w:hint="default"/>
                    </w:rPr>
                  </w:pPr>
                  <w:r>
                    <w:t>1.工业类新（改、扩）建项目新增主要污染物（水污染物化学需氧量、氨氮和大气污染物二氧化硫、氮氧化物）排放总量指标应符合区域环境质量和总量控制要求，立足于通过“以新带老”、削减存量，努力实现区域、企业自身总量平衡。总量指标来源、审核和监督管理按照“榕环保综〔2017〕90号”等相关文件执行。</w:t>
                  </w:r>
                </w:p>
                <w:p w14:paraId="4BB959E0">
                  <w:pPr>
                    <w:pStyle w:val="83"/>
                    <w:jc w:val="both"/>
                    <w:rPr>
                      <w:rFonts w:hint="default"/>
                    </w:rPr>
                  </w:pPr>
                  <w:r>
                    <w:t>2.新、改、扩建涉VOCs排放项目，应从源头加强控制，使用低（无）VOCs含量的原辅材料，实施新建项目VOCs排放区域内1.2及以上倍量替代。</w:t>
                  </w:r>
                </w:p>
                <w:p w14:paraId="20B9B3EE">
                  <w:pPr>
                    <w:pStyle w:val="83"/>
                    <w:jc w:val="both"/>
                    <w:rPr>
                      <w:rFonts w:hint="default"/>
                    </w:rPr>
                  </w:pPr>
                  <w:r>
                    <w:t>3.严格控制新建、改建、扩建钢铁、水泥、平板玻璃、有色金属冶炼、化工等工业项目。新改扩建钢铁、火电项目应执行超低排放限值，有色项目应当执行大气污染物特别排放限值。重点控制区新建化工、石化应当执行大气污染物特别排放限值。</w:t>
                  </w:r>
                </w:p>
                <w:p w14:paraId="0F3864DD">
                  <w:pPr>
                    <w:pStyle w:val="83"/>
                    <w:jc w:val="both"/>
                    <w:rPr>
                      <w:rFonts w:hint="default"/>
                    </w:rPr>
                  </w:pPr>
                  <w:r>
                    <w:t>4.氟化工、印染、电镀等行业企业实行水污染物特别排放限值。</w:t>
                  </w:r>
                </w:p>
                <w:p w14:paraId="01823CFE">
                  <w:pPr>
                    <w:pStyle w:val="83"/>
                    <w:jc w:val="both"/>
                    <w:rPr>
                      <w:rFonts w:hint="default"/>
                    </w:rPr>
                  </w:pPr>
                  <w:r>
                    <w:t>5.新、改、扩建重点行业建设项目要遵循重点重金属污染物排放“等量替代”原则，总量来源原则上应是同一重点行业内的削减量，当同一重点行业无法满足时可从其他重点行业调剂。</w:t>
                  </w:r>
                </w:p>
                <w:p w14:paraId="7C6A936B">
                  <w:pPr>
                    <w:pStyle w:val="83"/>
                    <w:jc w:val="both"/>
                    <w:rPr>
                      <w:rFonts w:hint="default"/>
                    </w:rPr>
                  </w:pPr>
                  <w:r>
                    <w:t>6.每小时35（含）—65蒸吨燃煤锅炉和位于县级及以上城市建成区内保留的燃煤、燃油、燃生物质锅炉，原则上2024年底前必须全面实现超低排放。</w:t>
                  </w:r>
                </w:p>
                <w:p w14:paraId="1FA66417">
                  <w:pPr>
                    <w:pStyle w:val="83"/>
                    <w:jc w:val="both"/>
                    <w:rPr>
                      <w:rFonts w:hint="default"/>
                    </w:rPr>
                  </w:pPr>
                  <w:r>
                    <w:t>7.水泥行业新改扩建项目严格对照超低排放、能效标杆水平建设实施；现有项目超低排放改造应按文件（闽环规〔2023〕2号）的时限要求分步推进，2025年底前全面完成。</w:t>
                  </w:r>
                </w:p>
                <w:p w14:paraId="4D5A7AE1">
                  <w:pPr>
                    <w:pStyle w:val="83"/>
                    <w:jc w:val="both"/>
                    <w:rPr>
                      <w:rFonts w:hint="default"/>
                    </w:rPr>
                  </w:pPr>
                  <w:r>
                    <w:t>8.化工园区新建项目实施“禁限控”化学物质管控措施，项目在开展环境影响评价时应严格落实相关要求，严格涉新污染物建设项目源头防控和准入管理。以印染、皮革、农药、医药、涂料等行业为重点，推进有毒有害化学物质替代。严格落实废药品、废农药以及抗生素生产过程中产生的废母液、废反应基和废培养基等废物的收集利用处置要求。</w:t>
                  </w:r>
                </w:p>
              </w:tc>
              <w:tc>
                <w:tcPr>
                  <w:tcW w:w="1302" w:type="pct"/>
                  <w:vAlign w:val="center"/>
                </w:tcPr>
                <w:p w14:paraId="2328F03E">
                  <w:pPr>
                    <w:pStyle w:val="83"/>
                    <w:jc w:val="both"/>
                    <w:rPr>
                      <w:rFonts w:hint="default"/>
                    </w:rPr>
                  </w:pPr>
                  <w:r>
                    <w:t>本次扩建项目排放非甲烷总烃1.105t/a、COD 0.23t/a、氨氮 0.023t/a，按照榕环保综〔2017〕90号等相关文件落实总量控制要求。</w:t>
                  </w:r>
                </w:p>
                <w:p w14:paraId="74954094">
                  <w:pPr>
                    <w:pStyle w:val="83"/>
                    <w:jc w:val="both"/>
                    <w:rPr>
                      <w:rFonts w:hint="default"/>
                    </w:rPr>
                  </w:pPr>
                  <w:r>
                    <w:t>项目主要原辅材料为企业聚合工程生产PA6切片及纺丝油剂，VOCs含量较低，产生的废气为低浓度VOCs废气，废气由烟气净化处理系统处理达标后通过排气筒排放。废水经厂区污水预处理设施处理后接入市政管网由福州市滨海工业区污水处理厂进行处理，尾水排放执行《城镇污水处理厂污染物排放标准》（GB18918-2002）一级A排放标准，最后排入牛头湾。项目不排放重金属污染物。</w:t>
                  </w:r>
                </w:p>
                <w:p w14:paraId="1CDB679A">
                  <w:pPr>
                    <w:pStyle w:val="83"/>
                    <w:jc w:val="both"/>
                    <w:rPr>
                      <w:rFonts w:hint="default"/>
                    </w:rPr>
                  </w:pPr>
                  <w:r>
                    <w:t>本次扩建项目主要使用电能。企业现有生物质制气锅炉已实行超低排放。</w:t>
                  </w:r>
                </w:p>
                <w:p w14:paraId="28223FE9">
                  <w:pPr>
                    <w:pStyle w:val="83"/>
                    <w:jc w:val="both"/>
                    <w:rPr>
                      <w:rFonts w:hint="default"/>
                    </w:rPr>
                  </w:pPr>
                  <w:r>
                    <w:t>项目位于福州临空经济区，不属于化工园区，不涉及新污染物及有毒有害化学物质。</w:t>
                  </w:r>
                </w:p>
              </w:tc>
              <w:tc>
                <w:tcPr>
                  <w:tcW w:w="352" w:type="pct"/>
                  <w:vAlign w:val="center"/>
                </w:tcPr>
                <w:p w14:paraId="44FA93A1">
                  <w:pPr>
                    <w:pStyle w:val="83"/>
                    <w:rPr>
                      <w:rFonts w:hint="default"/>
                    </w:rPr>
                  </w:pPr>
                  <w:r>
                    <w:t>符合</w:t>
                  </w:r>
                </w:p>
              </w:tc>
            </w:tr>
            <w:tr w14:paraId="598979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82" w:type="pct"/>
                  <w:vMerge w:val="continue"/>
                  <w:vAlign w:val="center"/>
                </w:tcPr>
                <w:p w14:paraId="46E8FC35">
                  <w:pPr>
                    <w:pStyle w:val="83"/>
                    <w:rPr>
                      <w:rFonts w:hint="default"/>
                    </w:rPr>
                  </w:pPr>
                </w:p>
              </w:tc>
              <w:tc>
                <w:tcPr>
                  <w:tcW w:w="284" w:type="pct"/>
                  <w:vAlign w:val="center"/>
                </w:tcPr>
                <w:p w14:paraId="73205B49">
                  <w:pPr>
                    <w:pStyle w:val="83"/>
                    <w:rPr>
                      <w:rFonts w:hint="default"/>
                    </w:rPr>
                  </w:pPr>
                  <w:r>
                    <w:t>资源开发效率要求</w:t>
                  </w:r>
                </w:p>
              </w:tc>
              <w:tc>
                <w:tcPr>
                  <w:tcW w:w="2776" w:type="pct"/>
                  <w:vAlign w:val="center"/>
                </w:tcPr>
                <w:p w14:paraId="3B5AFE26">
                  <w:pPr>
                    <w:pStyle w:val="83"/>
                    <w:jc w:val="both"/>
                    <w:rPr>
                      <w:rFonts w:hint="default"/>
                    </w:rPr>
                  </w:pPr>
                  <w:r>
                    <w:t>1.到2024年底，全市范围内每小时10蒸吨及以下燃煤锅炉全面淘汰；到2025年底，全市范围内每小时35蒸吨以下燃煤锅炉通过集中供热、清洁能源替代、深度治理等方式全面实现转型、升级、退出，县级及以上城市建成区在用锅炉（燃煤、燃油、燃生物质）全面改用电能等清洁能源或治理达到超低排放水平；禁止新建每小时35蒸吨以下燃煤锅炉，以及每小时10蒸吨及以下燃生物质和其他使用高污染燃料的锅炉。集中供热管网覆盖范围内禁止新建、扩建分散燃煤、燃油等供热锅炉。</w:t>
                  </w:r>
                </w:p>
                <w:p w14:paraId="2CD4D0BF">
                  <w:pPr>
                    <w:pStyle w:val="83"/>
                    <w:jc w:val="both"/>
                    <w:rPr>
                      <w:rFonts w:hint="default"/>
                    </w:rPr>
                  </w:pPr>
                  <w:r>
                    <w:t>2.按照“提气、转电、控煤”的发展思路，推动陶瓷行业进一步优化用能结构，实现能源消费清洁低碳化。</w:t>
                  </w:r>
                </w:p>
              </w:tc>
              <w:tc>
                <w:tcPr>
                  <w:tcW w:w="1302" w:type="pct"/>
                  <w:vAlign w:val="center"/>
                </w:tcPr>
                <w:p w14:paraId="7B58FA29">
                  <w:pPr>
                    <w:pStyle w:val="83"/>
                    <w:jc w:val="both"/>
                    <w:rPr>
                      <w:rFonts w:hint="default"/>
                    </w:rPr>
                  </w:pPr>
                  <w:r>
                    <w:t>本次扩建项目主要使用电能，属于清洁能源。企业现有42t/h生物质制气锅炉已实行超低排放。</w:t>
                  </w:r>
                </w:p>
              </w:tc>
              <w:tc>
                <w:tcPr>
                  <w:tcW w:w="352" w:type="pct"/>
                  <w:vAlign w:val="center"/>
                </w:tcPr>
                <w:p w14:paraId="1F8201BD">
                  <w:pPr>
                    <w:pStyle w:val="83"/>
                    <w:rPr>
                      <w:rFonts w:hint="default"/>
                    </w:rPr>
                  </w:pPr>
                  <w:r>
                    <w:t>符合</w:t>
                  </w:r>
                </w:p>
              </w:tc>
            </w:tr>
          </w:tbl>
          <w:p w14:paraId="0A05A0DA">
            <w:pPr>
              <w:pStyle w:val="13"/>
              <w:spacing w:before="120" w:beforeLines="50"/>
            </w:pPr>
            <w:r>
              <w:rPr>
                <w:rFonts w:hint="eastAsia"/>
              </w:rPr>
              <w:t>表1.6-2  项目与长乐区生态环境准入清单管控要求符合性分析</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66"/>
              <w:gridCol w:w="1076"/>
              <w:gridCol w:w="1035"/>
              <w:gridCol w:w="707"/>
              <w:gridCol w:w="4613"/>
              <w:gridCol w:w="3411"/>
              <w:gridCol w:w="812"/>
            </w:tblGrid>
            <w:tr w14:paraId="396625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19" w:type="pct"/>
                  <w:vAlign w:val="center"/>
                </w:tcPr>
                <w:p w14:paraId="14F87DC6">
                  <w:pPr>
                    <w:pStyle w:val="83"/>
                    <w:rPr>
                      <w:rFonts w:hint="default"/>
                    </w:rPr>
                  </w:pPr>
                  <w:r>
                    <w:t>环境管控单元编码</w:t>
                  </w:r>
                </w:p>
              </w:tc>
              <w:tc>
                <w:tcPr>
                  <w:tcW w:w="423" w:type="pct"/>
                  <w:vAlign w:val="center"/>
                </w:tcPr>
                <w:p w14:paraId="1BFDDFB6">
                  <w:pPr>
                    <w:pStyle w:val="83"/>
                    <w:rPr>
                      <w:rFonts w:hint="default"/>
                    </w:rPr>
                  </w:pPr>
                  <w:r>
                    <w:t>管控单元名称</w:t>
                  </w:r>
                </w:p>
              </w:tc>
              <w:tc>
                <w:tcPr>
                  <w:tcW w:w="407" w:type="pct"/>
                  <w:vAlign w:val="center"/>
                </w:tcPr>
                <w:p w14:paraId="757C073B">
                  <w:pPr>
                    <w:pStyle w:val="83"/>
                    <w:rPr>
                      <w:rFonts w:hint="default"/>
                    </w:rPr>
                  </w:pPr>
                  <w:r>
                    <w:t>管控单元类别</w:t>
                  </w:r>
                </w:p>
              </w:tc>
              <w:tc>
                <w:tcPr>
                  <w:tcW w:w="2090" w:type="pct"/>
                  <w:gridSpan w:val="2"/>
                  <w:vAlign w:val="center"/>
                </w:tcPr>
                <w:p w14:paraId="322E5287">
                  <w:pPr>
                    <w:pStyle w:val="83"/>
                    <w:rPr>
                      <w:rFonts w:hint="default"/>
                    </w:rPr>
                  </w:pPr>
                  <w:r>
                    <w:t>管控要求</w:t>
                  </w:r>
                </w:p>
              </w:tc>
              <w:tc>
                <w:tcPr>
                  <w:tcW w:w="1340" w:type="pct"/>
                  <w:vAlign w:val="center"/>
                </w:tcPr>
                <w:p w14:paraId="3620D4B1">
                  <w:pPr>
                    <w:pStyle w:val="83"/>
                    <w:rPr>
                      <w:rFonts w:hint="default"/>
                    </w:rPr>
                  </w:pPr>
                  <w:r>
                    <w:t>本项目</w:t>
                  </w:r>
                </w:p>
              </w:tc>
              <w:tc>
                <w:tcPr>
                  <w:tcW w:w="319" w:type="pct"/>
                  <w:vAlign w:val="center"/>
                </w:tcPr>
                <w:p w14:paraId="248C675D">
                  <w:pPr>
                    <w:pStyle w:val="83"/>
                    <w:rPr>
                      <w:rFonts w:hint="default"/>
                    </w:rPr>
                  </w:pPr>
                  <w:r>
                    <w:t>符合性</w:t>
                  </w:r>
                </w:p>
              </w:tc>
            </w:tr>
            <w:tr w14:paraId="67917F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19" w:type="pct"/>
                  <w:vMerge w:val="restart"/>
                  <w:vAlign w:val="center"/>
                </w:tcPr>
                <w:p w14:paraId="1EAD8A71">
                  <w:pPr>
                    <w:pStyle w:val="83"/>
                    <w:rPr>
                      <w:rFonts w:hint="default"/>
                    </w:rPr>
                  </w:pPr>
                  <w:r>
                    <w:t>ZH35011220002</w:t>
                  </w:r>
                </w:p>
              </w:tc>
              <w:tc>
                <w:tcPr>
                  <w:tcW w:w="423" w:type="pct"/>
                  <w:vMerge w:val="restart"/>
                  <w:vAlign w:val="center"/>
                </w:tcPr>
                <w:p w14:paraId="02A4C907">
                  <w:pPr>
                    <w:pStyle w:val="83"/>
                    <w:rPr>
                      <w:rFonts w:hint="default"/>
                    </w:rPr>
                  </w:pPr>
                  <w:r>
                    <w:t>福州临空经济区</w:t>
                  </w:r>
                </w:p>
              </w:tc>
              <w:tc>
                <w:tcPr>
                  <w:tcW w:w="407" w:type="pct"/>
                  <w:vMerge w:val="restart"/>
                  <w:vAlign w:val="center"/>
                </w:tcPr>
                <w:p w14:paraId="06C0B8F6">
                  <w:pPr>
                    <w:pStyle w:val="83"/>
                    <w:rPr>
                      <w:rFonts w:hint="default"/>
                    </w:rPr>
                  </w:pPr>
                  <w:r>
                    <w:t>重点管控单元</w:t>
                  </w:r>
                </w:p>
              </w:tc>
              <w:tc>
                <w:tcPr>
                  <w:tcW w:w="278" w:type="pct"/>
                  <w:vAlign w:val="center"/>
                </w:tcPr>
                <w:p w14:paraId="2A845750">
                  <w:pPr>
                    <w:pStyle w:val="83"/>
                    <w:rPr>
                      <w:rFonts w:hint="default"/>
                    </w:rPr>
                  </w:pPr>
                  <w:r>
                    <w:t>空间布局约束</w:t>
                  </w:r>
                </w:p>
              </w:tc>
              <w:tc>
                <w:tcPr>
                  <w:tcW w:w="1811" w:type="pct"/>
                  <w:vAlign w:val="center"/>
                </w:tcPr>
                <w:p w14:paraId="32166D66">
                  <w:pPr>
                    <w:pStyle w:val="83"/>
                    <w:jc w:val="both"/>
                    <w:rPr>
                      <w:rFonts w:hint="default"/>
                    </w:rPr>
                  </w:pPr>
                  <w:r>
                    <w:t>1.禁止建设《环境保护综合名录》等负面清单中“高污染、高环境风险”产品相关生产项目。禁止建设向厂外排放含重金属、持久性有机污染物等水污染物的新、改、扩建项目。</w:t>
                  </w:r>
                </w:p>
                <w:p w14:paraId="216FA861">
                  <w:pPr>
                    <w:pStyle w:val="83"/>
                    <w:jc w:val="both"/>
                    <w:rPr>
                      <w:rFonts w:hint="default"/>
                    </w:rPr>
                  </w:pPr>
                  <w:r>
                    <w:t>2.禁止冶炼项目，禁止新建电镀、石化、化工项目，现有低端印染企业应逐步退出。严格控制工业涂装等高VOCs 排放的项目建设。</w:t>
                  </w:r>
                </w:p>
                <w:p w14:paraId="539B438D">
                  <w:pPr>
                    <w:pStyle w:val="83"/>
                    <w:jc w:val="both"/>
                    <w:rPr>
                      <w:rFonts w:hint="default"/>
                    </w:rPr>
                  </w:pPr>
                  <w:r>
                    <w:t>3.与居住区等大气环境敏感区相邻的地块禁止引进大气污染物排放量大的企业；合理设置环保控制带，控制带内禁止新增居民住宅、学校、医院等敏感目标。</w:t>
                  </w:r>
                </w:p>
                <w:p w14:paraId="067B6429">
                  <w:pPr>
                    <w:pStyle w:val="83"/>
                    <w:jc w:val="both"/>
                    <w:rPr>
                      <w:rFonts w:hint="default"/>
                    </w:rPr>
                  </w:pPr>
                  <w:r>
                    <w:t>4.优化排污口设置，防止对经济区周边各类海洋生态保护区或敏感区造成不利影响。</w:t>
                  </w:r>
                </w:p>
                <w:p w14:paraId="46BE324A">
                  <w:pPr>
                    <w:pStyle w:val="83"/>
                    <w:jc w:val="both"/>
                    <w:rPr>
                      <w:rFonts w:hint="default"/>
                    </w:rPr>
                  </w:pPr>
                  <w:r>
                    <w:t>5.将园区内海滨森林公园划入禁止建设区。在保护区周边布局无污染、轻污染的产业，保护区内禁止新建排污口。</w:t>
                  </w:r>
                </w:p>
                <w:p w14:paraId="099C1FF8">
                  <w:pPr>
                    <w:pStyle w:val="83"/>
                    <w:jc w:val="both"/>
                    <w:rPr>
                      <w:rFonts w:hint="default"/>
                    </w:rPr>
                  </w:pPr>
                  <w:r>
                    <w:t>6.在长乐国际机场净空保护区范围内的各类建筑物、构筑物等必须满足净空及导航电磁环境的相关要求。</w:t>
                  </w:r>
                </w:p>
                <w:p w14:paraId="458333D3">
                  <w:pPr>
                    <w:pStyle w:val="83"/>
                    <w:jc w:val="both"/>
                    <w:rPr>
                      <w:rFonts w:hint="default"/>
                    </w:rPr>
                  </w:pPr>
                  <w:r>
                    <w:t>7.园区内涉及基本农田的区域在土地性质调整及占补措施落实前应暂缓开发。</w:t>
                  </w:r>
                </w:p>
              </w:tc>
              <w:tc>
                <w:tcPr>
                  <w:tcW w:w="1340" w:type="pct"/>
                  <w:vAlign w:val="center"/>
                </w:tcPr>
                <w:p w14:paraId="55681179">
                  <w:pPr>
                    <w:pStyle w:val="83"/>
                    <w:jc w:val="both"/>
                    <w:rPr>
                      <w:rFonts w:hint="default"/>
                    </w:rPr>
                  </w:pPr>
                  <w:r>
                    <w:t>本次扩建项目不属于《环境保护综合名录》等负面清单中“高污染、高环境风险”产品相关生产项目；不属于冶炼、电镀、石化、化工、印染及高VOCs排放的项目。</w:t>
                  </w:r>
                </w:p>
                <w:p w14:paraId="14733769">
                  <w:pPr>
                    <w:pStyle w:val="83"/>
                    <w:jc w:val="both"/>
                    <w:rPr>
                      <w:rFonts w:hint="default"/>
                    </w:rPr>
                  </w:pPr>
                  <w:r>
                    <w:t>项目产生的废气为低浓度VOCs废气，废气由烟气净化处理系统处理达标后通过排气筒排放，不属于大气污染物排放量大的项目；废水经厂区污水预处理设施处理后接入市政管网由福州市滨海工业区污水处理厂进行集中处理，不直接排入周边水体。项目不排放含重金属、持久性有机污染物等水污染物。</w:t>
                  </w:r>
                </w:p>
                <w:p w14:paraId="23217291">
                  <w:pPr>
                    <w:pStyle w:val="83"/>
                    <w:jc w:val="both"/>
                    <w:rPr>
                      <w:rFonts w:hint="default"/>
                    </w:rPr>
                  </w:pPr>
                  <w:r>
                    <w:t>本项目在福建永荣锦江股份有限公司现有厂区范围内新建一座6#中试车间进行生产，不占用永久基本农田，不涉及海滨森林公园。项目厂房高度16m，生产过程不涉及电磁排放，满足长乐国际机场净空及导航电磁环境的相关要求。</w:t>
                  </w:r>
                </w:p>
              </w:tc>
              <w:tc>
                <w:tcPr>
                  <w:tcW w:w="319" w:type="pct"/>
                  <w:vAlign w:val="center"/>
                </w:tcPr>
                <w:p w14:paraId="5534D9B9">
                  <w:pPr>
                    <w:pStyle w:val="83"/>
                    <w:rPr>
                      <w:rFonts w:hint="default"/>
                    </w:rPr>
                  </w:pPr>
                  <w:r>
                    <w:t>符合</w:t>
                  </w:r>
                </w:p>
              </w:tc>
            </w:tr>
            <w:tr w14:paraId="569884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19" w:type="pct"/>
                  <w:vMerge w:val="continue"/>
                  <w:vAlign w:val="center"/>
                </w:tcPr>
                <w:p w14:paraId="53C6BE33">
                  <w:pPr>
                    <w:pStyle w:val="83"/>
                    <w:rPr>
                      <w:rFonts w:hint="default"/>
                    </w:rPr>
                  </w:pPr>
                </w:p>
              </w:tc>
              <w:tc>
                <w:tcPr>
                  <w:tcW w:w="423" w:type="pct"/>
                  <w:vMerge w:val="continue"/>
                  <w:vAlign w:val="center"/>
                </w:tcPr>
                <w:p w14:paraId="0A7B80A0">
                  <w:pPr>
                    <w:pStyle w:val="83"/>
                    <w:rPr>
                      <w:rFonts w:hint="default"/>
                    </w:rPr>
                  </w:pPr>
                </w:p>
              </w:tc>
              <w:tc>
                <w:tcPr>
                  <w:tcW w:w="407" w:type="pct"/>
                  <w:vMerge w:val="continue"/>
                  <w:vAlign w:val="center"/>
                </w:tcPr>
                <w:p w14:paraId="3F022249">
                  <w:pPr>
                    <w:pStyle w:val="83"/>
                    <w:rPr>
                      <w:rFonts w:hint="default"/>
                    </w:rPr>
                  </w:pPr>
                </w:p>
              </w:tc>
              <w:tc>
                <w:tcPr>
                  <w:tcW w:w="278" w:type="pct"/>
                  <w:vAlign w:val="center"/>
                </w:tcPr>
                <w:p w14:paraId="4FEA3225">
                  <w:pPr>
                    <w:pStyle w:val="83"/>
                    <w:rPr>
                      <w:rFonts w:hint="default"/>
                    </w:rPr>
                  </w:pPr>
                  <w:r>
                    <w:t>污染物排放管控</w:t>
                  </w:r>
                </w:p>
              </w:tc>
              <w:tc>
                <w:tcPr>
                  <w:tcW w:w="1811" w:type="pct"/>
                  <w:vAlign w:val="center"/>
                </w:tcPr>
                <w:p w14:paraId="6692974C">
                  <w:pPr>
                    <w:pStyle w:val="83"/>
                    <w:jc w:val="both"/>
                    <w:rPr>
                      <w:rFonts w:hint="default"/>
                    </w:rPr>
                  </w:pPr>
                  <w:r>
                    <w:t>1.加强食品企业恶臭污染控制，防止恶臭扰民。</w:t>
                  </w:r>
                </w:p>
                <w:p w14:paraId="20C320FE">
                  <w:pPr>
                    <w:pStyle w:val="83"/>
                    <w:jc w:val="both"/>
                    <w:rPr>
                      <w:rFonts w:hint="default"/>
                    </w:rPr>
                  </w:pPr>
                  <w:r>
                    <w:t>2.实施经济区主要水、大气污染物排放总量控制，落实新增主要污染物排污权交易制度和VOCs 排放总量控制要求。</w:t>
                  </w:r>
                </w:p>
                <w:p w14:paraId="78D576B4">
                  <w:pPr>
                    <w:pStyle w:val="83"/>
                    <w:jc w:val="both"/>
                    <w:rPr>
                      <w:rFonts w:hint="default"/>
                    </w:rPr>
                  </w:pPr>
                  <w:r>
                    <w:t>3.新、扩、改项目清洁生产水平应达到国内先进以上水平。</w:t>
                  </w:r>
                </w:p>
                <w:p w14:paraId="3037CDB4">
                  <w:pPr>
                    <w:pStyle w:val="83"/>
                    <w:jc w:val="both"/>
                    <w:rPr>
                      <w:rFonts w:hint="default"/>
                    </w:rPr>
                  </w:pPr>
                  <w:r>
                    <w:t>4.企业应使用天然气、电能、太阳能等清洁能源，鼓励燃气锅炉实施低氮改造。</w:t>
                  </w:r>
                </w:p>
              </w:tc>
              <w:tc>
                <w:tcPr>
                  <w:tcW w:w="1340" w:type="pct"/>
                  <w:vAlign w:val="center"/>
                </w:tcPr>
                <w:p w14:paraId="67DB4509">
                  <w:pPr>
                    <w:pStyle w:val="83"/>
                    <w:jc w:val="both"/>
                    <w:rPr>
                      <w:rFonts w:hint="default"/>
                    </w:rPr>
                  </w:pPr>
                  <w:r>
                    <w:t>本次扩建项目不属于食品企业。</w:t>
                  </w:r>
                </w:p>
                <w:p w14:paraId="61F45185">
                  <w:pPr>
                    <w:pStyle w:val="83"/>
                    <w:jc w:val="both"/>
                    <w:rPr>
                      <w:rFonts w:hint="default"/>
                    </w:rPr>
                  </w:pPr>
                  <w:r>
                    <w:t>本次扩建项目排放非甲烷总烃1.105t/a、COD 0.23t/a、氨氮 0.023t/a，严格落实区域总量控制要求。</w:t>
                  </w:r>
                </w:p>
                <w:p w14:paraId="74E840B1">
                  <w:pPr>
                    <w:pStyle w:val="83"/>
                    <w:jc w:val="both"/>
                    <w:rPr>
                      <w:rFonts w:hint="default"/>
                    </w:rPr>
                  </w:pPr>
                  <w:r>
                    <w:t>扩建项目采用国内高效节能辅助设备、先进的信息化生产研发系统，使用能源为电能，属于清洁能源，项目生产废水和废气处理后达标排放，清洁生产水平达到国内先进以上。</w:t>
                  </w:r>
                </w:p>
              </w:tc>
              <w:tc>
                <w:tcPr>
                  <w:tcW w:w="319" w:type="pct"/>
                  <w:vAlign w:val="center"/>
                </w:tcPr>
                <w:p w14:paraId="0D06BD4A">
                  <w:pPr>
                    <w:pStyle w:val="83"/>
                    <w:rPr>
                      <w:rFonts w:hint="default"/>
                    </w:rPr>
                  </w:pPr>
                  <w:r>
                    <w:t>符合</w:t>
                  </w:r>
                </w:p>
              </w:tc>
            </w:tr>
            <w:tr w14:paraId="0B6C77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19" w:type="pct"/>
                  <w:vMerge w:val="continue"/>
                  <w:vAlign w:val="center"/>
                </w:tcPr>
                <w:p w14:paraId="341DC49C">
                  <w:pPr>
                    <w:pStyle w:val="83"/>
                    <w:rPr>
                      <w:rFonts w:hint="default"/>
                    </w:rPr>
                  </w:pPr>
                </w:p>
              </w:tc>
              <w:tc>
                <w:tcPr>
                  <w:tcW w:w="423" w:type="pct"/>
                  <w:vMerge w:val="continue"/>
                  <w:vAlign w:val="center"/>
                </w:tcPr>
                <w:p w14:paraId="750C5B2D">
                  <w:pPr>
                    <w:pStyle w:val="83"/>
                    <w:rPr>
                      <w:rFonts w:hint="default"/>
                    </w:rPr>
                  </w:pPr>
                </w:p>
              </w:tc>
              <w:tc>
                <w:tcPr>
                  <w:tcW w:w="407" w:type="pct"/>
                  <w:vMerge w:val="continue"/>
                  <w:vAlign w:val="center"/>
                </w:tcPr>
                <w:p w14:paraId="7612CAA0">
                  <w:pPr>
                    <w:pStyle w:val="83"/>
                    <w:rPr>
                      <w:rFonts w:hint="default"/>
                    </w:rPr>
                  </w:pPr>
                </w:p>
              </w:tc>
              <w:tc>
                <w:tcPr>
                  <w:tcW w:w="278" w:type="pct"/>
                  <w:vAlign w:val="center"/>
                </w:tcPr>
                <w:p w14:paraId="49F450F0">
                  <w:pPr>
                    <w:pStyle w:val="83"/>
                    <w:rPr>
                      <w:rFonts w:hint="default"/>
                    </w:rPr>
                  </w:pPr>
                  <w:r>
                    <w:t>环境风险防控</w:t>
                  </w:r>
                </w:p>
              </w:tc>
              <w:tc>
                <w:tcPr>
                  <w:tcW w:w="1811" w:type="pct"/>
                  <w:vAlign w:val="center"/>
                </w:tcPr>
                <w:p w14:paraId="3CD1E7EC">
                  <w:pPr>
                    <w:pStyle w:val="83"/>
                    <w:jc w:val="both"/>
                    <w:rPr>
                      <w:rFonts w:hint="default"/>
                    </w:rPr>
                  </w:pPr>
                  <w:r>
                    <w:t>1.建立健全环境风险防控体系，制定环境风险应急预案，建设事故应急池，成立应急组织机构，防止在处理安全生产事故过程中产生的可能严重污染水体的消防废水、废液直接排入水体。</w:t>
                  </w:r>
                </w:p>
                <w:p w14:paraId="5BBB0F51">
                  <w:pPr>
                    <w:pStyle w:val="83"/>
                    <w:jc w:val="both"/>
                    <w:rPr>
                      <w:rFonts w:hint="default"/>
                    </w:rPr>
                  </w:pPr>
                  <w:r>
                    <w:t>2.应采取有效措施防止园区建设对区域地下水、土壤造成污染。</w:t>
                  </w:r>
                </w:p>
              </w:tc>
              <w:tc>
                <w:tcPr>
                  <w:tcW w:w="1340" w:type="pct"/>
                  <w:vAlign w:val="center"/>
                </w:tcPr>
                <w:p w14:paraId="32477450">
                  <w:pPr>
                    <w:pStyle w:val="83"/>
                    <w:jc w:val="both"/>
                    <w:rPr>
                      <w:rFonts w:hint="default"/>
                    </w:rPr>
                  </w:pPr>
                  <w:r>
                    <w:t>项目严格执行“三同时制度”，建成运行后其应急预案管理将纳入福建永荣锦江股份有限公司应急预案组织和管理系统应急预案组织和管理系统；企业已编制突发环境事件应急预案并在福州市长乐生态环境局备案（备案编号：350112-2026-014-H）。</w:t>
                  </w:r>
                </w:p>
                <w:p w14:paraId="7A45EB63">
                  <w:pPr>
                    <w:pStyle w:val="83"/>
                    <w:jc w:val="both"/>
                    <w:rPr>
                      <w:rFonts w:hint="default"/>
                    </w:rPr>
                  </w:pPr>
                  <w:r>
                    <w:t>企业现已建设3340m</w:t>
                  </w:r>
                  <w:r>
                    <w:rPr>
                      <w:vertAlign w:val="superscript"/>
                    </w:rPr>
                    <w:t>3</w:t>
                  </w:r>
                  <w:r>
                    <w:t>事故应急池；厂区采取地面导流和地面硬化等措施有效防止土壤、地下水污染。</w:t>
                  </w:r>
                </w:p>
              </w:tc>
              <w:tc>
                <w:tcPr>
                  <w:tcW w:w="319" w:type="pct"/>
                  <w:vAlign w:val="center"/>
                </w:tcPr>
                <w:p w14:paraId="67643C5C">
                  <w:pPr>
                    <w:pStyle w:val="83"/>
                    <w:rPr>
                      <w:rFonts w:hint="default"/>
                    </w:rPr>
                  </w:pPr>
                  <w:r>
                    <w:t>符合</w:t>
                  </w:r>
                </w:p>
              </w:tc>
            </w:tr>
          </w:tbl>
          <w:p w14:paraId="5B42A002">
            <w:pPr>
              <w:pStyle w:val="14"/>
              <w:spacing w:after="0" w:afterAutospacing="0" w:line="276" w:lineRule="auto"/>
              <w:ind w:firstLine="480"/>
              <w:outlineLvl w:val="0"/>
              <w:rPr>
                <w:rFonts w:ascii="Times New Roman" w:hAnsi="Times New Roman"/>
                <w:snapToGrid w:val="0"/>
                <w:szCs w:val="24"/>
              </w:rPr>
            </w:pPr>
          </w:p>
        </w:tc>
      </w:tr>
    </w:tbl>
    <w:p w14:paraId="1D05176F">
      <w:pPr>
        <w:pStyle w:val="14"/>
        <w:ind w:firstLine="600"/>
        <w:jc w:val="center"/>
        <w:outlineLvl w:val="0"/>
        <w:rPr>
          <w:rFonts w:hint="eastAsia" w:ascii="黑体" w:hAnsi="黑体" w:eastAsia="黑体"/>
          <w:snapToGrid w:val="0"/>
          <w:sz w:val="30"/>
          <w:szCs w:val="30"/>
        </w:rPr>
        <w:sectPr>
          <w:pgSz w:w="16838" w:h="11906" w:orient="landscape"/>
          <w:pgMar w:top="1531" w:right="1701" w:bottom="1531" w:left="170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595"/>
        <w:gridCol w:w="8305"/>
      </w:tblGrid>
      <w:tr w14:paraId="0C88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5" w:type="dxa"/>
            <w:vAlign w:val="center"/>
          </w:tcPr>
          <w:p w14:paraId="6760B033">
            <w:pPr>
              <w:autoSpaceDE w:val="0"/>
              <w:autoSpaceDN w:val="0"/>
              <w:adjustRightInd w:val="0"/>
              <w:snapToGrid w:val="0"/>
              <w:ind w:firstLine="0" w:firstLineChars="0"/>
              <w:jc w:val="center"/>
              <w:rPr>
                <w:kern w:val="0"/>
                <w:sz w:val="21"/>
                <w:szCs w:val="21"/>
              </w:rPr>
            </w:pPr>
            <w:r>
              <w:rPr>
                <w:rFonts w:hint="eastAsia"/>
                <w:kern w:val="0"/>
                <w:sz w:val="21"/>
                <w:szCs w:val="21"/>
              </w:rPr>
              <w:t>其他符合性分析</w:t>
            </w:r>
          </w:p>
        </w:tc>
        <w:tc>
          <w:tcPr>
            <w:tcW w:w="8305" w:type="dxa"/>
            <w:vAlign w:val="center"/>
          </w:tcPr>
          <w:p w14:paraId="03547B2F">
            <w:pPr>
              <w:ind w:firstLine="480"/>
            </w:pPr>
            <w:r>
              <w:rPr>
                <w:rFonts w:hint="eastAsia"/>
              </w:rPr>
              <w:t>由表1.6-1和表1.6-2可知，项目建设符合福州市生态环境准入清单要求。</w:t>
            </w:r>
          </w:p>
          <w:p w14:paraId="5B0667B4">
            <w:pPr>
              <w:ind w:firstLine="480"/>
            </w:pPr>
            <w:r>
              <w:rPr>
                <w:rFonts w:hint="eastAsia"/>
              </w:rPr>
              <w:t>综上所述，项目建设符合生态环境分区管控要求。</w:t>
            </w:r>
          </w:p>
          <w:p w14:paraId="1FC555FD">
            <w:pPr>
              <w:pStyle w:val="3"/>
              <w:spacing w:before="120" w:after="0" w:afterLines="0"/>
            </w:pPr>
            <w:r>
              <w:rPr>
                <w:rFonts w:hint="eastAsia"/>
              </w:rPr>
              <w:t>1.7 相关环保政策符合性分析</w:t>
            </w:r>
          </w:p>
          <w:p w14:paraId="70807D1C">
            <w:pPr>
              <w:ind w:firstLine="480"/>
            </w:pPr>
            <w:r>
              <w:rPr>
                <w:rFonts w:hint="eastAsia"/>
              </w:rPr>
              <w:t>项目与相关环保政策的符合性分析详见表1.7-1。</w:t>
            </w:r>
          </w:p>
          <w:p w14:paraId="0C4C8FD7">
            <w:pPr>
              <w:pStyle w:val="13"/>
            </w:pPr>
            <w:r>
              <w:rPr>
                <w:rFonts w:hint="eastAsia"/>
              </w:rPr>
              <w:t>表1.7-1  项目与相关环保政策的符合性分析</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03"/>
              <w:gridCol w:w="4265"/>
              <w:gridCol w:w="1927"/>
              <w:gridCol w:w="954"/>
            </w:tblGrid>
            <w:tr w14:paraId="76BEFB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669" w:type="pct"/>
                  <w:vAlign w:val="center"/>
                </w:tcPr>
                <w:p w14:paraId="7036D789">
                  <w:pPr>
                    <w:pStyle w:val="83"/>
                    <w:rPr>
                      <w:rFonts w:hint="default"/>
                    </w:rPr>
                  </w:pPr>
                  <w:r>
                    <w:t>相关规范和政策</w:t>
                  </w:r>
                </w:p>
              </w:tc>
              <w:tc>
                <w:tcPr>
                  <w:tcW w:w="2585" w:type="pct"/>
                  <w:vAlign w:val="center"/>
                </w:tcPr>
                <w:p w14:paraId="02F797F6">
                  <w:pPr>
                    <w:pStyle w:val="83"/>
                    <w:rPr>
                      <w:rFonts w:hint="default"/>
                    </w:rPr>
                  </w:pPr>
                  <w:r>
                    <w:t>具体要求</w:t>
                  </w:r>
                </w:p>
              </w:tc>
              <w:tc>
                <w:tcPr>
                  <w:tcW w:w="1168" w:type="pct"/>
                  <w:vAlign w:val="center"/>
                </w:tcPr>
                <w:p w14:paraId="6F8D6F23">
                  <w:pPr>
                    <w:pStyle w:val="83"/>
                    <w:rPr>
                      <w:rFonts w:hint="default"/>
                    </w:rPr>
                  </w:pPr>
                  <w:r>
                    <w:t>本项目情况</w:t>
                  </w:r>
                </w:p>
              </w:tc>
              <w:tc>
                <w:tcPr>
                  <w:tcW w:w="578" w:type="pct"/>
                  <w:vAlign w:val="center"/>
                </w:tcPr>
                <w:p w14:paraId="1FED8974">
                  <w:pPr>
                    <w:pStyle w:val="83"/>
                    <w:rPr>
                      <w:rFonts w:hint="default"/>
                    </w:rPr>
                  </w:pPr>
                  <w:r>
                    <w:t>符合性</w:t>
                  </w:r>
                </w:p>
              </w:tc>
            </w:tr>
            <w:tr w14:paraId="331F6E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669" w:type="pct"/>
                  <w:vAlign w:val="center"/>
                </w:tcPr>
                <w:p w14:paraId="17CC37E9">
                  <w:pPr>
                    <w:pStyle w:val="83"/>
                    <w:rPr>
                      <w:rFonts w:hint="default"/>
                    </w:rPr>
                  </w:pPr>
                  <w:r>
                    <w:t>重点行业挥发性有机物综合治理方案（环大气〔2019〕53号）</w:t>
                  </w:r>
                </w:p>
              </w:tc>
              <w:tc>
                <w:tcPr>
                  <w:tcW w:w="2585" w:type="pct"/>
                </w:tcPr>
                <w:p w14:paraId="1089AC9B">
                  <w:pPr>
                    <w:pStyle w:val="83"/>
                    <w:jc w:val="both"/>
                    <w:rPr>
                      <w:rFonts w:hint="default"/>
                    </w:rPr>
                  </w:pPr>
                  <w:r>
                    <w:t>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加强设备与场所密闭管理。推进使用先进生产工艺。提高废气收集率。加强设备与管线组件泄漏控制。</w:t>
                  </w:r>
                </w:p>
                <w:p w14:paraId="0CAF6A50">
                  <w:pPr>
                    <w:pStyle w:val="83"/>
                    <w:jc w:val="both"/>
                    <w:rPr>
                      <w:rFonts w:hint="default"/>
                    </w:rPr>
                  </w:pPr>
                  <w:r>
                    <w:t>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w:t>
                  </w:r>
                </w:p>
              </w:tc>
              <w:tc>
                <w:tcPr>
                  <w:tcW w:w="1168" w:type="pct"/>
                  <w:vAlign w:val="center"/>
                </w:tcPr>
                <w:p w14:paraId="408E34C9">
                  <w:pPr>
                    <w:pStyle w:val="83"/>
                    <w:jc w:val="both"/>
                    <w:rPr>
                      <w:rFonts w:hint="default"/>
                    </w:rPr>
                  </w:pPr>
                  <w:r>
                    <w:t>本项目产生的有机废气为低浓度VOCs废气，再生熔融废气、油剂废气和煅烧废气由高压静电吸附装置处理、单体抽吸废气由水喷淋装置处理，废气处理达标后通过排气筒排放。</w:t>
                  </w:r>
                </w:p>
                <w:p w14:paraId="2A8BE5ED">
                  <w:pPr>
                    <w:pStyle w:val="83"/>
                    <w:jc w:val="both"/>
                    <w:rPr>
                      <w:rFonts w:hint="default"/>
                    </w:rPr>
                  </w:pPr>
                  <w:r>
                    <w:t>生产过程采用密闭设备，生产车间采用自动卷帘门、密闭性好的塑钢门窗等，在非必要时保持关闭。</w:t>
                  </w:r>
                </w:p>
              </w:tc>
              <w:tc>
                <w:tcPr>
                  <w:tcW w:w="578" w:type="pct"/>
                  <w:vAlign w:val="center"/>
                </w:tcPr>
                <w:p w14:paraId="540085F2">
                  <w:pPr>
                    <w:pStyle w:val="83"/>
                    <w:rPr>
                      <w:rFonts w:hint="default"/>
                    </w:rPr>
                  </w:pPr>
                  <w:r>
                    <w:t>符合</w:t>
                  </w:r>
                </w:p>
              </w:tc>
            </w:tr>
            <w:tr w14:paraId="072B9E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669" w:type="pct"/>
                  <w:vAlign w:val="center"/>
                </w:tcPr>
                <w:p w14:paraId="57DA546E">
                  <w:pPr>
                    <w:pStyle w:val="83"/>
                    <w:rPr>
                      <w:rFonts w:hint="default"/>
                    </w:rPr>
                  </w:pPr>
                  <w:r>
                    <w:t>福建省2020年挥发性有机物治理攻坚实施方案（闽环保大气〔2020〕6号）</w:t>
                  </w:r>
                </w:p>
              </w:tc>
              <w:tc>
                <w:tcPr>
                  <w:tcW w:w="2585" w:type="pct"/>
                </w:tcPr>
                <w:p w14:paraId="6DE5EDF4">
                  <w:pPr>
                    <w:pStyle w:val="83"/>
                    <w:jc w:val="both"/>
                    <w:rPr>
                      <w:rFonts w:hint="default"/>
                    </w:rPr>
                  </w:pPr>
                  <w:r>
                    <w:t>全面落实标准要求，强化无组织排放控制。企业在无组织排放排查整治过程中，在保证安全的前提下，加强含VOCs物料全方位、全链条、全环节密闭管理。储存环节应采用密闭容器、包装袋，高效密封储罐，封闭式储库、料仓等。装卸、转移和输送环节应采用密闭管道或密闭容器、罐车等。生产和使用环节应采用密闭设备，或在密闭空间中操作并有效收集废气，或进行局部气体收集；非取用状态时容器应密闭。处置环节应将盛装过VOCs物料的包装容器、含VOCs废料（渣、液）、废吸附剂等通过加盖、封装等方式密闭，妥善存放，集中清运，交有资质的单位处置，不得随意丢弃；处置单位在贮存、清洗、破碎等环节应按要求对VOCs无组织排放废气进行收集、处理。高VOCs含量废水的集输、储存和处理环节，应加盖密闭。按时对盛装过VOCs物料的包装容器、含VOCs废料（渣、液）、废吸附剂等集中清运一次，交有资质的单位处置。</w:t>
                  </w:r>
                </w:p>
                <w:p w14:paraId="28E69C5C">
                  <w:pPr>
                    <w:pStyle w:val="83"/>
                    <w:jc w:val="both"/>
                    <w:rPr>
                      <w:rFonts w:hint="default"/>
                    </w:rPr>
                  </w:pPr>
                  <w:r>
                    <w:t>将无组织排放转变为有组织排放进行控制，优先采用密闭设备、在密闭空间中操作或采用全密闭集气罩收集方式；对于采用局部集气罩的，应根据废气排放特点合理选择收集点位，距集气罩开口面最远处的VOCs无组织排放位置，控制风速不低于0.3米/秒，达不到要求的通过更换大功率风机、增设烟道风机、增加垂帘等方式及时改造；加强生产车间密闭管理，在符合安全生产、职业卫生相关规定前提下，采用自动卷帘门、密闭性好的塑钢门窗等，在非必要时保持关闭。</w:t>
                  </w:r>
                </w:p>
                <w:p w14:paraId="32092C7F">
                  <w:pPr>
                    <w:pStyle w:val="83"/>
                    <w:jc w:val="both"/>
                    <w:rPr>
                      <w:rFonts w:hint="default"/>
                    </w:rPr>
                  </w:pPr>
                  <w:r>
                    <w:t>聚焦治污设施“三率”，提升综合治理效率。按照“应收尽收”的原则提升废气收集率。按照与生产设备“同启同停”的原则提升治理设施运行率。按照“适宜高效”的原则提高治理设施去除率，不得稀释排放。企业新建治污设施或对现有治污设施实施改造，应依据排放废气特征、VOCs组分及浓度、生产工况等，合理选择治理技术，对治理难度大、单一治理工艺难以稳定达标的，要采用多种技术的组合工艺。</w:t>
                  </w:r>
                </w:p>
              </w:tc>
              <w:tc>
                <w:tcPr>
                  <w:tcW w:w="1168" w:type="pct"/>
                  <w:vAlign w:val="center"/>
                </w:tcPr>
                <w:p w14:paraId="24FCCB05">
                  <w:pPr>
                    <w:pStyle w:val="83"/>
                    <w:jc w:val="both"/>
                    <w:rPr>
                      <w:rFonts w:hint="default"/>
                    </w:rPr>
                  </w:pPr>
                  <w:r>
                    <w:t>本项目产生的有机废气为低浓度VOCs废气，再生熔融废气、油剂废气和煅烧废气由高压静电吸附装置处理、单体抽吸废气由水喷淋装置处理，废气处理达标后通过排气筒排放。</w:t>
                  </w:r>
                </w:p>
                <w:p w14:paraId="11055237">
                  <w:pPr>
                    <w:pStyle w:val="83"/>
                    <w:jc w:val="both"/>
                    <w:rPr>
                      <w:rFonts w:hint="default"/>
                    </w:rPr>
                  </w:pPr>
                  <w:r>
                    <w:t>生产过程采用密闭设备，生产车间采用自动卷帘门、密闭性好的塑钢门窗等，在非必要时保持关闭。</w:t>
                  </w:r>
                </w:p>
              </w:tc>
              <w:tc>
                <w:tcPr>
                  <w:tcW w:w="578" w:type="pct"/>
                  <w:vAlign w:val="center"/>
                </w:tcPr>
                <w:p w14:paraId="142FC1D4">
                  <w:pPr>
                    <w:pStyle w:val="83"/>
                    <w:rPr>
                      <w:rFonts w:hint="default"/>
                    </w:rPr>
                  </w:pPr>
                  <w:r>
                    <w:t>符合</w:t>
                  </w:r>
                </w:p>
              </w:tc>
            </w:tr>
            <w:tr w14:paraId="3360FE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669" w:type="pct"/>
                  <w:vAlign w:val="center"/>
                </w:tcPr>
                <w:p w14:paraId="2F604572">
                  <w:pPr>
                    <w:pStyle w:val="83"/>
                    <w:rPr>
                      <w:rFonts w:hint="default"/>
                    </w:rPr>
                  </w:pPr>
                  <w:r>
                    <w:t>福州市合成纤维制造业挥发性有机物整治验收技术标准（2018年4月）</w:t>
                  </w:r>
                </w:p>
              </w:tc>
              <w:tc>
                <w:tcPr>
                  <w:tcW w:w="2585" w:type="pct"/>
                  <w:vAlign w:val="center"/>
                </w:tcPr>
                <w:p w14:paraId="1B54EE1F">
                  <w:pPr>
                    <w:pStyle w:val="83"/>
                    <w:jc w:val="both"/>
                    <w:rPr>
                      <w:rFonts w:hint="default"/>
                    </w:rPr>
                  </w:pPr>
                  <w:r>
                    <w:t>1.源头及过程控制：</w:t>
                  </w:r>
                </w:p>
                <w:p w14:paraId="243FEE96">
                  <w:pPr>
                    <w:pStyle w:val="83"/>
                    <w:jc w:val="both"/>
                    <w:rPr>
                      <w:rFonts w:hint="default"/>
                    </w:rPr>
                  </w:pPr>
                  <w:r>
                    <w:t>①产品及工艺技术符合《产业结构调整指导目录》和《部分工业行业淘汰落后生产工艺装备和产品指导目录》以及其他产业政策；</w:t>
                  </w:r>
                </w:p>
                <w:p w14:paraId="43B0A35E">
                  <w:pPr>
                    <w:pStyle w:val="83"/>
                    <w:jc w:val="both"/>
                    <w:rPr>
                      <w:rFonts w:hint="default"/>
                    </w:rPr>
                  </w:pPr>
                  <w:r>
                    <w:t>②原料熔融、配制、反应等过程应密闭化，常压装置呼吸口应设置冷凝回收装置；</w:t>
                  </w:r>
                </w:p>
                <w:p w14:paraId="6A7833CC">
                  <w:pPr>
                    <w:pStyle w:val="83"/>
                    <w:jc w:val="both"/>
                    <w:rPr>
                      <w:rFonts w:hint="default"/>
                    </w:rPr>
                  </w:pPr>
                  <w:r>
                    <w:t>③盛装含VOCs废料（渣）的容器应密闭储存和存放。列入《国家危险废物名录》的含VOCs废料应以密闭容器收集，并按危险废物进行处理和处置。</w:t>
                  </w:r>
                </w:p>
                <w:p w14:paraId="20681378">
                  <w:pPr>
                    <w:pStyle w:val="83"/>
                    <w:jc w:val="both"/>
                    <w:rPr>
                      <w:rFonts w:hint="default"/>
                    </w:rPr>
                  </w:pPr>
                  <w:r>
                    <w:t>2.污染防治措施：</w:t>
                  </w:r>
                </w:p>
                <w:p w14:paraId="53BFADD2">
                  <w:pPr>
                    <w:pStyle w:val="83"/>
                    <w:jc w:val="both"/>
                    <w:rPr>
                      <w:rFonts w:hint="default"/>
                    </w:rPr>
                  </w:pPr>
                  <w:r>
                    <w:t>①收集：在无法密闭的设备、操作平台加设集气罩或吸风口、排风管道组成的排气系统。集气罩设计需符合GB/T16758《排风罩的分类及技术条件》，不同设施最小风速需满足表4要求；</w:t>
                  </w:r>
                </w:p>
                <w:p w14:paraId="7B7C3936">
                  <w:pPr>
                    <w:pStyle w:val="83"/>
                    <w:jc w:val="both"/>
                    <w:rPr>
                      <w:rFonts w:hint="default"/>
                    </w:rPr>
                  </w:pPr>
                  <w:r>
                    <w:t>②末端治理：纺丝油烟废气宜采用高压静电的处理技术，在污染物总量规模不大且浓度低、周边环境不敏感的情况下也可联合采用多级吸收、机械（过滤、离心）、吸附等油剂回收处理技术。工艺主要排放点的油烟处理设施净化效率不低于80%。</w:t>
                  </w:r>
                </w:p>
                <w:p w14:paraId="67ABCA58">
                  <w:pPr>
                    <w:pStyle w:val="83"/>
                    <w:jc w:val="both"/>
                    <w:rPr>
                      <w:rFonts w:hint="default"/>
                    </w:rPr>
                  </w:pPr>
                  <w:r>
                    <w:t>3.环境管理：</w:t>
                  </w:r>
                </w:p>
                <w:p w14:paraId="447E8A61">
                  <w:pPr>
                    <w:pStyle w:val="83"/>
                    <w:jc w:val="both"/>
                    <w:rPr>
                      <w:rFonts w:hint="default"/>
                    </w:rPr>
                  </w:pPr>
                  <w:r>
                    <w:t>①台账制度建立：各企业应将污染治理设施的工艺流程、工艺参数、操作规程和维护制度在设施现场和操作场所明示公布，对燃烧温度等关键技术指标如实记录，建立运维台账，保存期限不得少于三年；各企业应将产生的废溶剂，废涂料，沾有涂料或溶剂的棉纱、抹布，废活性炭等废吸附材料等废弃物产生量、处置去向如实记录，建立运废物处置台账，保存期限不得少于三年。</w:t>
                  </w:r>
                </w:p>
                <w:p w14:paraId="458F811B">
                  <w:pPr>
                    <w:pStyle w:val="83"/>
                    <w:jc w:val="both"/>
                    <w:rPr>
                      <w:rFonts w:hint="default"/>
                    </w:rPr>
                  </w:pPr>
                  <w:r>
                    <w:t>②环境监测：排气筒设置符合HJ/T397《固定源废气监测技术规范》要求的采样口和采样平台，并配备固定电源，设置固定安全的人员通道。在排气筒附近地面设置环境保护图形标志牌；按项目环评及HJ819《排污单位自行监测技术指南—总则》要求定期开展挥发性有机废物的有组织排放和无组织排放监测，半年至少监测一次；制定相应环境管理制度，编制环境事件应急预案，制定专门开停机、检修操作规程和无组织废气污染控制措施。</w:t>
                  </w:r>
                </w:p>
              </w:tc>
              <w:tc>
                <w:tcPr>
                  <w:tcW w:w="1168" w:type="pct"/>
                  <w:vAlign w:val="center"/>
                </w:tcPr>
                <w:p w14:paraId="2D58C8CB">
                  <w:pPr>
                    <w:pStyle w:val="83"/>
                    <w:jc w:val="both"/>
                    <w:rPr>
                      <w:rFonts w:hint="default"/>
                    </w:rPr>
                  </w:pPr>
                  <w:r>
                    <w:t>项目属于《产业结构调整指导目录（2024年本）》中的鼓励类项目，项目产品和工艺技术不属于《部分工业行业淘汰落后生产工艺装备和产品指导目录》；项目熔融工序使用密闭生产设备；废气处理过程中产生的废油剂属于危险废物，委托有资质单位处置。</w:t>
                  </w:r>
                </w:p>
                <w:p w14:paraId="421BE15F">
                  <w:pPr>
                    <w:pStyle w:val="83"/>
                    <w:jc w:val="both"/>
                    <w:rPr>
                      <w:rFonts w:hint="default"/>
                    </w:rPr>
                  </w:pPr>
                  <w:r>
                    <w:t>项目废气负压收集，再生熔融废气、油剂废气和煅烧废气由高压静电吸附装置处理、单体抽吸废气由水喷淋装置处理，净化效率不低于80%。</w:t>
                  </w:r>
                </w:p>
                <w:p w14:paraId="42A1DA3F">
                  <w:pPr>
                    <w:pStyle w:val="83"/>
                    <w:jc w:val="both"/>
                    <w:rPr>
                      <w:rFonts w:hint="default"/>
                    </w:rPr>
                  </w:pPr>
                  <w:r>
                    <w:t>项目投产后企业建立工艺、设备运维台账，建立固体废物处置台账，保存期限均不少于三年；项目建成后按规范要求设置排气筒采样口、采样平台和环保标志牌；根据环评报告开展自行监测；项目环境管理纳入永荣锦江股份有限公司环境管理体系。</w:t>
                  </w:r>
                </w:p>
              </w:tc>
              <w:tc>
                <w:tcPr>
                  <w:tcW w:w="578" w:type="pct"/>
                  <w:vAlign w:val="center"/>
                </w:tcPr>
                <w:p w14:paraId="563E6978">
                  <w:pPr>
                    <w:pStyle w:val="83"/>
                    <w:rPr>
                      <w:rFonts w:hint="default"/>
                    </w:rPr>
                  </w:pPr>
                  <w:r>
                    <w:t>符合</w:t>
                  </w:r>
                </w:p>
              </w:tc>
            </w:tr>
            <w:tr w14:paraId="2B4B37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669" w:type="pct"/>
                  <w:vAlign w:val="center"/>
                </w:tcPr>
                <w:p w14:paraId="06445D8F">
                  <w:pPr>
                    <w:pStyle w:val="83"/>
                    <w:rPr>
                      <w:rFonts w:hint="eastAsia" w:eastAsia="宋体"/>
                      <w:highlight w:val="none"/>
                      <w:lang w:eastAsia="zh-CN"/>
                    </w:rPr>
                  </w:pPr>
                  <w:r>
                    <w:rPr>
                      <w:rFonts w:hint="eastAsia"/>
                      <w:highlight w:val="none"/>
                    </w:rPr>
                    <w:t>2025年度福州市蓝天碧水碧海净土保卫战行动计划</w:t>
                  </w:r>
                  <w:r>
                    <w:rPr>
                      <w:rFonts w:hint="eastAsia"/>
                      <w:highlight w:val="none"/>
                      <w:lang w:eastAsia="zh-CN"/>
                    </w:rPr>
                    <w:t>（</w:t>
                  </w:r>
                  <w:r>
                    <w:rPr>
                      <w:rFonts w:hint="eastAsia"/>
                      <w:highlight w:val="none"/>
                      <w:lang w:val="en-US" w:eastAsia="zh-CN"/>
                    </w:rPr>
                    <w:t>摘录</w:t>
                  </w:r>
                  <w:r>
                    <w:rPr>
                      <w:rFonts w:hint="eastAsia"/>
                      <w:highlight w:val="none"/>
                      <w:lang w:eastAsia="zh-CN"/>
                    </w:rPr>
                    <w:t>）</w:t>
                  </w:r>
                </w:p>
              </w:tc>
              <w:tc>
                <w:tcPr>
                  <w:tcW w:w="2585" w:type="pct"/>
                  <w:vAlign w:val="center"/>
                </w:tcPr>
                <w:p w14:paraId="11149714">
                  <w:pPr>
                    <w:pStyle w:val="83"/>
                    <w:jc w:val="both"/>
                    <w:rPr>
                      <w:rFonts w:hint="eastAsia"/>
                      <w:highlight w:val="none"/>
                    </w:rPr>
                  </w:pPr>
                  <w:r>
                    <w:rPr>
                      <w:rFonts w:hint="eastAsia"/>
                      <w:highlight w:val="none"/>
                    </w:rPr>
                    <w:t>1.持续推进重点产业转型升级。稳妥有序推动碳达峰，聚焦钢铁、建材、石化等重点领域实施节能降碳行动，扎实推进碳达峰试点，</w:t>
                  </w:r>
                  <w:r>
                    <w:rPr>
                      <w:rFonts w:hint="eastAsia"/>
                      <w:highlight w:val="none"/>
                      <w:lang w:eastAsia="zh-CN"/>
                    </w:rPr>
                    <w:t>……</w:t>
                  </w:r>
                  <w:r>
                    <w:rPr>
                      <w:rFonts w:hint="eastAsia"/>
                      <w:highlight w:val="none"/>
                    </w:rPr>
                    <w:t>鼓励和引导现有涉VOCs企业向相应工业园区或产业聚集区集聚，市区三环以内原则上不再新增涉VOCs项目，如确需新上涉VOCs排放项目，需使用低VOCs原辅材料，无法全部使用低VOCs原辅材料的应根据工艺特点选择高效处理设施，不得使用单一低温等离子、光催化氧化等处理设施。新建涉VOCs项目应当进入工业园区。</w:t>
                  </w:r>
                </w:p>
                <w:p w14:paraId="504C1D94">
                  <w:pPr>
                    <w:pStyle w:val="83"/>
                    <w:jc w:val="both"/>
                    <w:rPr>
                      <w:rFonts w:hint="eastAsia"/>
                      <w:highlight w:val="none"/>
                    </w:rPr>
                  </w:pPr>
                  <w:r>
                    <w:rPr>
                      <w:rFonts w:hint="eastAsia"/>
                      <w:highlight w:val="none"/>
                    </w:rPr>
                    <w:t>9.深化VOCs排查整治。对照《挥发性有机物治理突出问题排查整治工作要求》，针对简易低效VOCs治理设施，含VOCs物料储存、转移和输送、设备与管线组件、敞开液面以及工艺过程等环节无组织排放情况常态化开展排查整治，要求涉VOCs重点排污单位全覆盖，淘汰光催化、光解（光氧化）、低温等离子、单一水喷淋等落后低效VOCs处理装置。对完成整治的企业，指导企业进一步巩固提升整治成果；对达不到相关标准要求的企业，督促企业及时更换设备或实施升级改造，不断提高企业污染治理和环境管理水平。</w:t>
                  </w:r>
                </w:p>
              </w:tc>
              <w:tc>
                <w:tcPr>
                  <w:tcW w:w="1168" w:type="pct"/>
                  <w:vAlign w:val="center"/>
                </w:tcPr>
                <w:p w14:paraId="1C67D4AB">
                  <w:pPr>
                    <w:pStyle w:val="83"/>
                    <w:jc w:val="both"/>
                    <w:rPr>
                      <w:rFonts w:hint="eastAsia" w:eastAsia="宋体"/>
                      <w:highlight w:val="none"/>
                      <w:lang w:eastAsia="zh-CN"/>
                    </w:rPr>
                  </w:pPr>
                  <w:r>
                    <w:rPr>
                      <w:rFonts w:hint="eastAsia"/>
                      <w:highlight w:val="none"/>
                      <w:lang w:val="en-US" w:eastAsia="zh-CN"/>
                    </w:rPr>
                    <w:t>本项目位于福州临空经济区，</w:t>
                  </w:r>
                  <w:r>
                    <w:rPr>
                      <w:rFonts w:hint="eastAsia"/>
                      <w:highlight w:val="none"/>
                    </w:rPr>
                    <w:t>产生的有机废气为低浓度VOCs废气，再生熔融废气、油剂废气和煅烧废气由高压静电吸附装置处理，废气处理达标后通过排气筒排放。</w:t>
                  </w:r>
                  <w:r>
                    <w:rPr>
                      <w:rFonts w:hint="eastAsia"/>
                      <w:highlight w:val="none"/>
                      <w:lang w:val="en-US" w:eastAsia="zh-CN"/>
                    </w:rPr>
                    <w:t>未使用</w:t>
                  </w:r>
                  <w:r>
                    <w:rPr>
                      <w:rFonts w:hint="eastAsia"/>
                      <w:highlight w:val="none"/>
                    </w:rPr>
                    <w:t>单一低温等离子、光催化氧化等处理设施</w:t>
                  </w:r>
                  <w:r>
                    <w:rPr>
                      <w:rFonts w:hint="eastAsia"/>
                      <w:highlight w:val="none"/>
                      <w:lang w:eastAsia="zh-CN"/>
                    </w:rPr>
                    <w:t>。</w:t>
                  </w:r>
                </w:p>
                <w:p w14:paraId="7495BF57">
                  <w:pPr>
                    <w:pStyle w:val="83"/>
                    <w:jc w:val="both"/>
                    <w:rPr>
                      <w:rFonts w:hint="default" w:eastAsia="宋体"/>
                      <w:highlight w:val="none"/>
                      <w:lang w:val="en-US" w:eastAsia="zh-CN"/>
                    </w:rPr>
                  </w:pPr>
                  <w:r>
                    <w:rPr>
                      <w:rFonts w:hint="eastAsia"/>
                      <w:highlight w:val="none"/>
                    </w:rPr>
                    <w:t>生产过程采用密闭设备，生产车间采用自动卷帘门、密闭性好的塑钢门窗等，在非必要时保持关闭。</w:t>
                  </w:r>
                </w:p>
              </w:tc>
              <w:tc>
                <w:tcPr>
                  <w:tcW w:w="578" w:type="pct"/>
                  <w:vAlign w:val="center"/>
                </w:tcPr>
                <w:p w14:paraId="480139FE">
                  <w:pPr>
                    <w:pStyle w:val="83"/>
                    <w:rPr>
                      <w:rFonts w:hint="default" w:eastAsia="宋体"/>
                      <w:highlight w:val="none"/>
                      <w:lang w:val="en-US" w:eastAsia="zh-CN"/>
                    </w:rPr>
                  </w:pPr>
                  <w:r>
                    <w:rPr>
                      <w:rFonts w:hint="eastAsia"/>
                      <w:highlight w:val="none"/>
                      <w:lang w:val="en-US" w:eastAsia="zh-CN"/>
                    </w:rPr>
                    <w:t>符合</w:t>
                  </w:r>
                </w:p>
              </w:tc>
            </w:tr>
          </w:tbl>
          <w:p w14:paraId="2B39EC3A">
            <w:pPr>
              <w:pStyle w:val="13"/>
              <w:ind w:firstLine="480"/>
            </w:pPr>
          </w:p>
        </w:tc>
      </w:tr>
    </w:tbl>
    <w:p w14:paraId="6A4EC2B7">
      <w:pPr>
        <w:ind w:firstLine="480"/>
        <w:rPr>
          <w:snapToGrid w:val="0"/>
        </w:rPr>
      </w:pPr>
    </w:p>
    <w:p w14:paraId="6A90DA3E">
      <w:pPr>
        <w:pStyle w:val="14"/>
        <w:ind w:firstLine="600"/>
        <w:jc w:val="center"/>
        <w:outlineLvl w:val="0"/>
        <w:rPr>
          <w:rFonts w:hint="eastAsia" w:ascii="黑体" w:hAnsi="黑体" w:eastAsia="黑体"/>
          <w:snapToGrid w:val="0"/>
          <w:sz w:val="30"/>
          <w:szCs w:val="30"/>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p w14:paraId="52116EB7">
      <w:pPr>
        <w:pStyle w:val="14"/>
        <w:spacing w:before="0" w:beforeAutospacing="0" w:after="0" w:afterAutospacing="0"/>
        <w:ind w:firstLine="0" w:firstLineChars="0"/>
        <w:jc w:val="center"/>
        <w:outlineLvl w:val="0"/>
        <w:rPr>
          <w:rFonts w:hint="eastAsia" w:ascii="黑体" w:hAnsi="黑体" w:eastAsia="黑体"/>
          <w:snapToGrid w:val="0"/>
          <w:sz w:val="30"/>
          <w:szCs w:val="30"/>
        </w:rPr>
      </w:pPr>
      <w:r>
        <w:rPr>
          <w:rFonts w:hint="eastAsia" w:ascii="黑体" w:hAnsi="黑体" w:eastAsia="黑体"/>
          <w:snapToGrid w:val="0"/>
          <w:sz w:val="30"/>
          <w:szCs w:val="30"/>
        </w:rPr>
        <w:t>二、建设项目工程分析</w:t>
      </w:r>
    </w:p>
    <w:tbl>
      <w:tblPr>
        <w:tblStyle w:val="17"/>
        <w:tblW w:w="50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483"/>
        <w:gridCol w:w="8602"/>
      </w:tblGrid>
      <w:tr w14:paraId="41ED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668" w:hRule="atLeast"/>
          <w:jc w:val="center"/>
        </w:trPr>
        <w:tc>
          <w:tcPr>
            <w:tcW w:w="266" w:type="pct"/>
            <w:vAlign w:val="center"/>
          </w:tcPr>
          <w:p w14:paraId="01D1356E">
            <w:pPr>
              <w:pStyle w:val="14"/>
              <w:adjustRightInd w:val="0"/>
              <w:snapToGrid w:val="0"/>
              <w:spacing w:before="0" w:beforeAutospacing="0" w:after="0" w:afterAutospacing="0"/>
              <w:ind w:firstLine="0" w:firstLineChars="0"/>
              <w:jc w:val="center"/>
              <w:rPr>
                <w:rFonts w:hint="eastAsia" w:cs="宋体"/>
                <w:sz w:val="21"/>
                <w:szCs w:val="21"/>
              </w:rPr>
            </w:pPr>
            <w:r>
              <w:rPr>
                <w:rFonts w:hint="eastAsia" w:cs="宋体"/>
                <w:sz w:val="21"/>
                <w:szCs w:val="21"/>
              </w:rPr>
              <w:t>建设内容</w:t>
            </w:r>
          </w:p>
        </w:tc>
        <w:tc>
          <w:tcPr>
            <w:tcW w:w="4734" w:type="pct"/>
          </w:tcPr>
          <w:p w14:paraId="51FB735C">
            <w:pPr>
              <w:pStyle w:val="3"/>
              <w:spacing w:before="120" w:after="0" w:afterLines="0"/>
            </w:pPr>
            <w:r>
              <w:rPr>
                <w:rFonts w:hint="eastAsia"/>
              </w:rPr>
              <w:t>2.1 项目工程建设分析</w:t>
            </w:r>
          </w:p>
          <w:p w14:paraId="36856552">
            <w:pPr>
              <w:pStyle w:val="4"/>
              <w:spacing w:before="120" w:after="0" w:afterLines="0"/>
            </w:pPr>
            <w:r>
              <w:rPr>
                <w:rFonts w:hint="eastAsia"/>
              </w:rPr>
              <w:t>2.1.1 项目由来</w:t>
            </w:r>
          </w:p>
          <w:p w14:paraId="368CBD8D">
            <w:pPr>
              <w:ind w:firstLine="480"/>
            </w:pPr>
            <w:r>
              <w:rPr>
                <w:rFonts w:hint="eastAsia"/>
              </w:rPr>
              <w:t>福建永荣锦江股份有限公司位于福州市长乐区湖南镇鹏程路28号（临空经济区内），企业现有项目包括纺丝工程一～六期、聚合工程一～三期、一期加弹工程、一期再生纤维项目，均已取得环评批复。其中，年产6万吨绿色再生、功能性、差异化高速纺锦纶纺丝及加弹智能化生产技术提升及成套装备国产化开发应用项目（纺丝六期）正在建设，其余项目均已通过竣工环保验收并正常生产。现有项目生产规模和环保手续办理情况见表2.1-1。</w:t>
            </w:r>
          </w:p>
          <w:p w14:paraId="50509DFE">
            <w:pPr>
              <w:ind w:firstLine="480"/>
            </w:pPr>
            <w:r>
              <w:rPr>
                <w:rFonts w:hint="eastAsia"/>
              </w:rPr>
              <w:t>企业拟投资18000.00万元建设永荣锦江绿色低碳环保、高性能、可降解、新材料智能化纺丝织造一体化配套产业研究院项目，与中国纺织工程学会联合共建聚酰胺共性技术中试创新平台，覆盖新材料研发、纤维与面料开发实验，聚焦高性能、绿色化、智能化纺织材料研发，致力于攻克功能性纤维、可降解材料及智能纺织品等关键共性技术。中试创新平台的建立，旨在打通功能性纤维材料从实验室到量产的“最后一公里”，通过验证并优化工艺参数、测试提升产品性能，为企业后续实现高品质、多品类纤维新材料的稳定量产提供坚实的基础。项目</w:t>
            </w:r>
            <w:bookmarkStart w:id="3" w:name="OLE_LINK3"/>
            <w:r>
              <w:rPr>
                <w:rFonts w:hint="eastAsia"/>
              </w:rPr>
              <w:t>在企业已征用地范围内新建一座6#中试车间及与以上内容配套的道路、绿化、环保设施、供配电、给排水等公用辅助工程。项目占地面积9746平方米，建筑面积12000平方米，建设聚酰胺共性技术中试创新平台，包括：①生物基新材料、可降解材料、原液着色新材料、消费后再生新材料、高性能新材料等新材料小中试研发线；②基于25+36挤出机吸料储料、计量下料、造粒改性、干燥及打包的智能自动化系统</w:t>
            </w:r>
            <w:bookmarkEnd w:id="3"/>
            <w:r>
              <w:rPr>
                <w:rFonts w:hint="eastAsia"/>
              </w:rPr>
              <w:t>；③200m</w:t>
            </w:r>
            <w:r>
              <w:rPr>
                <w:rFonts w:hint="eastAsia"/>
                <w:vertAlign w:val="superscript"/>
              </w:rPr>
              <w:t>2</w:t>
            </w:r>
            <w:r>
              <w:rPr>
                <w:rFonts w:hint="eastAsia"/>
              </w:rPr>
              <w:t>恒温恒湿实验室。项目建成后可形成年产脱模母粒0.2万吨、再生切片0.8万吨、锦纶长丝（PA6-FDY/POY）0.78万吨的生产能力。目前，该项目已取得长乐区发展和改革局的备案文件（闽发改备〔2025〕0168号）。</w:t>
            </w:r>
          </w:p>
          <w:p w14:paraId="3FC9F5F6">
            <w:pPr>
              <w:ind w:firstLine="480"/>
            </w:pPr>
            <w:r>
              <w:rPr>
                <w:rFonts w:hint="eastAsia"/>
              </w:rPr>
              <w:t>根据《建设项目环境影响评价分类管理名录》（2021年版）规定，本项目属于“四十五、研究和试验发展”中的“98.专业实验室、研发（试验）基地”中的“其他（不产生实验废气、废水、危险废物的除外）”，应编制环境影响报告表。因此福建永荣锦江股份有限公司于2026年5月委托中检集团福建创信环保科技有限公司编制本项目环境影响报告表。</w:t>
            </w:r>
          </w:p>
        </w:tc>
      </w:tr>
    </w:tbl>
    <w:p w14:paraId="55F78F7D">
      <w:pPr>
        <w:tabs>
          <w:tab w:val="left" w:pos="1620"/>
        </w:tabs>
        <w:ind w:firstLine="480"/>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tbl>
      <w:tblPr>
        <w:tblStyle w:val="18"/>
        <w:tblW w:w="0" w:type="auto"/>
        <w:jc w:val="center"/>
        <w:tblBorders>
          <w:top w:val="single" w:color="auto" w:sz="8" w:space="0"/>
          <w:left w:val="single" w:color="auto" w:sz="8" w:space="0"/>
          <w:bottom w:val="single" w:color="auto" w:sz="8" w:space="0"/>
          <w:right w:val="single" w:color="auto" w:sz="8" w:space="0"/>
          <w:insideH w:val="none" w:color="auto" w:sz="0" w:space="0"/>
          <w:insideV w:val="single" w:color="auto" w:sz="4" w:space="0"/>
        </w:tblBorders>
        <w:tblLayout w:type="fixed"/>
        <w:tblCellMar>
          <w:top w:w="57" w:type="dxa"/>
          <w:left w:w="108" w:type="dxa"/>
          <w:bottom w:w="57" w:type="dxa"/>
          <w:right w:w="108" w:type="dxa"/>
        </w:tblCellMar>
      </w:tblPr>
      <w:tblGrid>
        <w:gridCol w:w="426"/>
        <w:gridCol w:w="13226"/>
      </w:tblGrid>
      <w:tr w14:paraId="04875A1F">
        <w:tblPrEx>
          <w:tblBorders>
            <w:top w:val="single" w:color="auto" w:sz="8" w:space="0"/>
            <w:left w:val="single" w:color="auto" w:sz="8" w:space="0"/>
            <w:bottom w:val="single" w:color="auto" w:sz="8" w:space="0"/>
            <w:right w:val="single" w:color="auto" w:sz="8" w:space="0"/>
            <w:insideH w:val="none" w:color="auto" w:sz="0" w:space="0"/>
            <w:insideV w:val="single" w:color="auto" w:sz="4" w:space="0"/>
          </w:tblBorders>
          <w:tblCellMar>
            <w:top w:w="57" w:type="dxa"/>
            <w:left w:w="108" w:type="dxa"/>
            <w:bottom w:w="57" w:type="dxa"/>
            <w:right w:w="108" w:type="dxa"/>
          </w:tblCellMar>
        </w:tblPrEx>
        <w:trPr>
          <w:jc w:val="center"/>
        </w:trPr>
        <w:tc>
          <w:tcPr>
            <w:tcW w:w="426" w:type="dxa"/>
            <w:vAlign w:val="center"/>
          </w:tcPr>
          <w:p w14:paraId="15488AE0">
            <w:pPr>
              <w:tabs>
                <w:tab w:val="left" w:pos="1620"/>
              </w:tabs>
              <w:ind w:firstLine="0" w:firstLineChars="0"/>
              <w:jc w:val="center"/>
              <w:rPr>
                <w:sz w:val="21"/>
                <w:szCs w:val="21"/>
              </w:rPr>
            </w:pPr>
            <w:r>
              <w:rPr>
                <w:rFonts w:hint="eastAsia" w:cs="宋体"/>
                <w:sz w:val="21"/>
                <w:szCs w:val="18"/>
              </w:rPr>
              <w:t>建设内容</w:t>
            </w:r>
          </w:p>
        </w:tc>
        <w:tc>
          <w:tcPr>
            <w:tcW w:w="13226" w:type="dxa"/>
          </w:tcPr>
          <w:p w14:paraId="1B046C66">
            <w:pPr>
              <w:pStyle w:val="13"/>
            </w:pPr>
            <w:r>
              <w:rPr>
                <w:rFonts w:hint="eastAsia"/>
              </w:rPr>
              <w:t>表2.1-1  现有项目生产规模及环保手续信息一览表</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715"/>
              <w:gridCol w:w="2243"/>
              <w:gridCol w:w="3141"/>
              <w:gridCol w:w="1637"/>
              <w:gridCol w:w="890"/>
              <w:gridCol w:w="1384"/>
            </w:tblGrid>
            <w:tr w14:paraId="553BD0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427" w:type="pct"/>
                  <w:vAlign w:val="center"/>
                </w:tcPr>
                <w:p w14:paraId="13BF414D">
                  <w:pPr>
                    <w:pStyle w:val="83"/>
                    <w:rPr>
                      <w:rFonts w:hint="default"/>
                      <w:sz w:val="18"/>
                      <w:szCs w:val="18"/>
                    </w:rPr>
                  </w:pPr>
                  <w:r>
                    <w:rPr>
                      <w:sz w:val="18"/>
                      <w:szCs w:val="18"/>
                    </w:rPr>
                    <w:t>项目名称</w:t>
                  </w:r>
                </w:p>
              </w:tc>
              <w:tc>
                <w:tcPr>
                  <w:tcW w:w="861" w:type="pct"/>
                  <w:vAlign w:val="center"/>
                </w:tcPr>
                <w:p w14:paraId="2B38DBF3">
                  <w:pPr>
                    <w:pStyle w:val="83"/>
                    <w:rPr>
                      <w:rFonts w:hint="default"/>
                      <w:sz w:val="18"/>
                      <w:szCs w:val="18"/>
                    </w:rPr>
                  </w:pPr>
                  <w:r>
                    <w:rPr>
                      <w:sz w:val="18"/>
                      <w:szCs w:val="18"/>
                    </w:rPr>
                    <w:t>生产规模</w:t>
                  </w:r>
                </w:p>
              </w:tc>
              <w:tc>
                <w:tcPr>
                  <w:tcW w:w="1206" w:type="pct"/>
                  <w:vAlign w:val="center"/>
                </w:tcPr>
                <w:p w14:paraId="3F5ABCDD">
                  <w:pPr>
                    <w:pStyle w:val="83"/>
                    <w:rPr>
                      <w:rFonts w:hint="default"/>
                      <w:sz w:val="18"/>
                      <w:szCs w:val="18"/>
                    </w:rPr>
                  </w:pPr>
                  <w:r>
                    <w:rPr>
                      <w:sz w:val="18"/>
                      <w:szCs w:val="18"/>
                    </w:rPr>
                    <w:t>环评审批情况</w:t>
                  </w:r>
                </w:p>
              </w:tc>
              <w:tc>
                <w:tcPr>
                  <w:tcW w:w="629" w:type="pct"/>
                  <w:vAlign w:val="center"/>
                </w:tcPr>
                <w:p w14:paraId="170C3DFC">
                  <w:pPr>
                    <w:pStyle w:val="83"/>
                    <w:rPr>
                      <w:rFonts w:hint="default"/>
                      <w:sz w:val="18"/>
                      <w:szCs w:val="18"/>
                    </w:rPr>
                  </w:pPr>
                  <w:r>
                    <w:rPr>
                      <w:sz w:val="18"/>
                      <w:szCs w:val="18"/>
                    </w:rPr>
                    <w:t>验收情况</w:t>
                  </w:r>
                </w:p>
              </w:tc>
              <w:tc>
                <w:tcPr>
                  <w:tcW w:w="342" w:type="pct"/>
                  <w:vAlign w:val="center"/>
                </w:tcPr>
                <w:p w14:paraId="4BB29BE7">
                  <w:pPr>
                    <w:pStyle w:val="83"/>
                    <w:rPr>
                      <w:rFonts w:hint="default"/>
                      <w:sz w:val="18"/>
                      <w:szCs w:val="18"/>
                    </w:rPr>
                  </w:pPr>
                  <w:r>
                    <w:rPr>
                      <w:sz w:val="18"/>
                      <w:szCs w:val="18"/>
                    </w:rPr>
                    <w:t>运行</w:t>
                  </w:r>
                </w:p>
                <w:p w14:paraId="1E13BEF8">
                  <w:pPr>
                    <w:pStyle w:val="83"/>
                    <w:rPr>
                      <w:rFonts w:hint="default"/>
                      <w:sz w:val="18"/>
                      <w:szCs w:val="18"/>
                    </w:rPr>
                  </w:pPr>
                  <w:r>
                    <w:rPr>
                      <w:sz w:val="18"/>
                      <w:szCs w:val="18"/>
                    </w:rPr>
                    <w:t>情况</w:t>
                  </w:r>
                </w:p>
              </w:tc>
              <w:tc>
                <w:tcPr>
                  <w:tcW w:w="532" w:type="pct"/>
                  <w:vAlign w:val="center"/>
                </w:tcPr>
                <w:p w14:paraId="7691DF98">
                  <w:pPr>
                    <w:pStyle w:val="83"/>
                    <w:rPr>
                      <w:rFonts w:hint="default"/>
                      <w:sz w:val="18"/>
                      <w:szCs w:val="18"/>
                    </w:rPr>
                  </w:pPr>
                  <w:r>
                    <w:rPr>
                      <w:sz w:val="18"/>
                      <w:szCs w:val="18"/>
                    </w:rPr>
                    <w:t>排污许可证</w:t>
                  </w:r>
                </w:p>
              </w:tc>
            </w:tr>
            <w:tr w14:paraId="70E8C7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Merge w:val="restart"/>
                  <w:vAlign w:val="center"/>
                </w:tcPr>
                <w:p w14:paraId="72BD1860">
                  <w:pPr>
                    <w:pStyle w:val="83"/>
                    <w:rPr>
                      <w:rFonts w:hint="default"/>
                      <w:sz w:val="18"/>
                      <w:szCs w:val="18"/>
                    </w:rPr>
                  </w:pPr>
                  <w:r>
                    <w:rPr>
                      <w:sz w:val="18"/>
                      <w:szCs w:val="18"/>
                    </w:rPr>
                    <w:t>福建省锦江科技有限公司锦纶66、锦纶6纺丝生产线项目（纺丝一、二期）</w:t>
                  </w:r>
                </w:p>
              </w:tc>
              <w:tc>
                <w:tcPr>
                  <w:tcW w:w="861" w:type="pct"/>
                  <w:vMerge w:val="restart"/>
                  <w:vAlign w:val="center"/>
                </w:tcPr>
                <w:p w14:paraId="5B5D0293">
                  <w:pPr>
                    <w:pStyle w:val="83"/>
                    <w:rPr>
                      <w:rFonts w:hint="default"/>
                      <w:sz w:val="18"/>
                      <w:szCs w:val="18"/>
                    </w:rPr>
                  </w:pPr>
                  <w:r>
                    <w:rPr>
                      <w:sz w:val="18"/>
                      <w:szCs w:val="18"/>
                    </w:rPr>
                    <w:t>锦纶6-HOY3.0万t/a</w:t>
                  </w:r>
                  <w:r>
                    <w:rPr>
                      <w:sz w:val="18"/>
                      <w:szCs w:val="18"/>
                    </w:rPr>
                    <w:br w:type="textWrapping"/>
                  </w:r>
                  <w:r>
                    <w:rPr>
                      <w:sz w:val="18"/>
                      <w:szCs w:val="18"/>
                    </w:rPr>
                    <w:t>锦纶6-FDY1.5万t/a</w:t>
                  </w:r>
                  <w:r>
                    <w:rPr>
                      <w:sz w:val="18"/>
                      <w:szCs w:val="18"/>
                    </w:rPr>
                    <w:br w:type="textWrapping"/>
                  </w:r>
                  <w:r>
                    <w:rPr>
                      <w:sz w:val="18"/>
                      <w:szCs w:val="18"/>
                    </w:rPr>
                    <w:t>锦纶66-FDY1.5万t/a</w:t>
                  </w:r>
                </w:p>
              </w:tc>
              <w:tc>
                <w:tcPr>
                  <w:tcW w:w="1206" w:type="pct"/>
                  <w:vMerge w:val="restart"/>
                  <w:vAlign w:val="center"/>
                </w:tcPr>
                <w:p w14:paraId="1A38AA3B">
                  <w:pPr>
                    <w:pStyle w:val="83"/>
                    <w:rPr>
                      <w:rFonts w:hint="default"/>
                      <w:sz w:val="18"/>
                      <w:szCs w:val="18"/>
                    </w:rPr>
                  </w:pPr>
                  <w:r>
                    <w:rPr>
                      <w:sz w:val="18"/>
                      <w:szCs w:val="18"/>
                    </w:rPr>
                    <w:t>福建省环境保护局2006年7月批复</w:t>
                  </w:r>
                </w:p>
              </w:tc>
              <w:tc>
                <w:tcPr>
                  <w:tcW w:w="629" w:type="pct"/>
                  <w:vAlign w:val="center"/>
                </w:tcPr>
                <w:p w14:paraId="0AE75155">
                  <w:pPr>
                    <w:pStyle w:val="83"/>
                    <w:rPr>
                      <w:rFonts w:hint="default"/>
                      <w:sz w:val="18"/>
                      <w:szCs w:val="18"/>
                    </w:rPr>
                  </w:pPr>
                  <w:r>
                    <w:rPr>
                      <w:sz w:val="18"/>
                      <w:szCs w:val="18"/>
                    </w:rPr>
                    <w:t>2008年7月通过竣工环保验收</w:t>
                  </w:r>
                </w:p>
              </w:tc>
              <w:tc>
                <w:tcPr>
                  <w:tcW w:w="342" w:type="pct"/>
                  <w:vAlign w:val="center"/>
                </w:tcPr>
                <w:p w14:paraId="6727F0AF">
                  <w:pPr>
                    <w:pStyle w:val="83"/>
                    <w:rPr>
                      <w:rFonts w:hint="default"/>
                      <w:sz w:val="18"/>
                      <w:szCs w:val="18"/>
                    </w:rPr>
                  </w:pPr>
                  <w:r>
                    <w:rPr>
                      <w:sz w:val="18"/>
                      <w:szCs w:val="18"/>
                    </w:rPr>
                    <w:t>已投产</w:t>
                  </w:r>
                </w:p>
              </w:tc>
              <w:tc>
                <w:tcPr>
                  <w:tcW w:w="532" w:type="pct"/>
                  <w:vMerge w:val="restart"/>
                  <w:vAlign w:val="center"/>
                </w:tcPr>
                <w:p w14:paraId="02495C5E">
                  <w:pPr>
                    <w:pStyle w:val="83"/>
                    <w:rPr>
                      <w:rFonts w:hint="default"/>
                      <w:sz w:val="18"/>
                      <w:szCs w:val="18"/>
                      <w:highlight w:val="none"/>
                    </w:rPr>
                  </w:pPr>
                  <w:r>
                    <w:rPr>
                      <w:sz w:val="18"/>
                      <w:szCs w:val="18"/>
                      <w:highlight w:val="none"/>
                    </w:rPr>
                    <w:t>申领日期：</w:t>
                  </w:r>
                </w:p>
                <w:p w14:paraId="5369401D">
                  <w:pPr>
                    <w:pStyle w:val="83"/>
                    <w:rPr>
                      <w:rFonts w:hint="default"/>
                      <w:sz w:val="18"/>
                      <w:szCs w:val="18"/>
                      <w:highlight w:val="none"/>
                      <w:lang w:val="en-US"/>
                    </w:rPr>
                  </w:pPr>
                  <w:r>
                    <w:rPr>
                      <w:rFonts w:hint="eastAsia"/>
                      <w:sz w:val="18"/>
                      <w:szCs w:val="18"/>
                      <w:highlight w:val="none"/>
                      <w:lang w:val="en-US" w:eastAsia="zh-CN"/>
                    </w:rPr>
                    <w:t>2026.7.15</w:t>
                  </w:r>
                </w:p>
                <w:p w14:paraId="07CD7AB3">
                  <w:pPr>
                    <w:pStyle w:val="83"/>
                    <w:rPr>
                      <w:rFonts w:hint="default"/>
                      <w:sz w:val="18"/>
                      <w:szCs w:val="18"/>
                    </w:rPr>
                  </w:pPr>
                  <w:r>
                    <w:rPr>
                      <w:sz w:val="18"/>
                      <w:szCs w:val="18"/>
                    </w:rPr>
                    <w:t>排污许可证编号：9135018278691468XF001V</w:t>
                  </w:r>
                </w:p>
              </w:tc>
            </w:tr>
            <w:tr w14:paraId="637A03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Merge w:val="continue"/>
                  <w:vAlign w:val="center"/>
                </w:tcPr>
                <w:p w14:paraId="2D2E9C69">
                  <w:pPr>
                    <w:pStyle w:val="83"/>
                    <w:rPr>
                      <w:rFonts w:hint="default"/>
                      <w:sz w:val="18"/>
                      <w:szCs w:val="18"/>
                    </w:rPr>
                  </w:pPr>
                </w:p>
              </w:tc>
              <w:tc>
                <w:tcPr>
                  <w:tcW w:w="861" w:type="pct"/>
                  <w:vMerge w:val="continue"/>
                  <w:vAlign w:val="center"/>
                </w:tcPr>
                <w:p w14:paraId="70333A7D">
                  <w:pPr>
                    <w:pStyle w:val="83"/>
                    <w:rPr>
                      <w:rFonts w:hint="default"/>
                      <w:sz w:val="18"/>
                      <w:szCs w:val="18"/>
                    </w:rPr>
                  </w:pPr>
                </w:p>
              </w:tc>
              <w:tc>
                <w:tcPr>
                  <w:tcW w:w="1206" w:type="pct"/>
                  <w:vMerge w:val="continue"/>
                  <w:vAlign w:val="center"/>
                </w:tcPr>
                <w:p w14:paraId="7857BF26">
                  <w:pPr>
                    <w:pStyle w:val="83"/>
                    <w:rPr>
                      <w:rFonts w:hint="default"/>
                      <w:sz w:val="18"/>
                      <w:szCs w:val="18"/>
                    </w:rPr>
                  </w:pPr>
                </w:p>
              </w:tc>
              <w:tc>
                <w:tcPr>
                  <w:tcW w:w="629" w:type="pct"/>
                  <w:vAlign w:val="center"/>
                </w:tcPr>
                <w:p w14:paraId="594D0AD1">
                  <w:pPr>
                    <w:pStyle w:val="83"/>
                    <w:rPr>
                      <w:rFonts w:hint="default"/>
                      <w:sz w:val="18"/>
                      <w:szCs w:val="18"/>
                    </w:rPr>
                  </w:pPr>
                  <w:r>
                    <w:rPr>
                      <w:sz w:val="18"/>
                      <w:szCs w:val="18"/>
                    </w:rPr>
                    <w:t>2010年4月通过竣工环保验收</w:t>
                  </w:r>
                </w:p>
              </w:tc>
              <w:tc>
                <w:tcPr>
                  <w:tcW w:w="342" w:type="pct"/>
                  <w:vAlign w:val="center"/>
                </w:tcPr>
                <w:p w14:paraId="7BA4D10F">
                  <w:pPr>
                    <w:pStyle w:val="83"/>
                    <w:rPr>
                      <w:rFonts w:hint="default"/>
                      <w:sz w:val="18"/>
                      <w:szCs w:val="18"/>
                    </w:rPr>
                  </w:pPr>
                  <w:r>
                    <w:rPr>
                      <w:sz w:val="18"/>
                      <w:szCs w:val="18"/>
                    </w:rPr>
                    <w:t>已投产</w:t>
                  </w:r>
                </w:p>
              </w:tc>
              <w:tc>
                <w:tcPr>
                  <w:tcW w:w="532" w:type="pct"/>
                  <w:vMerge w:val="continue"/>
                  <w:vAlign w:val="center"/>
                </w:tcPr>
                <w:p w14:paraId="7CF5242E">
                  <w:pPr>
                    <w:pStyle w:val="83"/>
                    <w:rPr>
                      <w:rFonts w:hint="default"/>
                      <w:sz w:val="18"/>
                      <w:szCs w:val="18"/>
                    </w:rPr>
                  </w:pPr>
                </w:p>
              </w:tc>
            </w:tr>
            <w:tr w14:paraId="712D4C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5AD5E92A">
                  <w:pPr>
                    <w:pStyle w:val="83"/>
                    <w:rPr>
                      <w:rFonts w:hint="default"/>
                      <w:sz w:val="18"/>
                      <w:szCs w:val="18"/>
                    </w:rPr>
                  </w:pPr>
                  <w:r>
                    <w:rPr>
                      <w:sz w:val="18"/>
                      <w:szCs w:val="18"/>
                    </w:rPr>
                    <w:t>福建锦江科技有限公司扩增年产3.5万吨HOY、3.5万吨FDY差别化锦纶纤维项目（纺丝三期）</w:t>
                  </w:r>
                </w:p>
              </w:tc>
              <w:tc>
                <w:tcPr>
                  <w:tcW w:w="861" w:type="pct"/>
                  <w:vAlign w:val="center"/>
                </w:tcPr>
                <w:p w14:paraId="5B5EDF9A">
                  <w:pPr>
                    <w:pStyle w:val="83"/>
                    <w:rPr>
                      <w:rFonts w:hint="default"/>
                      <w:sz w:val="18"/>
                      <w:szCs w:val="18"/>
                    </w:rPr>
                  </w:pPr>
                  <w:r>
                    <w:rPr>
                      <w:sz w:val="18"/>
                      <w:szCs w:val="18"/>
                    </w:rPr>
                    <w:t>锦纶HOY纤维3.5万t/a</w:t>
                  </w:r>
                  <w:r>
                    <w:rPr>
                      <w:sz w:val="18"/>
                      <w:szCs w:val="18"/>
                    </w:rPr>
                    <w:br w:type="textWrapping"/>
                  </w:r>
                  <w:r>
                    <w:rPr>
                      <w:sz w:val="18"/>
                      <w:szCs w:val="18"/>
                    </w:rPr>
                    <w:t>锦纶FDY纤维3.5万t/a</w:t>
                  </w:r>
                </w:p>
              </w:tc>
              <w:tc>
                <w:tcPr>
                  <w:tcW w:w="1206" w:type="pct"/>
                  <w:vAlign w:val="center"/>
                </w:tcPr>
                <w:p w14:paraId="61B4EDA3">
                  <w:pPr>
                    <w:pStyle w:val="83"/>
                    <w:rPr>
                      <w:rFonts w:hint="default"/>
                      <w:sz w:val="18"/>
                      <w:szCs w:val="18"/>
                    </w:rPr>
                  </w:pPr>
                  <w:r>
                    <w:rPr>
                      <w:sz w:val="18"/>
                      <w:szCs w:val="18"/>
                    </w:rPr>
                    <w:t>福建省环境保护厅2009年12月批复</w:t>
                  </w:r>
                </w:p>
              </w:tc>
              <w:tc>
                <w:tcPr>
                  <w:tcW w:w="629" w:type="pct"/>
                  <w:vAlign w:val="center"/>
                </w:tcPr>
                <w:p w14:paraId="750D661F">
                  <w:pPr>
                    <w:pStyle w:val="83"/>
                    <w:rPr>
                      <w:rFonts w:hint="default"/>
                      <w:sz w:val="18"/>
                      <w:szCs w:val="18"/>
                    </w:rPr>
                  </w:pPr>
                  <w:r>
                    <w:rPr>
                      <w:sz w:val="18"/>
                      <w:szCs w:val="18"/>
                    </w:rPr>
                    <w:t>2012年2月通过竣工环保验收</w:t>
                  </w:r>
                </w:p>
              </w:tc>
              <w:tc>
                <w:tcPr>
                  <w:tcW w:w="342" w:type="pct"/>
                  <w:vAlign w:val="center"/>
                </w:tcPr>
                <w:p w14:paraId="1E13A049">
                  <w:pPr>
                    <w:pStyle w:val="83"/>
                    <w:rPr>
                      <w:rFonts w:hint="default"/>
                      <w:sz w:val="18"/>
                      <w:szCs w:val="18"/>
                    </w:rPr>
                  </w:pPr>
                  <w:r>
                    <w:rPr>
                      <w:sz w:val="18"/>
                      <w:szCs w:val="18"/>
                    </w:rPr>
                    <w:t>已投产</w:t>
                  </w:r>
                </w:p>
              </w:tc>
              <w:tc>
                <w:tcPr>
                  <w:tcW w:w="532" w:type="pct"/>
                  <w:vMerge w:val="continue"/>
                  <w:vAlign w:val="center"/>
                </w:tcPr>
                <w:p w14:paraId="71F8CF15">
                  <w:pPr>
                    <w:pStyle w:val="83"/>
                    <w:rPr>
                      <w:rFonts w:hint="default"/>
                      <w:sz w:val="18"/>
                      <w:szCs w:val="18"/>
                    </w:rPr>
                  </w:pPr>
                </w:p>
              </w:tc>
            </w:tr>
            <w:tr w14:paraId="6069A4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71CFEB0E">
                  <w:pPr>
                    <w:pStyle w:val="83"/>
                    <w:rPr>
                      <w:rFonts w:hint="default"/>
                      <w:sz w:val="18"/>
                      <w:szCs w:val="18"/>
                    </w:rPr>
                  </w:pPr>
                  <w:r>
                    <w:rPr>
                      <w:sz w:val="18"/>
                      <w:szCs w:val="18"/>
                    </w:rPr>
                    <w:t>福建锦江科技有限公司日产260吨聚酰胺（一期）工程项目（聚合一期）</w:t>
                  </w:r>
                </w:p>
              </w:tc>
              <w:tc>
                <w:tcPr>
                  <w:tcW w:w="861" w:type="pct"/>
                  <w:vAlign w:val="center"/>
                </w:tcPr>
                <w:p w14:paraId="50796568">
                  <w:pPr>
                    <w:pStyle w:val="83"/>
                    <w:rPr>
                      <w:rFonts w:hint="default"/>
                      <w:sz w:val="18"/>
                      <w:szCs w:val="18"/>
                    </w:rPr>
                  </w:pPr>
                  <w:r>
                    <w:rPr>
                      <w:sz w:val="18"/>
                      <w:szCs w:val="18"/>
                    </w:rPr>
                    <w:t>聚酰胺6切片9万t/a</w:t>
                  </w:r>
                </w:p>
              </w:tc>
              <w:tc>
                <w:tcPr>
                  <w:tcW w:w="1206" w:type="pct"/>
                  <w:vAlign w:val="center"/>
                </w:tcPr>
                <w:p w14:paraId="5C342138">
                  <w:pPr>
                    <w:pStyle w:val="83"/>
                    <w:rPr>
                      <w:rFonts w:hint="default"/>
                      <w:sz w:val="18"/>
                      <w:szCs w:val="18"/>
                    </w:rPr>
                  </w:pPr>
                  <w:r>
                    <w:rPr>
                      <w:sz w:val="18"/>
                      <w:szCs w:val="18"/>
                    </w:rPr>
                    <w:t>福建省环境保护厅2010年4月批复（闽环保监〔2010〕49号）</w:t>
                  </w:r>
                </w:p>
              </w:tc>
              <w:tc>
                <w:tcPr>
                  <w:tcW w:w="629" w:type="pct"/>
                  <w:vAlign w:val="center"/>
                </w:tcPr>
                <w:p w14:paraId="56EB4466">
                  <w:pPr>
                    <w:pStyle w:val="83"/>
                    <w:rPr>
                      <w:rFonts w:hint="default"/>
                      <w:sz w:val="18"/>
                      <w:szCs w:val="18"/>
                    </w:rPr>
                  </w:pPr>
                  <w:r>
                    <w:rPr>
                      <w:sz w:val="18"/>
                      <w:szCs w:val="18"/>
                    </w:rPr>
                    <w:t>2012年9月通过竣工环保验收</w:t>
                  </w:r>
                </w:p>
              </w:tc>
              <w:tc>
                <w:tcPr>
                  <w:tcW w:w="342" w:type="pct"/>
                  <w:vAlign w:val="center"/>
                </w:tcPr>
                <w:p w14:paraId="1AABDBD7">
                  <w:pPr>
                    <w:pStyle w:val="83"/>
                    <w:rPr>
                      <w:rFonts w:hint="default"/>
                      <w:sz w:val="18"/>
                      <w:szCs w:val="18"/>
                    </w:rPr>
                  </w:pPr>
                  <w:r>
                    <w:rPr>
                      <w:sz w:val="18"/>
                      <w:szCs w:val="18"/>
                    </w:rPr>
                    <w:t>已投产</w:t>
                  </w:r>
                </w:p>
              </w:tc>
              <w:tc>
                <w:tcPr>
                  <w:tcW w:w="532" w:type="pct"/>
                  <w:vMerge w:val="continue"/>
                  <w:vAlign w:val="center"/>
                </w:tcPr>
                <w:p w14:paraId="4E1D9854">
                  <w:pPr>
                    <w:pStyle w:val="83"/>
                    <w:rPr>
                      <w:rFonts w:hint="default"/>
                      <w:sz w:val="18"/>
                      <w:szCs w:val="18"/>
                    </w:rPr>
                  </w:pPr>
                </w:p>
              </w:tc>
            </w:tr>
            <w:tr w14:paraId="5EDFF1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4FD70374">
                  <w:pPr>
                    <w:pStyle w:val="83"/>
                    <w:rPr>
                      <w:rFonts w:hint="default"/>
                      <w:sz w:val="18"/>
                      <w:szCs w:val="18"/>
                    </w:rPr>
                  </w:pPr>
                  <w:r>
                    <w:rPr>
                      <w:sz w:val="18"/>
                      <w:szCs w:val="18"/>
                    </w:rPr>
                    <w:t>福建锦江科技有限公司日产260吨聚酰胺（二期）工程项目（聚合二期）</w:t>
                  </w:r>
                </w:p>
              </w:tc>
              <w:tc>
                <w:tcPr>
                  <w:tcW w:w="861" w:type="pct"/>
                  <w:vAlign w:val="center"/>
                </w:tcPr>
                <w:p w14:paraId="06AC6903">
                  <w:pPr>
                    <w:pStyle w:val="83"/>
                    <w:rPr>
                      <w:rFonts w:hint="default"/>
                      <w:sz w:val="18"/>
                      <w:szCs w:val="18"/>
                    </w:rPr>
                  </w:pPr>
                  <w:r>
                    <w:rPr>
                      <w:sz w:val="18"/>
                      <w:szCs w:val="18"/>
                    </w:rPr>
                    <w:t>聚酰胺6切片9万t/a</w:t>
                  </w:r>
                </w:p>
              </w:tc>
              <w:tc>
                <w:tcPr>
                  <w:tcW w:w="1206" w:type="pct"/>
                  <w:vAlign w:val="center"/>
                </w:tcPr>
                <w:p w14:paraId="1F4552D6">
                  <w:pPr>
                    <w:pStyle w:val="83"/>
                    <w:rPr>
                      <w:rFonts w:hint="default"/>
                      <w:sz w:val="18"/>
                      <w:szCs w:val="18"/>
                    </w:rPr>
                  </w:pPr>
                  <w:r>
                    <w:rPr>
                      <w:sz w:val="18"/>
                      <w:szCs w:val="18"/>
                    </w:rPr>
                    <w:t>长乐市环境保护局2010年11月批复（长环保〔2010〕133号）</w:t>
                  </w:r>
                </w:p>
              </w:tc>
              <w:tc>
                <w:tcPr>
                  <w:tcW w:w="629" w:type="pct"/>
                  <w:vMerge w:val="restart"/>
                  <w:vAlign w:val="center"/>
                </w:tcPr>
                <w:p w14:paraId="41879ECE">
                  <w:pPr>
                    <w:pStyle w:val="83"/>
                    <w:rPr>
                      <w:rFonts w:hint="default"/>
                      <w:sz w:val="18"/>
                      <w:szCs w:val="18"/>
                    </w:rPr>
                  </w:pPr>
                  <w:r>
                    <w:rPr>
                      <w:sz w:val="18"/>
                      <w:szCs w:val="18"/>
                    </w:rPr>
                    <w:t>2015年12月通过竣工环保验收（长环验〔2015〕32号）</w:t>
                  </w:r>
                </w:p>
              </w:tc>
              <w:tc>
                <w:tcPr>
                  <w:tcW w:w="342" w:type="pct"/>
                  <w:vAlign w:val="center"/>
                </w:tcPr>
                <w:p w14:paraId="0AE40E1F">
                  <w:pPr>
                    <w:pStyle w:val="83"/>
                    <w:rPr>
                      <w:rFonts w:hint="default"/>
                      <w:sz w:val="18"/>
                      <w:szCs w:val="18"/>
                    </w:rPr>
                  </w:pPr>
                  <w:r>
                    <w:rPr>
                      <w:sz w:val="18"/>
                      <w:szCs w:val="18"/>
                    </w:rPr>
                    <w:t>已投产</w:t>
                  </w:r>
                </w:p>
              </w:tc>
              <w:tc>
                <w:tcPr>
                  <w:tcW w:w="532" w:type="pct"/>
                  <w:vMerge w:val="continue"/>
                  <w:vAlign w:val="center"/>
                </w:tcPr>
                <w:p w14:paraId="69FE6119">
                  <w:pPr>
                    <w:pStyle w:val="83"/>
                    <w:rPr>
                      <w:rFonts w:hint="default"/>
                      <w:sz w:val="18"/>
                      <w:szCs w:val="18"/>
                    </w:rPr>
                  </w:pPr>
                </w:p>
              </w:tc>
            </w:tr>
            <w:tr w14:paraId="5873D2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504EC02B">
                  <w:pPr>
                    <w:pStyle w:val="83"/>
                    <w:rPr>
                      <w:rFonts w:hint="default"/>
                      <w:sz w:val="18"/>
                      <w:szCs w:val="18"/>
                    </w:rPr>
                  </w:pPr>
                  <w:r>
                    <w:rPr>
                      <w:sz w:val="18"/>
                      <w:szCs w:val="18"/>
                    </w:rPr>
                    <w:t>福建锦江科技有限公司年产3.5万吨HOY、7万吨FDY差别化锦纶纤维工程项目（纺丝四期）</w:t>
                  </w:r>
                </w:p>
              </w:tc>
              <w:tc>
                <w:tcPr>
                  <w:tcW w:w="861" w:type="pct"/>
                  <w:vAlign w:val="center"/>
                </w:tcPr>
                <w:p w14:paraId="782F0863">
                  <w:pPr>
                    <w:pStyle w:val="83"/>
                    <w:rPr>
                      <w:rFonts w:hint="default"/>
                      <w:sz w:val="18"/>
                      <w:szCs w:val="18"/>
                    </w:rPr>
                  </w:pPr>
                  <w:r>
                    <w:rPr>
                      <w:sz w:val="18"/>
                      <w:szCs w:val="18"/>
                    </w:rPr>
                    <w:t>锦纶HOY纤维3.5万t/a</w:t>
                  </w:r>
                  <w:r>
                    <w:rPr>
                      <w:sz w:val="18"/>
                      <w:szCs w:val="18"/>
                    </w:rPr>
                    <w:br w:type="textWrapping"/>
                  </w:r>
                  <w:r>
                    <w:rPr>
                      <w:sz w:val="18"/>
                      <w:szCs w:val="18"/>
                    </w:rPr>
                    <w:t>锦纶FDY纤维7万t/a</w:t>
                  </w:r>
                </w:p>
              </w:tc>
              <w:tc>
                <w:tcPr>
                  <w:tcW w:w="1206" w:type="pct"/>
                  <w:vAlign w:val="center"/>
                </w:tcPr>
                <w:p w14:paraId="3F61A4D7">
                  <w:pPr>
                    <w:pStyle w:val="83"/>
                    <w:rPr>
                      <w:rFonts w:hint="default"/>
                      <w:sz w:val="18"/>
                      <w:szCs w:val="18"/>
                    </w:rPr>
                  </w:pPr>
                  <w:r>
                    <w:rPr>
                      <w:sz w:val="18"/>
                      <w:szCs w:val="18"/>
                    </w:rPr>
                    <w:t>长乐市环境保护局2010年12月批复</w:t>
                  </w:r>
                </w:p>
              </w:tc>
              <w:tc>
                <w:tcPr>
                  <w:tcW w:w="629" w:type="pct"/>
                  <w:vMerge w:val="continue"/>
                  <w:vAlign w:val="center"/>
                </w:tcPr>
                <w:p w14:paraId="1FFDB515">
                  <w:pPr>
                    <w:pStyle w:val="83"/>
                    <w:rPr>
                      <w:rFonts w:hint="default"/>
                      <w:sz w:val="18"/>
                      <w:szCs w:val="18"/>
                    </w:rPr>
                  </w:pPr>
                </w:p>
              </w:tc>
              <w:tc>
                <w:tcPr>
                  <w:tcW w:w="342" w:type="pct"/>
                  <w:vAlign w:val="center"/>
                </w:tcPr>
                <w:p w14:paraId="6318AC76">
                  <w:pPr>
                    <w:pStyle w:val="83"/>
                    <w:rPr>
                      <w:rFonts w:hint="default"/>
                      <w:sz w:val="18"/>
                      <w:szCs w:val="18"/>
                    </w:rPr>
                  </w:pPr>
                  <w:r>
                    <w:rPr>
                      <w:sz w:val="18"/>
                      <w:szCs w:val="18"/>
                    </w:rPr>
                    <w:t>已投产</w:t>
                  </w:r>
                </w:p>
              </w:tc>
              <w:tc>
                <w:tcPr>
                  <w:tcW w:w="532" w:type="pct"/>
                  <w:vMerge w:val="continue"/>
                  <w:vAlign w:val="center"/>
                </w:tcPr>
                <w:p w14:paraId="449D0FCC">
                  <w:pPr>
                    <w:pStyle w:val="83"/>
                    <w:rPr>
                      <w:rFonts w:hint="default"/>
                      <w:sz w:val="18"/>
                      <w:szCs w:val="18"/>
                    </w:rPr>
                  </w:pPr>
                </w:p>
              </w:tc>
            </w:tr>
            <w:tr w14:paraId="34654C5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6E5717CE">
                  <w:pPr>
                    <w:pStyle w:val="83"/>
                    <w:rPr>
                      <w:rFonts w:hint="default"/>
                      <w:sz w:val="18"/>
                      <w:szCs w:val="18"/>
                    </w:rPr>
                  </w:pPr>
                  <w:r>
                    <w:rPr>
                      <w:sz w:val="18"/>
                      <w:szCs w:val="18"/>
                    </w:rPr>
                    <w:t>福建锦江科技有限公司年产10.6万吨聚酰胺纤维环吹超细化纺丝及加弹建设项目（加弹项目）</w:t>
                  </w:r>
                </w:p>
              </w:tc>
              <w:tc>
                <w:tcPr>
                  <w:tcW w:w="861" w:type="pct"/>
                  <w:vAlign w:val="center"/>
                </w:tcPr>
                <w:p w14:paraId="1E391926">
                  <w:pPr>
                    <w:pStyle w:val="83"/>
                    <w:rPr>
                      <w:rFonts w:hint="default"/>
                      <w:sz w:val="18"/>
                      <w:szCs w:val="18"/>
                    </w:rPr>
                  </w:pPr>
                  <w:r>
                    <w:rPr>
                      <w:sz w:val="18"/>
                      <w:szCs w:val="18"/>
                    </w:rPr>
                    <w:t>聚酰胺纤维环吹超细化纺丝及加弹纤维10.6万t/a</w:t>
                  </w:r>
                </w:p>
              </w:tc>
              <w:tc>
                <w:tcPr>
                  <w:tcW w:w="1206" w:type="pct"/>
                  <w:vAlign w:val="center"/>
                </w:tcPr>
                <w:p w14:paraId="0F867C15">
                  <w:pPr>
                    <w:pStyle w:val="83"/>
                    <w:rPr>
                      <w:rFonts w:hint="default"/>
                      <w:sz w:val="18"/>
                      <w:szCs w:val="18"/>
                    </w:rPr>
                  </w:pPr>
                  <w:r>
                    <w:rPr>
                      <w:sz w:val="18"/>
                      <w:szCs w:val="18"/>
                    </w:rPr>
                    <w:t>长乐市环境保护局2016年6月批复（长环评〔2016〕40号）</w:t>
                  </w:r>
                </w:p>
              </w:tc>
              <w:tc>
                <w:tcPr>
                  <w:tcW w:w="629" w:type="pct"/>
                  <w:vAlign w:val="center"/>
                </w:tcPr>
                <w:p w14:paraId="3552EABA">
                  <w:pPr>
                    <w:pStyle w:val="83"/>
                    <w:rPr>
                      <w:rFonts w:hint="default"/>
                      <w:sz w:val="18"/>
                      <w:szCs w:val="18"/>
                    </w:rPr>
                  </w:pPr>
                  <w:r>
                    <w:rPr>
                      <w:sz w:val="18"/>
                      <w:szCs w:val="18"/>
                    </w:rPr>
                    <w:t>2019年7月通过阶段性竣工环保验收</w:t>
                  </w:r>
                </w:p>
              </w:tc>
              <w:tc>
                <w:tcPr>
                  <w:tcW w:w="342" w:type="pct"/>
                  <w:vAlign w:val="center"/>
                </w:tcPr>
                <w:p w14:paraId="4903A4C8">
                  <w:pPr>
                    <w:pStyle w:val="83"/>
                    <w:rPr>
                      <w:rFonts w:hint="default"/>
                      <w:sz w:val="18"/>
                      <w:szCs w:val="18"/>
                    </w:rPr>
                  </w:pPr>
                  <w:r>
                    <w:rPr>
                      <w:sz w:val="18"/>
                      <w:szCs w:val="18"/>
                    </w:rPr>
                    <w:t>已投产</w:t>
                  </w:r>
                </w:p>
              </w:tc>
              <w:tc>
                <w:tcPr>
                  <w:tcW w:w="532" w:type="pct"/>
                  <w:vMerge w:val="continue"/>
                  <w:vAlign w:val="center"/>
                </w:tcPr>
                <w:p w14:paraId="2BD563E0">
                  <w:pPr>
                    <w:pStyle w:val="83"/>
                    <w:rPr>
                      <w:rFonts w:hint="default"/>
                      <w:sz w:val="18"/>
                      <w:szCs w:val="18"/>
                    </w:rPr>
                  </w:pPr>
                </w:p>
              </w:tc>
            </w:tr>
            <w:tr w14:paraId="70D7B3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2D2E4F6B">
                  <w:pPr>
                    <w:pStyle w:val="83"/>
                    <w:rPr>
                      <w:rFonts w:hint="default"/>
                      <w:sz w:val="18"/>
                      <w:szCs w:val="18"/>
                    </w:rPr>
                  </w:pPr>
                  <w:r>
                    <w:rPr>
                      <w:sz w:val="18"/>
                      <w:szCs w:val="18"/>
                    </w:rPr>
                    <w:t>福建永荣锦江股份有限公司年产15万吨聚酰胺一体化建设项目</w:t>
                  </w:r>
                </w:p>
                <w:p w14:paraId="64A97CFB">
                  <w:pPr>
                    <w:pStyle w:val="83"/>
                    <w:rPr>
                      <w:rFonts w:hint="default"/>
                      <w:sz w:val="18"/>
                      <w:szCs w:val="18"/>
                    </w:rPr>
                  </w:pPr>
                  <w:r>
                    <w:rPr>
                      <w:sz w:val="18"/>
                      <w:szCs w:val="18"/>
                    </w:rPr>
                    <w:t>（聚合三期）</w:t>
                  </w:r>
                </w:p>
              </w:tc>
              <w:tc>
                <w:tcPr>
                  <w:tcW w:w="861" w:type="pct"/>
                  <w:vAlign w:val="center"/>
                </w:tcPr>
                <w:p w14:paraId="552CA377">
                  <w:pPr>
                    <w:pStyle w:val="83"/>
                    <w:rPr>
                      <w:rFonts w:hint="default"/>
                      <w:sz w:val="18"/>
                      <w:szCs w:val="18"/>
                    </w:rPr>
                  </w:pPr>
                  <w:r>
                    <w:rPr>
                      <w:sz w:val="18"/>
                      <w:szCs w:val="18"/>
                    </w:rPr>
                    <w:t>聚酰胺6切片15万t/a</w:t>
                  </w:r>
                </w:p>
              </w:tc>
              <w:tc>
                <w:tcPr>
                  <w:tcW w:w="1206" w:type="pct"/>
                  <w:vAlign w:val="center"/>
                </w:tcPr>
                <w:p w14:paraId="2C87F6DB">
                  <w:pPr>
                    <w:pStyle w:val="83"/>
                    <w:rPr>
                      <w:rFonts w:hint="default"/>
                      <w:sz w:val="18"/>
                      <w:szCs w:val="18"/>
                    </w:rPr>
                  </w:pPr>
                  <w:r>
                    <w:rPr>
                      <w:sz w:val="18"/>
                      <w:szCs w:val="18"/>
                    </w:rPr>
                    <w:t>福州市环境保护局2018年5月批复（榕环保评〔2018〕51号）</w:t>
                  </w:r>
                </w:p>
              </w:tc>
              <w:tc>
                <w:tcPr>
                  <w:tcW w:w="629" w:type="pct"/>
                  <w:vAlign w:val="center"/>
                </w:tcPr>
                <w:p w14:paraId="7715F53D">
                  <w:pPr>
                    <w:pStyle w:val="83"/>
                    <w:rPr>
                      <w:rFonts w:hint="default"/>
                      <w:sz w:val="18"/>
                      <w:szCs w:val="18"/>
                    </w:rPr>
                  </w:pPr>
                  <w:r>
                    <w:rPr>
                      <w:sz w:val="18"/>
                      <w:szCs w:val="18"/>
                    </w:rPr>
                    <w:t>2020年10月通过竣工环保验收</w:t>
                  </w:r>
                </w:p>
              </w:tc>
              <w:tc>
                <w:tcPr>
                  <w:tcW w:w="342" w:type="pct"/>
                  <w:vAlign w:val="center"/>
                </w:tcPr>
                <w:p w14:paraId="206E2284">
                  <w:pPr>
                    <w:pStyle w:val="83"/>
                    <w:rPr>
                      <w:rFonts w:hint="default"/>
                      <w:sz w:val="18"/>
                      <w:szCs w:val="18"/>
                    </w:rPr>
                  </w:pPr>
                  <w:r>
                    <w:rPr>
                      <w:sz w:val="18"/>
                      <w:szCs w:val="18"/>
                    </w:rPr>
                    <w:t>已投产</w:t>
                  </w:r>
                </w:p>
              </w:tc>
              <w:tc>
                <w:tcPr>
                  <w:tcW w:w="532" w:type="pct"/>
                  <w:vMerge w:val="continue"/>
                  <w:vAlign w:val="center"/>
                </w:tcPr>
                <w:p w14:paraId="3C2EF772">
                  <w:pPr>
                    <w:pStyle w:val="83"/>
                    <w:rPr>
                      <w:rFonts w:hint="default"/>
                      <w:sz w:val="18"/>
                      <w:szCs w:val="18"/>
                    </w:rPr>
                  </w:pPr>
                </w:p>
              </w:tc>
            </w:tr>
            <w:tr w14:paraId="4DF799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1E1E209B">
                  <w:pPr>
                    <w:pStyle w:val="83"/>
                    <w:rPr>
                      <w:rFonts w:hint="default"/>
                      <w:sz w:val="18"/>
                      <w:szCs w:val="18"/>
                    </w:rPr>
                  </w:pPr>
                  <w:r>
                    <w:rPr>
                      <w:sz w:val="18"/>
                      <w:szCs w:val="18"/>
                    </w:rPr>
                    <w:t>福建永荣锦江股份有限公司年产7万吨智能化、绿色差别化锦纶纤维项目（纺丝五期）</w:t>
                  </w:r>
                </w:p>
              </w:tc>
              <w:tc>
                <w:tcPr>
                  <w:tcW w:w="861" w:type="pct"/>
                  <w:vAlign w:val="center"/>
                </w:tcPr>
                <w:p w14:paraId="04D592E2">
                  <w:pPr>
                    <w:pStyle w:val="83"/>
                    <w:rPr>
                      <w:rFonts w:hint="default"/>
                      <w:sz w:val="18"/>
                      <w:szCs w:val="18"/>
                    </w:rPr>
                  </w:pPr>
                  <w:r>
                    <w:rPr>
                      <w:sz w:val="18"/>
                      <w:szCs w:val="18"/>
                    </w:rPr>
                    <w:t>锦纶FDY纤维6万t/a</w:t>
                  </w:r>
                  <w:r>
                    <w:rPr>
                      <w:sz w:val="18"/>
                      <w:szCs w:val="18"/>
                    </w:rPr>
                    <w:br w:type="textWrapping"/>
                  </w:r>
                  <w:r>
                    <w:rPr>
                      <w:sz w:val="18"/>
                      <w:szCs w:val="18"/>
                    </w:rPr>
                    <w:t>锦纶POY纤维1万t/a</w:t>
                  </w:r>
                </w:p>
              </w:tc>
              <w:tc>
                <w:tcPr>
                  <w:tcW w:w="1206" w:type="pct"/>
                  <w:vAlign w:val="center"/>
                </w:tcPr>
                <w:p w14:paraId="1070A0E7">
                  <w:pPr>
                    <w:pStyle w:val="83"/>
                    <w:rPr>
                      <w:rFonts w:hint="default"/>
                      <w:sz w:val="18"/>
                      <w:szCs w:val="18"/>
                    </w:rPr>
                  </w:pPr>
                  <w:r>
                    <w:rPr>
                      <w:sz w:val="18"/>
                      <w:szCs w:val="18"/>
                    </w:rPr>
                    <w:t>福州市长乐生态环境局2020年2月批复（长环评〔2020〕20号）</w:t>
                  </w:r>
                </w:p>
              </w:tc>
              <w:tc>
                <w:tcPr>
                  <w:tcW w:w="629" w:type="pct"/>
                  <w:vAlign w:val="center"/>
                </w:tcPr>
                <w:p w14:paraId="4BD96541">
                  <w:pPr>
                    <w:pStyle w:val="83"/>
                    <w:rPr>
                      <w:rFonts w:hint="default"/>
                      <w:sz w:val="18"/>
                      <w:szCs w:val="18"/>
                    </w:rPr>
                  </w:pPr>
                  <w:r>
                    <w:rPr>
                      <w:sz w:val="18"/>
                      <w:szCs w:val="18"/>
                    </w:rPr>
                    <w:t>2022年5月通过竣工环保验收</w:t>
                  </w:r>
                </w:p>
              </w:tc>
              <w:tc>
                <w:tcPr>
                  <w:tcW w:w="342" w:type="pct"/>
                  <w:vAlign w:val="center"/>
                </w:tcPr>
                <w:p w14:paraId="6E0E5650">
                  <w:pPr>
                    <w:pStyle w:val="83"/>
                    <w:rPr>
                      <w:rFonts w:hint="default"/>
                      <w:sz w:val="18"/>
                      <w:szCs w:val="18"/>
                    </w:rPr>
                  </w:pPr>
                  <w:r>
                    <w:rPr>
                      <w:sz w:val="18"/>
                      <w:szCs w:val="18"/>
                    </w:rPr>
                    <w:t>已投产</w:t>
                  </w:r>
                </w:p>
              </w:tc>
              <w:tc>
                <w:tcPr>
                  <w:tcW w:w="532" w:type="pct"/>
                  <w:vMerge w:val="continue"/>
                  <w:vAlign w:val="center"/>
                </w:tcPr>
                <w:p w14:paraId="371223E3">
                  <w:pPr>
                    <w:pStyle w:val="83"/>
                    <w:rPr>
                      <w:rFonts w:hint="default"/>
                      <w:sz w:val="18"/>
                      <w:szCs w:val="18"/>
                    </w:rPr>
                  </w:pPr>
                </w:p>
              </w:tc>
            </w:tr>
            <w:tr w14:paraId="6C9D56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2ED41B40">
                  <w:pPr>
                    <w:pStyle w:val="83"/>
                    <w:rPr>
                      <w:rFonts w:hint="default"/>
                      <w:sz w:val="18"/>
                      <w:szCs w:val="18"/>
                    </w:rPr>
                  </w:pPr>
                  <w:r>
                    <w:rPr>
                      <w:sz w:val="18"/>
                      <w:szCs w:val="18"/>
                    </w:rPr>
                    <w:t>福建永荣锦江股份有限公司年产1万吨低碳再生切片、改性工塑项目</w:t>
                  </w:r>
                </w:p>
              </w:tc>
              <w:tc>
                <w:tcPr>
                  <w:tcW w:w="861" w:type="pct"/>
                  <w:vAlign w:val="center"/>
                </w:tcPr>
                <w:p w14:paraId="1A262E8F">
                  <w:pPr>
                    <w:pStyle w:val="83"/>
                    <w:rPr>
                      <w:rFonts w:hint="default"/>
                      <w:sz w:val="18"/>
                      <w:szCs w:val="18"/>
                    </w:rPr>
                  </w:pPr>
                  <w:r>
                    <w:rPr>
                      <w:sz w:val="18"/>
                      <w:szCs w:val="18"/>
                    </w:rPr>
                    <w:t>再生切片0.8万t/a</w:t>
                  </w:r>
                </w:p>
                <w:p w14:paraId="45D4E24A">
                  <w:pPr>
                    <w:pStyle w:val="83"/>
                    <w:rPr>
                      <w:rFonts w:hint="default"/>
                      <w:sz w:val="18"/>
                      <w:szCs w:val="18"/>
                    </w:rPr>
                  </w:pPr>
                  <w:r>
                    <w:rPr>
                      <w:sz w:val="18"/>
                      <w:szCs w:val="18"/>
                    </w:rPr>
                    <w:t>脱模母粒0.2万t/a</w:t>
                  </w:r>
                </w:p>
              </w:tc>
              <w:tc>
                <w:tcPr>
                  <w:tcW w:w="1206" w:type="pct"/>
                  <w:vAlign w:val="center"/>
                </w:tcPr>
                <w:p w14:paraId="12FA0F85">
                  <w:pPr>
                    <w:pStyle w:val="83"/>
                    <w:rPr>
                      <w:rFonts w:hint="default"/>
                      <w:sz w:val="18"/>
                      <w:szCs w:val="18"/>
                    </w:rPr>
                  </w:pPr>
                  <w:r>
                    <w:rPr>
                      <w:sz w:val="18"/>
                      <w:szCs w:val="18"/>
                    </w:rPr>
                    <w:t>福州市长乐生态环境局2023年8月批复（榕长环评〔2023〕34号）</w:t>
                  </w:r>
                </w:p>
              </w:tc>
              <w:tc>
                <w:tcPr>
                  <w:tcW w:w="629" w:type="pct"/>
                  <w:vAlign w:val="center"/>
                </w:tcPr>
                <w:p w14:paraId="1E32249B">
                  <w:pPr>
                    <w:pStyle w:val="83"/>
                    <w:rPr>
                      <w:rFonts w:hint="default"/>
                      <w:sz w:val="18"/>
                      <w:szCs w:val="18"/>
                    </w:rPr>
                  </w:pPr>
                  <w:r>
                    <w:rPr>
                      <w:sz w:val="18"/>
                      <w:szCs w:val="18"/>
                    </w:rPr>
                    <w:t>2025年7月通过竣工环保验收</w:t>
                  </w:r>
                </w:p>
              </w:tc>
              <w:tc>
                <w:tcPr>
                  <w:tcW w:w="342" w:type="pct"/>
                  <w:vAlign w:val="center"/>
                </w:tcPr>
                <w:p w14:paraId="04B30622">
                  <w:pPr>
                    <w:pStyle w:val="83"/>
                    <w:rPr>
                      <w:rFonts w:hint="default"/>
                      <w:sz w:val="18"/>
                      <w:szCs w:val="18"/>
                    </w:rPr>
                  </w:pPr>
                  <w:r>
                    <w:rPr>
                      <w:sz w:val="18"/>
                      <w:szCs w:val="18"/>
                    </w:rPr>
                    <w:t>已投产</w:t>
                  </w:r>
                </w:p>
              </w:tc>
              <w:tc>
                <w:tcPr>
                  <w:tcW w:w="532" w:type="pct"/>
                  <w:vMerge w:val="continue"/>
                  <w:vAlign w:val="center"/>
                </w:tcPr>
                <w:p w14:paraId="62FF0630">
                  <w:pPr>
                    <w:pStyle w:val="83"/>
                    <w:rPr>
                      <w:rFonts w:hint="default"/>
                      <w:sz w:val="18"/>
                      <w:szCs w:val="18"/>
                    </w:rPr>
                  </w:pPr>
                </w:p>
              </w:tc>
            </w:tr>
            <w:tr w14:paraId="28844C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27" w:type="pct"/>
                  <w:vAlign w:val="center"/>
                </w:tcPr>
                <w:p w14:paraId="6B067849">
                  <w:pPr>
                    <w:pStyle w:val="83"/>
                    <w:rPr>
                      <w:rFonts w:hint="default"/>
                      <w:sz w:val="18"/>
                      <w:szCs w:val="18"/>
                    </w:rPr>
                  </w:pPr>
                  <w:r>
                    <w:rPr>
                      <w:sz w:val="18"/>
                      <w:szCs w:val="18"/>
                    </w:rPr>
                    <w:t>福建永荣锦江股份有限公司年产6万吨绿色再生、功能性、差异化高速纺锦纶纺丝及加弹智能化生产技术提升及成套装备国产化开发应用项目</w:t>
                  </w:r>
                </w:p>
              </w:tc>
              <w:tc>
                <w:tcPr>
                  <w:tcW w:w="861" w:type="pct"/>
                  <w:vAlign w:val="center"/>
                </w:tcPr>
                <w:p w14:paraId="72416E58">
                  <w:pPr>
                    <w:pStyle w:val="83"/>
                    <w:rPr>
                      <w:rFonts w:hint="default"/>
                      <w:sz w:val="18"/>
                      <w:szCs w:val="18"/>
                    </w:rPr>
                  </w:pPr>
                  <w:r>
                    <w:rPr>
                      <w:sz w:val="18"/>
                      <w:szCs w:val="18"/>
                    </w:rPr>
                    <w:t>锦纶POY纤维6万t/a</w:t>
                  </w:r>
                  <w:r>
                    <w:rPr>
                      <w:sz w:val="18"/>
                      <w:szCs w:val="18"/>
                    </w:rPr>
                    <w:br w:type="textWrapping"/>
                  </w:r>
                  <w:r>
                    <w:rPr>
                      <w:sz w:val="18"/>
                      <w:szCs w:val="18"/>
                    </w:rPr>
                    <w:t>锦纶DTY纤维3万t/a</w:t>
                  </w:r>
                </w:p>
              </w:tc>
              <w:tc>
                <w:tcPr>
                  <w:tcW w:w="1206" w:type="pct"/>
                  <w:vAlign w:val="center"/>
                </w:tcPr>
                <w:p w14:paraId="5333207A">
                  <w:pPr>
                    <w:pStyle w:val="83"/>
                    <w:rPr>
                      <w:rFonts w:hint="default"/>
                      <w:sz w:val="18"/>
                      <w:szCs w:val="18"/>
                    </w:rPr>
                  </w:pPr>
                  <w:r>
                    <w:rPr>
                      <w:sz w:val="18"/>
                      <w:szCs w:val="18"/>
                    </w:rPr>
                    <w:t>福州市长乐生态环境局2025年5月批复（榕长环评〔2025〕14号）</w:t>
                  </w:r>
                </w:p>
              </w:tc>
              <w:tc>
                <w:tcPr>
                  <w:tcW w:w="629" w:type="pct"/>
                  <w:vAlign w:val="center"/>
                </w:tcPr>
                <w:p w14:paraId="6B71C18F">
                  <w:pPr>
                    <w:pStyle w:val="83"/>
                    <w:rPr>
                      <w:rFonts w:hint="default"/>
                      <w:sz w:val="18"/>
                      <w:szCs w:val="18"/>
                    </w:rPr>
                  </w:pPr>
                  <w:r>
                    <w:rPr>
                      <w:sz w:val="18"/>
                      <w:szCs w:val="18"/>
                    </w:rPr>
                    <w:t>未验收</w:t>
                  </w:r>
                </w:p>
              </w:tc>
              <w:tc>
                <w:tcPr>
                  <w:tcW w:w="342" w:type="pct"/>
                  <w:vAlign w:val="center"/>
                </w:tcPr>
                <w:p w14:paraId="061B719B">
                  <w:pPr>
                    <w:pStyle w:val="83"/>
                    <w:rPr>
                      <w:rFonts w:hint="default"/>
                      <w:sz w:val="18"/>
                      <w:szCs w:val="18"/>
                    </w:rPr>
                  </w:pPr>
                  <w:r>
                    <w:rPr>
                      <w:sz w:val="18"/>
                      <w:szCs w:val="18"/>
                    </w:rPr>
                    <w:t>在建</w:t>
                  </w:r>
                </w:p>
              </w:tc>
              <w:tc>
                <w:tcPr>
                  <w:tcW w:w="532" w:type="pct"/>
                  <w:vMerge w:val="continue"/>
                  <w:vAlign w:val="center"/>
                </w:tcPr>
                <w:p w14:paraId="65E1F516">
                  <w:pPr>
                    <w:pStyle w:val="83"/>
                    <w:rPr>
                      <w:rFonts w:hint="default"/>
                      <w:sz w:val="18"/>
                      <w:szCs w:val="18"/>
                    </w:rPr>
                  </w:pPr>
                </w:p>
              </w:tc>
            </w:tr>
          </w:tbl>
          <w:p w14:paraId="767869FF">
            <w:pPr>
              <w:tabs>
                <w:tab w:val="left" w:pos="1620"/>
              </w:tabs>
              <w:spacing w:line="276" w:lineRule="auto"/>
              <w:ind w:firstLine="480"/>
            </w:pPr>
          </w:p>
        </w:tc>
      </w:tr>
    </w:tbl>
    <w:p w14:paraId="5798FBC0">
      <w:pPr>
        <w:tabs>
          <w:tab w:val="left" w:pos="1620"/>
        </w:tabs>
        <w:ind w:firstLine="480"/>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17"/>
        <w:tblW w:w="507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481"/>
        <w:gridCol w:w="8602"/>
      </w:tblGrid>
      <w:tr w14:paraId="5D016C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3668" w:hRule="atLeast"/>
          <w:jc w:val="center"/>
        </w:trPr>
        <w:tc>
          <w:tcPr>
            <w:tcW w:w="265" w:type="pct"/>
            <w:vAlign w:val="center"/>
          </w:tcPr>
          <w:p w14:paraId="22FEE033">
            <w:pPr>
              <w:pStyle w:val="14"/>
              <w:adjustRightInd w:val="0"/>
              <w:snapToGrid w:val="0"/>
              <w:spacing w:before="0" w:beforeAutospacing="0" w:after="0" w:afterAutospacing="0"/>
              <w:ind w:firstLine="0" w:firstLineChars="0"/>
              <w:jc w:val="center"/>
              <w:rPr>
                <w:rFonts w:hint="eastAsia" w:cs="宋体"/>
                <w:sz w:val="21"/>
                <w:szCs w:val="21"/>
              </w:rPr>
            </w:pPr>
            <w:r>
              <w:rPr>
                <w:rFonts w:hint="eastAsia" w:cs="宋体"/>
                <w:sz w:val="21"/>
                <w:szCs w:val="21"/>
              </w:rPr>
              <w:t>建设内容</w:t>
            </w:r>
          </w:p>
        </w:tc>
        <w:tc>
          <w:tcPr>
            <w:tcW w:w="4734" w:type="pct"/>
          </w:tcPr>
          <w:p w14:paraId="26EBCA23">
            <w:pPr>
              <w:pStyle w:val="4"/>
              <w:spacing w:before="120" w:after="0" w:afterLines="0"/>
            </w:pPr>
            <w:r>
              <w:rPr>
                <w:rFonts w:hint="eastAsia"/>
              </w:rPr>
              <w:t>2.1.2 建设内容</w:t>
            </w:r>
          </w:p>
          <w:p w14:paraId="3EB670BD">
            <w:pPr>
              <w:ind w:firstLine="480"/>
            </w:pPr>
            <w:r>
              <w:rPr>
                <w:rFonts w:hint="eastAsia"/>
              </w:rPr>
              <w:t>本项目在企业已征用地范围内新建一座6#中试车间进行生产，项目建设内容见表2.1-1，总平布置见附图2。</w:t>
            </w:r>
          </w:p>
          <w:p w14:paraId="780FDC32">
            <w:pPr>
              <w:pStyle w:val="13"/>
            </w:pPr>
            <w:r>
              <w:rPr>
                <w:rFonts w:hint="eastAsia"/>
              </w:rPr>
              <w:t>表2.1-1  项目建设内容一览表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42"/>
              <w:gridCol w:w="433"/>
              <w:gridCol w:w="718"/>
              <w:gridCol w:w="1097"/>
              <w:gridCol w:w="4412"/>
              <w:gridCol w:w="1086"/>
            </w:tblGrid>
            <w:tr w14:paraId="190849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Align w:val="center"/>
                </w:tcPr>
                <w:p w14:paraId="137F6CB1">
                  <w:pPr>
                    <w:pStyle w:val="83"/>
                    <w:rPr>
                      <w:rFonts w:hint="default"/>
                    </w:rPr>
                  </w:pPr>
                  <w:r>
                    <w:t>工程类别</w:t>
                  </w:r>
                </w:p>
              </w:tc>
              <w:tc>
                <w:tcPr>
                  <w:tcW w:w="3922" w:type="pct"/>
                  <w:gridSpan w:val="4"/>
                  <w:vAlign w:val="center"/>
                </w:tcPr>
                <w:p w14:paraId="1A7985F7">
                  <w:pPr>
                    <w:pStyle w:val="83"/>
                    <w:rPr>
                      <w:rFonts w:hint="default"/>
                    </w:rPr>
                  </w:pPr>
                  <w:r>
                    <w:t>建设内容</w:t>
                  </w:r>
                </w:p>
              </w:tc>
              <w:tc>
                <w:tcPr>
                  <w:tcW w:w="640" w:type="pct"/>
                  <w:vAlign w:val="center"/>
                </w:tcPr>
                <w:p w14:paraId="43150908">
                  <w:pPr>
                    <w:pStyle w:val="83"/>
                    <w:rPr>
                      <w:rFonts w:hint="default"/>
                    </w:rPr>
                  </w:pPr>
                  <w:r>
                    <w:t>依托情况及备注</w:t>
                  </w:r>
                </w:p>
              </w:tc>
            </w:tr>
            <w:tr w14:paraId="1AF15D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Align w:val="center"/>
                </w:tcPr>
                <w:p w14:paraId="6DF8AC48">
                  <w:pPr>
                    <w:pStyle w:val="83"/>
                    <w:rPr>
                      <w:rFonts w:hint="default"/>
                    </w:rPr>
                  </w:pPr>
                  <w:r>
                    <w:t>主体工程</w:t>
                  </w:r>
                </w:p>
              </w:tc>
              <w:tc>
                <w:tcPr>
                  <w:tcW w:w="678" w:type="pct"/>
                  <w:gridSpan w:val="2"/>
                  <w:vAlign w:val="center"/>
                </w:tcPr>
                <w:p w14:paraId="77F63EDD">
                  <w:pPr>
                    <w:pStyle w:val="83"/>
                    <w:rPr>
                      <w:rFonts w:hint="default"/>
                    </w:rPr>
                  </w:pPr>
                  <w:r>
                    <w:t>生产车间4F</w:t>
                  </w:r>
                </w:p>
              </w:tc>
              <w:tc>
                <w:tcPr>
                  <w:tcW w:w="3244" w:type="pct"/>
                  <w:gridSpan w:val="2"/>
                  <w:vAlign w:val="center"/>
                </w:tcPr>
                <w:p w14:paraId="3CD6961A">
                  <w:pPr>
                    <w:pStyle w:val="83"/>
                    <w:rPr>
                      <w:rFonts w:hint="default"/>
                    </w:rPr>
                  </w:pPr>
                  <w:r>
                    <w:t>新建6#中试车间进行生产，包括纤维研发平台、新材料研发平台和标准化实验室。其中：纤维研发平台主要以PA6切片为原料，生产FDY和POY原丝，并进行丝束性能研发测试，年产锦纶长丝0.78万吨；新材料研发平台主要以企业现有工程产生的锦纶废丝和废切片为原料，生产再生切片和脱模母粒，并进行性能研发测试，年产再生切片0.8万吨、脱模母粒0.2万吨。</w:t>
                  </w:r>
                </w:p>
                <w:p w14:paraId="0F4939FE">
                  <w:pPr>
                    <w:pStyle w:val="83"/>
                    <w:rPr>
                      <w:rFonts w:hint="default"/>
                    </w:rPr>
                  </w:pPr>
                  <w:r>
                    <w:t>生产车间总建筑面积12000m</w:t>
                  </w:r>
                  <w:r>
                    <w:rPr>
                      <w:vertAlign w:val="superscript"/>
                    </w:rPr>
                    <w:t>2</w:t>
                  </w:r>
                  <w:r>
                    <w:t>，4层钢筋混凝土结构，车间高度16m。1F主要布局纺丝卷绕车间、再生/工塑车间、品管车间（H=4m），2F主要布局试制车间（H=7.5m），3F主要布局纺丝车间、组件清洗车间、检验车间及再生/工塑车间（H=11.5m），4F主要布局再生/工塑研发车间、纺丝熔体车间、样品分析车间以及空调、冷却塔等公辅工程（H=16m）。车间布局见附图3。</w:t>
                  </w:r>
                </w:p>
              </w:tc>
              <w:tc>
                <w:tcPr>
                  <w:tcW w:w="640" w:type="pct"/>
                  <w:vAlign w:val="center"/>
                </w:tcPr>
                <w:p w14:paraId="074270E3">
                  <w:pPr>
                    <w:pStyle w:val="83"/>
                    <w:rPr>
                      <w:rFonts w:hint="default"/>
                    </w:rPr>
                  </w:pPr>
                  <w:r>
                    <w:t>新建</w:t>
                  </w:r>
                </w:p>
              </w:tc>
            </w:tr>
            <w:tr w14:paraId="23AA02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restart"/>
                  <w:vAlign w:val="center"/>
                </w:tcPr>
                <w:p w14:paraId="3889AD1B">
                  <w:pPr>
                    <w:pStyle w:val="83"/>
                    <w:rPr>
                      <w:rFonts w:hint="default"/>
                    </w:rPr>
                  </w:pPr>
                  <w:r>
                    <w:t>辅助工程</w:t>
                  </w:r>
                </w:p>
              </w:tc>
              <w:tc>
                <w:tcPr>
                  <w:tcW w:w="678" w:type="pct"/>
                  <w:gridSpan w:val="2"/>
                  <w:vAlign w:val="center"/>
                </w:tcPr>
                <w:p w14:paraId="14C2B210">
                  <w:pPr>
                    <w:pStyle w:val="83"/>
                    <w:rPr>
                      <w:rFonts w:hint="default"/>
                    </w:rPr>
                  </w:pPr>
                  <w:r>
                    <w:t>成品仓库</w:t>
                  </w:r>
                </w:p>
              </w:tc>
              <w:tc>
                <w:tcPr>
                  <w:tcW w:w="3244" w:type="pct"/>
                  <w:gridSpan w:val="2"/>
                  <w:vAlign w:val="center"/>
                </w:tcPr>
                <w:p w14:paraId="0C35CDB5">
                  <w:pPr>
                    <w:pStyle w:val="83"/>
                    <w:rPr>
                      <w:rFonts w:hint="default"/>
                    </w:rPr>
                  </w:pPr>
                  <w:r>
                    <w:t>生产车间内设置成品贮存区，面积约100m</w:t>
                  </w:r>
                  <w:r>
                    <w:rPr>
                      <w:vertAlign w:val="superscript"/>
                    </w:rPr>
                    <w:t>2</w:t>
                  </w:r>
                </w:p>
              </w:tc>
              <w:tc>
                <w:tcPr>
                  <w:tcW w:w="640" w:type="pct"/>
                  <w:vMerge w:val="restart"/>
                  <w:vAlign w:val="center"/>
                </w:tcPr>
                <w:p w14:paraId="07214D95">
                  <w:pPr>
                    <w:pStyle w:val="83"/>
                    <w:rPr>
                      <w:rFonts w:hint="default"/>
                    </w:rPr>
                  </w:pPr>
                  <w:r>
                    <w:t>新建</w:t>
                  </w:r>
                </w:p>
              </w:tc>
            </w:tr>
            <w:tr w14:paraId="321FEC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4C39683B">
                  <w:pPr>
                    <w:pStyle w:val="83"/>
                    <w:rPr>
                      <w:rFonts w:hint="default"/>
                    </w:rPr>
                  </w:pPr>
                </w:p>
              </w:tc>
              <w:tc>
                <w:tcPr>
                  <w:tcW w:w="678" w:type="pct"/>
                  <w:gridSpan w:val="2"/>
                  <w:vAlign w:val="center"/>
                </w:tcPr>
                <w:p w14:paraId="51607467">
                  <w:pPr>
                    <w:pStyle w:val="83"/>
                    <w:rPr>
                      <w:rFonts w:hint="default"/>
                    </w:rPr>
                  </w:pPr>
                  <w:r>
                    <w:t>办公区</w:t>
                  </w:r>
                </w:p>
              </w:tc>
              <w:tc>
                <w:tcPr>
                  <w:tcW w:w="3244" w:type="pct"/>
                  <w:gridSpan w:val="2"/>
                  <w:vAlign w:val="center"/>
                </w:tcPr>
                <w:p w14:paraId="7C5E6C81">
                  <w:pPr>
                    <w:pStyle w:val="83"/>
                    <w:rPr>
                      <w:rFonts w:hint="default"/>
                    </w:rPr>
                  </w:pPr>
                  <w:r>
                    <w:t>设置在生产车间内，面积约100m</w:t>
                  </w:r>
                  <w:r>
                    <w:rPr>
                      <w:vertAlign w:val="superscript"/>
                    </w:rPr>
                    <w:t>2</w:t>
                  </w:r>
                </w:p>
              </w:tc>
              <w:tc>
                <w:tcPr>
                  <w:tcW w:w="640" w:type="pct"/>
                  <w:vMerge w:val="continue"/>
                  <w:vAlign w:val="center"/>
                </w:tcPr>
                <w:p w14:paraId="4D758FF1">
                  <w:pPr>
                    <w:pStyle w:val="83"/>
                    <w:rPr>
                      <w:rFonts w:hint="default"/>
                    </w:rPr>
                  </w:pPr>
                </w:p>
              </w:tc>
            </w:tr>
            <w:tr w14:paraId="75C9C0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0DCBCBDD">
                  <w:pPr>
                    <w:pStyle w:val="83"/>
                    <w:rPr>
                      <w:rFonts w:hint="default"/>
                    </w:rPr>
                  </w:pPr>
                </w:p>
              </w:tc>
              <w:tc>
                <w:tcPr>
                  <w:tcW w:w="678" w:type="pct"/>
                  <w:gridSpan w:val="2"/>
                  <w:vAlign w:val="center"/>
                </w:tcPr>
                <w:p w14:paraId="5E58A5E4">
                  <w:pPr>
                    <w:pStyle w:val="83"/>
                    <w:rPr>
                      <w:rFonts w:hint="default"/>
                    </w:rPr>
                  </w:pPr>
                  <w:r>
                    <w:t>宿舍楼</w:t>
                  </w:r>
                </w:p>
              </w:tc>
              <w:tc>
                <w:tcPr>
                  <w:tcW w:w="3244" w:type="pct"/>
                  <w:gridSpan w:val="2"/>
                  <w:vAlign w:val="center"/>
                </w:tcPr>
                <w:p w14:paraId="09E0F60C">
                  <w:pPr>
                    <w:pStyle w:val="83"/>
                    <w:rPr>
                      <w:rFonts w:hint="default"/>
                    </w:rPr>
                  </w:pPr>
                  <w:r>
                    <w:t>依托企业现有宿舍楼</w:t>
                  </w:r>
                </w:p>
              </w:tc>
              <w:tc>
                <w:tcPr>
                  <w:tcW w:w="640" w:type="pct"/>
                  <w:vAlign w:val="center"/>
                </w:tcPr>
                <w:p w14:paraId="164BD226">
                  <w:pPr>
                    <w:pStyle w:val="83"/>
                    <w:rPr>
                      <w:rFonts w:hint="default"/>
                    </w:rPr>
                  </w:pPr>
                  <w:r>
                    <w:t>依托</w:t>
                  </w:r>
                </w:p>
              </w:tc>
            </w:tr>
            <w:tr w14:paraId="484ECA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restart"/>
                  <w:vAlign w:val="center"/>
                </w:tcPr>
                <w:p w14:paraId="57EE30F4">
                  <w:pPr>
                    <w:pStyle w:val="83"/>
                    <w:rPr>
                      <w:rFonts w:hint="default"/>
                    </w:rPr>
                  </w:pPr>
                  <w:r>
                    <w:t>公用工程</w:t>
                  </w:r>
                </w:p>
              </w:tc>
              <w:tc>
                <w:tcPr>
                  <w:tcW w:w="678" w:type="pct"/>
                  <w:gridSpan w:val="2"/>
                  <w:vAlign w:val="center"/>
                </w:tcPr>
                <w:p w14:paraId="67D8E139">
                  <w:pPr>
                    <w:pStyle w:val="83"/>
                    <w:rPr>
                      <w:rFonts w:hint="default"/>
                    </w:rPr>
                  </w:pPr>
                  <w:r>
                    <w:t>供电工程</w:t>
                  </w:r>
                </w:p>
              </w:tc>
              <w:tc>
                <w:tcPr>
                  <w:tcW w:w="3244" w:type="pct"/>
                  <w:gridSpan w:val="2"/>
                  <w:vAlign w:val="center"/>
                </w:tcPr>
                <w:p w14:paraId="064526B8">
                  <w:pPr>
                    <w:pStyle w:val="83"/>
                    <w:rPr>
                      <w:rFonts w:hint="default"/>
                    </w:rPr>
                  </w:pPr>
                  <w:r>
                    <w:t>生产生活用电依托厂区已建市政电网提供。</w:t>
                  </w:r>
                </w:p>
              </w:tc>
              <w:tc>
                <w:tcPr>
                  <w:tcW w:w="640" w:type="pct"/>
                  <w:vMerge w:val="restart"/>
                  <w:vAlign w:val="center"/>
                </w:tcPr>
                <w:p w14:paraId="25EB209C">
                  <w:pPr>
                    <w:pStyle w:val="83"/>
                    <w:rPr>
                      <w:rFonts w:hint="default"/>
                    </w:rPr>
                  </w:pPr>
                  <w:r>
                    <w:t>依托</w:t>
                  </w:r>
                </w:p>
              </w:tc>
            </w:tr>
            <w:tr w14:paraId="50CF57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11B1E154">
                  <w:pPr>
                    <w:pStyle w:val="83"/>
                    <w:rPr>
                      <w:rFonts w:hint="default"/>
                    </w:rPr>
                  </w:pPr>
                </w:p>
              </w:tc>
              <w:tc>
                <w:tcPr>
                  <w:tcW w:w="678" w:type="pct"/>
                  <w:gridSpan w:val="2"/>
                  <w:vAlign w:val="center"/>
                </w:tcPr>
                <w:p w14:paraId="701E1274">
                  <w:pPr>
                    <w:pStyle w:val="83"/>
                    <w:rPr>
                      <w:rFonts w:hint="default"/>
                    </w:rPr>
                  </w:pPr>
                  <w:r>
                    <w:t>给排水工程</w:t>
                  </w:r>
                </w:p>
              </w:tc>
              <w:tc>
                <w:tcPr>
                  <w:tcW w:w="3244" w:type="pct"/>
                  <w:gridSpan w:val="2"/>
                  <w:vAlign w:val="center"/>
                </w:tcPr>
                <w:p w14:paraId="4CB6DC28">
                  <w:pPr>
                    <w:pStyle w:val="83"/>
                    <w:rPr>
                      <w:rFonts w:hint="default"/>
                    </w:rPr>
                  </w:pPr>
                  <w:r>
                    <w:t>生产生活用水由厂区已建市政给水管网提供；</w:t>
                  </w:r>
                </w:p>
                <w:p w14:paraId="1E28D9A7">
                  <w:pPr>
                    <w:pStyle w:val="83"/>
                    <w:rPr>
                      <w:rFonts w:hint="default"/>
                    </w:rPr>
                  </w:pPr>
                  <w:r>
                    <w:t>排水采用雨污分流、清污分流制。</w:t>
                  </w:r>
                </w:p>
              </w:tc>
              <w:tc>
                <w:tcPr>
                  <w:tcW w:w="640" w:type="pct"/>
                  <w:vMerge w:val="continue"/>
                  <w:vAlign w:val="center"/>
                </w:tcPr>
                <w:p w14:paraId="20329D75">
                  <w:pPr>
                    <w:pStyle w:val="83"/>
                    <w:rPr>
                      <w:rFonts w:hint="default"/>
                    </w:rPr>
                  </w:pPr>
                </w:p>
              </w:tc>
            </w:tr>
            <w:tr w14:paraId="13C570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3D59430B">
                  <w:pPr>
                    <w:pStyle w:val="83"/>
                    <w:rPr>
                      <w:rFonts w:hint="default"/>
                    </w:rPr>
                  </w:pPr>
                </w:p>
              </w:tc>
              <w:tc>
                <w:tcPr>
                  <w:tcW w:w="678" w:type="pct"/>
                  <w:gridSpan w:val="2"/>
                  <w:vAlign w:val="center"/>
                </w:tcPr>
                <w:p w14:paraId="246DC60E">
                  <w:pPr>
                    <w:pStyle w:val="83"/>
                    <w:rPr>
                      <w:rFonts w:hint="default"/>
                    </w:rPr>
                  </w:pPr>
                  <w:r>
                    <w:t>供热工程</w:t>
                  </w:r>
                </w:p>
              </w:tc>
              <w:tc>
                <w:tcPr>
                  <w:tcW w:w="3244" w:type="pct"/>
                  <w:gridSpan w:val="2"/>
                  <w:vAlign w:val="center"/>
                </w:tcPr>
                <w:p w14:paraId="2253BE63">
                  <w:pPr>
                    <w:pStyle w:val="83"/>
                    <w:rPr>
                      <w:rFonts w:hint="default"/>
                    </w:rPr>
                  </w:pPr>
                  <w:r>
                    <w:t>纺丝熔融工序采用电加热，设置8台联苯炉，以联苯-联苯醚作为热载体。</w:t>
                  </w:r>
                </w:p>
              </w:tc>
              <w:tc>
                <w:tcPr>
                  <w:tcW w:w="640" w:type="pct"/>
                  <w:vAlign w:val="center"/>
                </w:tcPr>
                <w:p w14:paraId="01BB9165">
                  <w:pPr>
                    <w:pStyle w:val="83"/>
                    <w:rPr>
                      <w:rFonts w:hint="default"/>
                    </w:rPr>
                  </w:pPr>
                  <w:r>
                    <w:t>新建</w:t>
                  </w:r>
                </w:p>
              </w:tc>
            </w:tr>
            <w:tr w14:paraId="42048C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18745AC2">
                  <w:pPr>
                    <w:pStyle w:val="83"/>
                    <w:rPr>
                      <w:rFonts w:hint="default"/>
                    </w:rPr>
                  </w:pPr>
                </w:p>
              </w:tc>
              <w:tc>
                <w:tcPr>
                  <w:tcW w:w="678" w:type="pct"/>
                  <w:gridSpan w:val="2"/>
                  <w:vAlign w:val="center"/>
                </w:tcPr>
                <w:p w14:paraId="42CA8D15">
                  <w:pPr>
                    <w:pStyle w:val="83"/>
                    <w:rPr>
                      <w:rFonts w:hint="default"/>
                    </w:rPr>
                  </w:pPr>
                  <w:r>
                    <w:t>空压系统</w:t>
                  </w:r>
                </w:p>
              </w:tc>
              <w:tc>
                <w:tcPr>
                  <w:tcW w:w="3244" w:type="pct"/>
                  <w:gridSpan w:val="2"/>
                  <w:vAlign w:val="center"/>
                </w:tcPr>
                <w:p w14:paraId="6F9338D7">
                  <w:pPr>
                    <w:pStyle w:val="83"/>
                    <w:rPr>
                      <w:rFonts w:hint="default"/>
                    </w:rPr>
                  </w:pPr>
                  <w:r>
                    <w:t>依托企业现有空压系统</w:t>
                  </w:r>
                </w:p>
              </w:tc>
              <w:tc>
                <w:tcPr>
                  <w:tcW w:w="640" w:type="pct"/>
                  <w:vAlign w:val="center"/>
                </w:tcPr>
                <w:p w14:paraId="7DF8849E">
                  <w:pPr>
                    <w:pStyle w:val="83"/>
                    <w:rPr>
                      <w:rFonts w:hint="default"/>
                    </w:rPr>
                  </w:pPr>
                  <w:r>
                    <w:t>依托</w:t>
                  </w:r>
                </w:p>
              </w:tc>
            </w:tr>
            <w:tr w14:paraId="29C652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04" w:hRule="atLeast"/>
              </w:trPr>
              <w:tc>
                <w:tcPr>
                  <w:tcW w:w="437" w:type="pct"/>
                  <w:vMerge w:val="continue"/>
                  <w:vAlign w:val="center"/>
                </w:tcPr>
                <w:p w14:paraId="439386E7">
                  <w:pPr>
                    <w:pStyle w:val="83"/>
                    <w:rPr>
                      <w:rFonts w:hint="default"/>
                    </w:rPr>
                  </w:pPr>
                </w:p>
              </w:tc>
              <w:tc>
                <w:tcPr>
                  <w:tcW w:w="678" w:type="pct"/>
                  <w:gridSpan w:val="2"/>
                  <w:vAlign w:val="center"/>
                </w:tcPr>
                <w:p w14:paraId="0DAB2F47">
                  <w:pPr>
                    <w:pStyle w:val="83"/>
                    <w:rPr>
                      <w:rFonts w:hint="default"/>
                    </w:rPr>
                  </w:pPr>
                  <w:r>
                    <w:t>循环水冷却系统</w:t>
                  </w:r>
                </w:p>
              </w:tc>
              <w:tc>
                <w:tcPr>
                  <w:tcW w:w="3244" w:type="pct"/>
                  <w:gridSpan w:val="2"/>
                  <w:vAlign w:val="center"/>
                </w:tcPr>
                <w:p w14:paraId="7B4164B9">
                  <w:pPr>
                    <w:pStyle w:val="83"/>
                    <w:rPr>
                      <w:rFonts w:hint="default"/>
                    </w:rPr>
                  </w:pPr>
                  <w:r>
                    <w:t>新增1套冷却塔，循环水量为7000m</w:t>
                  </w:r>
                  <w:r>
                    <w:rPr>
                      <w:vertAlign w:val="superscript"/>
                    </w:rPr>
                    <w:t>3</w:t>
                  </w:r>
                  <w:r>
                    <w:t>/a</w:t>
                  </w:r>
                </w:p>
              </w:tc>
              <w:tc>
                <w:tcPr>
                  <w:tcW w:w="640" w:type="pct"/>
                  <w:vAlign w:val="center"/>
                </w:tcPr>
                <w:p w14:paraId="16C1F450">
                  <w:pPr>
                    <w:pStyle w:val="83"/>
                    <w:rPr>
                      <w:rFonts w:hint="default"/>
                    </w:rPr>
                  </w:pPr>
                  <w:r>
                    <w:t>新建</w:t>
                  </w:r>
                </w:p>
              </w:tc>
            </w:tr>
            <w:tr w14:paraId="231133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restart"/>
                  <w:vAlign w:val="center"/>
                </w:tcPr>
                <w:p w14:paraId="384A07F2">
                  <w:pPr>
                    <w:pStyle w:val="83"/>
                    <w:rPr>
                      <w:rFonts w:hint="default"/>
                    </w:rPr>
                  </w:pPr>
                  <w:r>
                    <w:t>环保工程</w:t>
                  </w:r>
                </w:p>
              </w:tc>
              <w:tc>
                <w:tcPr>
                  <w:tcW w:w="678" w:type="pct"/>
                  <w:gridSpan w:val="2"/>
                  <w:vMerge w:val="restart"/>
                  <w:vAlign w:val="center"/>
                </w:tcPr>
                <w:p w14:paraId="0B1F92BA">
                  <w:pPr>
                    <w:pStyle w:val="83"/>
                    <w:rPr>
                      <w:rFonts w:hint="default"/>
                    </w:rPr>
                  </w:pPr>
                  <w:r>
                    <w:t>废水治理</w:t>
                  </w:r>
                </w:p>
              </w:tc>
              <w:tc>
                <w:tcPr>
                  <w:tcW w:w="3244" w:type="pct"/>
                  <w:gridSpan w:val="2"/>
                  <w:vAlign w:val="center"/>
                </w:tcPr>
                <w:p w14:paraId="554CABCE">
                  <w:pPr>
                    <w:pStyle w:val="83"/>
                    <w:rPr>
                      <w:rFonts w:hint="default"/>
                    </w:rPr>
                  </w:pPr>
                  <w:r>
                    <w:t>地面清洗废水、组件清洗废水、空调加湿系统废水、实验器皿清洗废水、切粒冷却水、转鼓干燥冷却水等生产废水进入厂区现有综合废水处理站进行处理，回用水由企业统一调配回用于聚合等现有工程。污水处理系统的核心工艺为：预水解酸化+IEPI厌氧塔+A/O+MBR+RO</w:t>
                  </w:r>
                </w:p>
              </w:tc>
              <w:tc>
                <w:tcPr>
                  <w:tcW w:w="640" w:type="pct"/>
                  <w:vMerge w:val="restart"/>
                  <w:vAlign w:val="center"/>
                </w:tcPr>
                <w:p w14:paraId="7967ED8D">
                  <w:pPr>
                    <w:pStyle w:val="83"/>
                    <w:rPr>
                      <w:rFonts w:hint="default"/>
                    </w:rPr>
                  </w:pPr>
                  <w:r>
                    <w:t>依托</w:t>
                  </w:r>
                </w:p>
              </w:tc>
            </w:tr>
            <w:tr w14:paraId="400463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65FB64ED">
                  <w:pPr>
                    <w:pStyle w:val="83"/>
                    <w:rPr>
                      <w:rFonts w:hint="default"/>
                    </w:rPr>
                  </w:pPr>
                </w:p>
              </w:tc>
              <w:tc>
                <w:tcPr>
                  <w:tcW w:w="678" w:type="pct"/>
                  <w:gridSpan w:val="2"/>
                  <w:vMerge w:val="continue"/>
                  <w:vAlign w:val="center"/>
                </w:tcPr>
                <w:p w14:paraId="785BD4ED">
                  <w:pPr>
                    <w:pStyle w:val="83"/>
                    <w:rPr>
                      <w:rFonts w:hint="default"/>
                    </w:rPr>
                  </w:pPr>
                </w:p>
              </w:tc>
              <w:tc>
                <w:tcPr>
                  <w:tcW w:w="3244" w:type="pct"/>
                  <w:gridSpan w:val="2"/>
                  <w:vAlign w:val="center"/>
                </w:tcPr>
                <w:p w14:paraId="76047976">
                  <w:pPr>
                    <w:pStyle w:val="83"/>
                    <w:rPr>
                      <w:rFonts w:hint="default"/>
                    </w:rPr>
                  </w:pPr>
                  <w:r>
                    <w:t>纺丝工序循环冷却水循环使用不外排</w:t>
                  </w:r>
                </w:p>
              </w:tc>
              <w:tc>
                <w:tcPr>
                  <w:tcW w:w="640" w:type="pct"/>
                  <w:vMerge w:val="continue"/>
                  <w:vAlign w:val="center"/>
                </w:tcPr>
                <w:p w14:paraId="24B49D54">
                  <w:pPr>
                    <w:pStyle w:val="83"/>
                    <w:rPr>
                      <w:rFonts w:hint="default"/>
                    </w:rPr>
                  </w:pPr>
                </w:p>
              </w:tc>
            </w:tr>
            <w:tr w14:paraId="1F3A63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037A4EB9">
                  <w:pPr>
                    <w:pStyle w:val="83"/>
                    <w:rPr>
                      <w:rFonts w:hint="default"/>
                    </w:rPr>
                  </w:pPr>
                </w:p>
              </w:tc>
              <w:tc>
                <w:tcPr>
                  <w:tcW w:w="678" w:type="pct"/>
                  <w:gridSpan w:val="2"/>
                  <w:vMerge w:val="continue"/>
                  <w:vAlign w:val="center"/>
                </w:tcPr>
                <w:p w14:paraId="062AB799">
                  <w:pPr>
                    <w:pStyle w:val="83"/>
                    <w:rPr>
                      <w:rFonts w:hint="default"/>
                    </w:rPr>
                  </w:pPr>
                </w:p>
              </w:tc>
              <w:tc>
                <w:tcPr>
                  <w:tcW w:w="3244" w:type="pct"/>
                  <w:gridSpan w:val="2"/>
                  <w:vAlign w:val="center"/>
                </w:tcPr>
                <w:p w14:paraId="2FD21863">
                  <w:pPr>
                    <w:pStyle w:val="83"/>
                    <w:rPr>
                      <w:rFonts w:hint="default"/>
                    </w:rPr>
                  </w:pPr>
                  <w:r>
                    <w:t>综合废水处理站的废水回用系统使用“RO反渗透工艺”，产生的反渗透浓水经市政污水管网进入滨海工业区污水处理厂统一处理，处理达标后排放至牛头湾</w:t>
                  </w:r>
                </w:p>
              </w:tc>
              <w:tc>
                <w:tcPr>
                  <w:tcW w:w="640" w:type="pct"/>
                  <w:vMerge w:val="continue"/>
                  <w:vAlign w:val="center"/>
                </w:tcPr>
                <w:p w14:paraId="29FE6376">
                  <w:pPr>
                    <w:pStyle w:val="83"/>
                    <w:rPr>
                      <w:rFonts w:hint="default"/>
                    </w:rPr>
                  </w:pPr>
                </w:p>
              </w:tc>
            </w:tr>
            <w:tr w14:paraId="2D5502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1DF525F6">
                  <w:pPr>
                    <w:pStyle w:val="83"/>
                    <w:rPr>
                      <w:rFonts w:hint="default"/>
                    </w:rPr>
                  </w:pPr>
                </w:p>
              </w:tc>
              <w:tc>
                <w:tcPr>
                  <w:tcW w:w="678" w:type="pct"/>
                  <w:gridSpan w:val="2"/>
                  <w:vMerge w:val="continue"/>
                  <w:vAlign w:val="center"/>
                </w:tcPr>
                <w:p w14:paraId="60BE06DD">
                  <w:pPr>
                    <w:pStyle w:val="83"/>
                    <w:rPr>
                      <w:rFonts w:hint="default"/>
                    </w:rPr>
                  </w:pPr>
                </w:p>
              </w:tc>
              <w:tc>
                <w:tcPr>
                  <w:tcW w:w="3244" w:type="pct"/>
                  <w:gridSpan w:val="2"/>
                  <w:vAlign w:val="center"/>
                </w:tcPr>
                <w:p w14:paraId="751A2479">
                  <w:pPr>
                    <w:pStyle w:val="83"/>
                    <w:rPr>
                      <w:rFonts w:hint="default"/>
                    </w:rPr>
                  </w:pPr>
                  <w:r>
                    <w:t>生活污水经厂区已有化粪池处理后经市政污水管网进入滨海工业区污水处理厂，处理达标后排放至牛头湾</w:t>
                  </w:r>
                </w:p>
              </w:tc>
              <w:tc>
                <w:tcPr>
                  <w:tcW w:w="640" w:type="pct"/>
                  <w:vMerge w:val="continue"/>
                  <w:vAlign w:val="center"/>
                </w:tcPr>
                <w:p w14:paraId="06F62E25">
                  <w:pPr>
                    <w:pStyle w:val="83"/>
                    <w:rPr>
                      <w:rFonts w:hint="default"/>
                    </w:rPr>
                  </w:pPr>
                </w:p>
              </w:tc>
            </w:tr>
            <w:tr w14:paraId="303E77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314A15C4">
                  <w:pPr>
                    <w:pStyle w:val="83"/>
                    <w:rPr>
                      <w:rFonts w:hint="default"/>
                    </w:rPr>
                  </w:pPr>
                </w:p>
              </w:tc>
              <w:tc>
                <w:tcPr>
                  <w:tcW w:w="678" w:type="pct"/>
                  <w:gridSpan w:val="2"/>
                  <w:vMerge w:val="restart"/>
                  <w:vAlign w:val="center"/>
                </w:tcPr>
                <w:p w14:paraId="0231CCB6">
                  <w:pPr>
                    <w:pStyle w:val="83"/>
                    <w:rPr>
                      <w:rFonts w:hint="default"/>
                    </w:rPr>
                  </w:pPr>
                  <w:r>
                    <w:t>废气治理</w:t>
                  </w:r>
                </w:p>
              </w:tc>
              <w:tc>
                <w:tcPr>
                  <w:tcW w:w="646" w:type="pct"/>
                  <w:vMerge w:val="restart"/>
                  <w:vAlign w:val="center"/>
                </w:tcPr>
                <w:p w14:paraId="4B8700B0">
                  <w:pPr>
                    <w:pStyle w:val="83"/>
                    <w:rPr>
                      <w:rFonts w:hint="default"/>
                    </w:rPr>
                  </w:pPr>
                  <w:r>
                    <w:t>纤维研发平台</w:t>
                  </w:r>
                </w:p>
              </w:tc>
              <w:tc>
                <w:tcPr>
                  <w:tcW w:w="2598" w:type="pct"/>
                  <w:vAlign w:val="center"/>
                </w:tcPr>
                <w:p w14:paraId="15323DFA">
                  <w:pPr>
                    <w:pStyle w:val="83"/>
                    <w:rPr>
                      <w:rFonts w:hint="default"/>
                    </w:rPr>
                  </w:pPr>
                  <w:r>
                    <w:t>纺丝上油工序产生的油剂废气经1套高压静电吸附装置处理达标后，通过1根18m高排气筒排放（P1）</w:t>
                  </w:r>
                </w:p>
              </w:tc>
              <w:tc>
                <w:tcPr>
                  <w:tcW w:w="640" w:type="pct"/>
                  <w:vMerge w:val="restart"/>
                  <w:vAlign w:val="center"/>
                </w:tcPr>
                <w:p w14:paraId="438068BA">
                  <w:pPr>
                    <w:pStyle w:val="83"/>
                    <w:rPr>
                      <w:rFonts w:hint="default"/>
                    </w:rPr>
                  </w:pPr>
                  <w:r>
                    <w:t>新建</w:t>
                  </w:r>
                </w:p>
              </w:tc>
            </w:tr>
            <w:tr w14:paraId="2AAEA6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67735C46">
                  <w:pPr>
                    <w:pStyle w:val="83"/>
                    <w:rPr>
                      <w:rFonts w:hint="default"/>
                    </w:rPr>
                  </w:pPr>
                </w:p>
              </w:tc>
              <w:tc>
                <w:tcPr>
                  <w:tcW w:w="678" w:type="pct"/>
                  <w:gridSpan w:val="2"/>
                  <w:vMerge w:val="continue"/>
                  <w:vAlign w:val="center"/>
                </w:tcPr>
                <w:p w14:paraId="4FA7D613">
                  <w:pPr>
                    <w:pStyle w:val="83"/>
                    <w:rPr>
                      <w:rFonts w:hint="default"/>
                    </w:rPr>
                  </w:pPr>
                </w:p>
              </w:tc>
              <w:tc>
                <w:tcPr>
                  <w:tcW w:w="646" w:type="pct"/>
                  <w:vMerge w:val="continue"/>
                  <w:vAlign w:val="center"/>
                </w:tcPr>
                <w:p w14:paraId="74CC7F46">
                  <w:pPr>
                    <w:pStyle w:val="83"/>
                    <w:rPr>
                      <w:rFonts w:hint="default"/>
                    </w:rPr>
                  </w:pPr>
                </w:p>
              </w:tc>
              <w:tc>
                <w:tcPr>
                  <w:tcW w:w="2598" w:type="pct"/>
                  <w:vAlign w:val="center"/>
                </w:tcPr>
                <w:p w14:paraId="643BA19B">
                  <w:pPr>
                    <w:pStyle w:val="83"/>
                    <w:rPr>
                      <w:rFonts w:hint="default"/>
                    </w:rPr>
                  </w:pPr>
                  <w:r>
                    <w:t>纺丝单体抽吸废气由系统内的水喷淋装置处理达标后通过1根18m排气筒排放（P2）</w:t>
                  </w:r>
                </w:p>
              </w:tc>
              <w:tc>
                <w:tcPr>
                  <w:tcW w:w="640" w:type="pct"/>
                  <w:vMerge w:val="continue"/>
                  <w:vAlign w:val="center"/>
                </w:tcPr>
                <w:p w14:paraId="5EB396D7">
                  <w:pPr>
                    <w:pStyle w:val="83"/>
                    <w:rPr>
                      <w:rFonts w:hint="default"/>
                    </w:rPr>
                  </w:pPr>
                </w:p>
              </w:tc>
            </w:tr>
            <w:tr w14:paraId="7A22E5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093C0167">
                  <w:pPr>
                    <w:pStyle w:val="83"/>
                    <w:rPr>
                      <w:rFonts w:hint="default"/>
                    </w:rPr>
                  </w:pPr>
                </w:p>
              </w:tc>
              <w:tc>
                <w:tcPr>
                  <w:tcW w:w="678" w:type="pct"/>
                  <w:gridSpan w:val="2"/>
                  <w:vMerge w:val="continue"/>
                  <w:vAlign w:val="center"/>
                </w:tcPr>
                <w:p w14:paraId="5E0E90C0">
                  <w:pPr>
                    <w:pStyle w:val="83"/>
                    <w:rPr>
                      <w:rFonts w:hint="default"/>
                    </w:rPr>
                  </w:pPr>
                </w:p>
              </w:tc>
              <w:tc>
                <w:tcPr>
                  <w:tcW w:w="646" w:type="pct"/>
                  <w:vMerge w:val="continue"/>
                  <w:vAlign w:val="center"/>
                </w:tcPr>
                <w:p w14:paraId="6FD408C3">
                  <w:pPr>
                    <w:pStyle w:val="83"/>
                    <w:rPr>
                      <w:rFonts w:hint="default"/>
                    </w:rPr>
                  </w:pPr>
                </w:p>
              </w:tc>
              <w:tc>
                <w:tcPr>
                  <w:tcW w:w="2598" w:type="pct"/>
                  <w:vAlign w:val="center"/>
                </w:tcPr>
                <w:p w14:paraId="34611A13">
                  <w:pPr>
                    <w:pStyle w:val="83"/>
                    <w:rPr>
                      <w:rFonts w:hint="default"/>
                    </w:rPr>
                  </w:pPr>
                  <w:r>
                    <w:t>组件清洗工序产生的煅烧废气与熔融废气共同经1套高压静电吸附装置处理达标后，通过1根18m高排气筒排放（P3）</w:t>
                  </w:r>
                </w:p>
              </w:tc>
              <w:tc>
                <w:tcPr>
                  <w:tcW w:w="640" w:type="pct"/>
                  <w:vMerge w:val="continue"/>
                  <w:vAlign w:val="center"/>
                </w:tcPr>
                <w:p w14:paraId="0C3220D9">
                  <w:pPr>
                    <w:pStyle w:val="83"/>
                    <w:rPr>
                      <w:rFonts w:hint="default"/>
                    </w:rPr>
                  </w:pPr>
                </w:p>
              </w:tc>
            </w:tr>
            <w:tr w14:paraId="67D58A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27C829BE">
                  <w:pPr>
                    <w:pStyle w:val="83"/>
                    <w:rPr>
                      <w:rFonts w:hint="default"/>
                    </w:rPr>
                  </w:pPr>
                </w:p>
              </w:tc>
              <w:tc>
                <w:tcPr>
                  <w:tcW w:w="678" w:type="pct"/>
                  <w:gridSpan w:val="2"/>
                  <w:vMerge w:val="continue"/>
                  <w:vAlign w:val="center"/>
                </w:tcPr>
                <w:p w14:paraId="44F618D8">
                  <w:pPr>
                    <w:pStyle w:val="83"/>
                    <w:rPr>
                      <w:rFonts w:hint="default"/>
                    </w:rPr>
                  </w:pPr>
                </w:p>
              </w:tc>
              <w:tc>
                <w:tcPr>
                  <w:tcW w:w="646" w:type="pct"/>
                  <w:vAlign w:val="center"/>
                </w:tcPr>
                <w:p w14:paraId="3023E080">
                  <w:pPr>
                    <w:pStyle w:val="83"/>
                    <w:rPr>
                      <w:rFonts w:hint="default"/>
                    </w:rPr>
                  </w:pPr>
                  <w:r>
                    <w:t>新材料研发平台</w:t>
                  </w:r>
                </w:p>
              </w:tc>
              <w:tc>
                <w:tcPr>
                  <w:tcW w:w="2598" w:type="pct"/>
                  <w:vAlign w:val="center"/>
                </w:tcPr>
                <w:p w14:paraId="6B6853A8">
                  <w:pPr>
                    <w:pStyle w:val="83"/>
                    <w:rPr>
                      <w:rFonts w:hint="default"/>
                    </w:rPr>
                  </w:pPr>
                  <w:r>
                    <w:t>熔融工序产生的熔融废气与煅烧废气共同经1套</w:t>
                  </w:r>
                  <w:bookmarkStart w:id="4" w:name="_Hlk198065786"/>
                  <w:r>
                    <w:t>高压静电吸附装置</w:t>
                  </w:r>
                  <w:bookmarkEnd w:id="4"/>
                  <w:r>
                    <w:t>处理达标后，通过1根18m排气筒排放（P3）</w:t>
                  </w:r>
                </w:p>
              </w:tc>
              <w:tc>
                <w:tcPr>
                  <w:tcW w:w="640" w:type="pct"/>
                  <w:vMerge w:val="continue"/>
                  <w:vAlign w:val="center"/>
                </w:tcPr>
                <w:p w14:paraId="1C5E46F9">
                  <w:pPr>
                    <w:pStyle w:val="83"/>
                    <w:rPr>
                      <w:rFonts w:hint="default"/>
                    </w:rPr>
                  </w:pPr>
                </w:p>
              </w:tc>
            </w:tr>
            <w:tr w14:paraId="14016B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062F8515">
                  <w:pPr>
                    <w:pStyle w:val="83"/>
                    <w:rPr>
                      <w:rFonts w:hint="default"/>
                    </w:rPr>
                  </w:pPr>
                </w:p>
              </w:tc>
              <w:tc>
                <w:tcPr>
                  <w:tcW w:w="678" w:type="pct"/>
                  <w:gridSpan w:val="2"/>
                  <w:vMerge w:val="continue"/>
                  <w:vAlign w:val="center"/>
                </w:tcPr>
                <w:p w14:paraId="681120A9">
                  <w:pPr>
                    <w:pStyle w:val="83"/>
                    <w:rPr>
                      <w:rFonts w:hint="default"/>
                    </w:rPr>
                  </w:pPr>
                </w:p>
              </w:tc>
              <w:tc>
                <w:tcPr>
                  <w:tcW w:w="646" w:type="pct"/>
                  <w:vMerge w:val="restart"/>
                  <w:vAlign w:val="center"/>
                </w:tcPr>
                <w:p w14:paraId="741EEFC6">
                  <w:pPr>
                    <w:pStyle w:val="83"/>
                    <w:rPr>
                      <w:rFonts w:hint="default"/>
                    </w:rPr>
                  </w:pPr>
                  <w:r>
                    <w:t>实验室</w:t>
                  </w:r>
                </w:p>
              </w:tc>
              <w:tc>
                <w:tcPr>
                  <w:tcW w:w="2598" w:type="pct"/>
                  <w:vAlign w:val="center"/>
                </w:tcPr>
                <w:p w14:paraId="61E16CD9">
                  <w:pPr>
                    <w:pStyle w:val="83"/>
                    <w:rPr>
                      <w:rFonts w:hint="default"/>
                    </w:rPr>
                  </w:pPr>
                  <w:r>
                    <w:t>研发测试过程使用的熔融指数仪、热变形温度测定仪等设备运行过程会产生少量有机废气，此类设备集中布置于车间3楼的2#试制检测间内，废气经管道收集后与实验废气一起经1套烟气净化处理系统（水喷淋+活性炭吸附）处理后由1根18m排气筒（P4）排放</w:t>
                  </w:r>
                </w:p>
              </w:tc>
              <w:tc>
                <w:tcPr>
                  <w:tcW w:w="640" w:type="pct"/>
                  <w:vMerge w:val="continue"/>
                  <w:vAlign w:val="center"/>
                </w:tcPr>
                <w:p w14:paraId="2019ACA8">
                  <w:pPr>
                    <w:pStyle w:val="83"/>
                    <w:rPr>
                      <w:rFonts w:hint="default"/>
                    </w:rPr>
                  </w:pPr>
                </w:p>
              </w:tc>
            </w:tr>
            <w:tr w14:paraId="23770F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15773FAF">
                  <w:pPr>
                    <w:pStyle w:val="83"/>
                    <w:rPr>
                      <w:rFonts w:hint="default"/>
                    </w:rPr>
                  </w:pPr>
                </w:p>
              </w:tc>
              <w:tc>
                <w:tcPr>
                  <w:tcW w:w="678" w:type="pct"/>
                  <w:gridSpan w:val="2"/>
                  <w:vMerge w:val="continue"/>
                  <w:vAlign w:val="center"/>
                </w:tcPr>
                <w:p w14:paraId="1AD2D1A0">
                  <w:pPr>
                    <w:pStyle w:val="83"/>
                    <w:rPr>
                      <w:rFonts w:hint="default"/>
                    </w:rPr>
                  </w:pPr>
                </w:p>
              </w:tc>
              <w:tc>
                <w:tcPr>
                  <w:tcW w:w="646" w:type="pct"/>
                  <w:vMerge w:val="continue"/>
                  <w:vAlign w:val="center"/>
                </w:tcPr>
                <w:p w14:paraId="24C0B1AE">
                  <w:pPr>
                    <w:pStyle w:val="83"/>
                    <w:rPr>
                      <w:rFonts w:hint="default"/>
                    </w:rPr>
                  </w:pPr>
                </w:p>
              </w:tc>
              <w:tc>
                <w:tcPr>
                  <w:tcW w:w="2598" w:type="pct"/>
                  <w:vAlign w:val="center"/>
                </w:tcPr>
                <w:p w14:paraId="0F6D2FCA">
                  <w:pPr>
                    <w:pStyle w:val="83"/>
                    <w:rPr>
                      <w:rFonts w:hint="default"/>
                    </w:rPr>
                  </w:pPr>
                  <w:r>
                    <w:t>试剂调配过程产生少量的酸、碱性气体和有机废气，实验由通风橱收集后与研发废气一起经1套烟气净化处理系统（水喷淋+活性炭吸附）处理后由1根18m排气筒（P4）排放</w:t>
                  </w:r>
                </w:p>
              </w:tc>
              <w:tc>
                <w:tcPr>
                  <w:tcW w:w="640" w:type="pct"/>
                  <w:vMerge w:val="continue"/>
                  <w:vAlign w:val="center"/>
                </w:tcPr>
                <w:p w14:paraId="6ACF081C">
                  <w:pPr>
                    <w:pStyle w:val="83"/>
                    <w:rPr>
                      <w:rFonts w:hint="default"/>
                    </w:rPr>
                  </w:pPr>
                </w:p>
              </w:tc>
            </w:tr>
            <w:tr w14:paraId="42EC69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29899A14">
                  <w:pPr>
                    <w:pStyle w:val="83"/>
                    <w:rPr>
                      <w:rFonts w:hint="default"/>
                    </w:rPr>
                  </w:pPr>
                </w:p>
              </w:tc>
              <w:tc>
                <w:tcPr>
                  <w:tcW w:w="678" w:type="pct"/>
                  <w:gridSpan w:val="2"/>
                  <w:vAlign w:val="center"/>
                </w:tcPr>
                <w:p w14:paraId="1EE8ACC3">
                  <w:pPr>
                    <w:pStyle w:val="83"/>
                    <w:rPr>
                      <w:rFonts w:hint="default"/>
                    </w:rPr>
                  </w:pPr>
                  <w:r>
                    <w:t>噪声控制</w:t>
                  </w:r>
                </w:p>
              </w:tc>
              <w:tc>
                <w:tcPr>
                  <w:tcW w:w="3244" w:type="pct"/>
                  <w:gridSpan w:val="2"/>
                  <w:vAlign w:val="center"/>
                </w:tcPr>
                <w:p w14:paraId="5F3870DB">
                  <w:pPr>
                    <w:pStyle w:val="83"/>
                    <w:rPr>
                      <w:rFonts w:hint="default"/>
                    </w:rPr>
                  </w:pPr>
                  <w:r>
                    <w:t>采取合理布局、基础减震、隔声屏障等降噪措施</w:t>
                  </w:r>
                </w:p>
              </w:tc>
              <w:tc>
                <w:tcPr>
                  <w:tcW w:w="640" w:type="pct"/>
                  <w:vAlign w:val="center"/>
                </w:tcPr>
                <w:p w14:paraId="134E6E5C">
                  <w:pPr>
                    <w:pStyle w:val="83"/>
                    <w:rPr>
                      <w:rFonts w:hint="default"/>
                    </w:rPr>
                  </w:pPr>
                  <w:r>
                    <w:t>依托</w:t>
                  </w:r>
                </w:p>
              </w:tc>
            </w:tr>
            <w:tr w14:paraId="583998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0285444D">
                  <w:pPr>
                    <w:pStyle w:val="83"/>
                    <w:rPr>
                      <w:rFonts w:hint="default"/>
                    </w:rPr>
                  </w:pPr>
                </w:p>
              </w:tc>
              <w:tc>
                <w:tcPr>
                  <w:tcW w:w="255" w:type="pct"/>
                  <w:vMerge w:val="restart"/>
                  <w:vAlign w:val="center"/>
                </w:tcPr>
                <w:p w14:paraId="4D99F7E4">
                  <w:pPr>
                    <w:pStyle w:val="83"/>
                    <w:rPr>
                      <w:rFonts w:hint="default"/>
                    </w:rPr>
                  </w:pPr>
                  <w:r>
                    <w:t>固废治理</w:t>
                  </w:r>
                </w:p>
              </w:tc>
              <w:tc>
                <w:tcPr>
                  <w:tcW w:w="422" w:type="pct"/>
                  <w:vAlign w:val="center"/>
                </w:tcPr>
                <w:p w14:paraId="26C7CF55">
                  <w:pPr>
                    <w:pStyle w:val="83"/>
                    <w:rPr>
                      <w:rFonts w:hint="default"/>
                    </w:rPr>
                  </w:pPr>
                  <w:r>
                    <w:t>生活</w:t>
                  </w:r>
                </w:p>
                <w:p w14:paraId="5A69B0C4">
                  <w:pPr>
                    <w:pStyle w:val="83"/>
                    <w:rPr>
                      <w:rFonts w:hint="default"/>
                    </w:rPr>
                  </w:pPr>
                  <w:r>
                    <w:t>垃圾</w:t>
                  </w:r>
                </w:p>
              </w:tc>
              <w:tc>
                <w:tcPr>
                  <w:tcW w:w="3244" w:type="pct"/>
                  <w:gridSpan w:val="2"/>
                  <w:vAlign w:val="center"/>
                </w:tcPr>
                <w:p w14:paraId="23AF3495">
                  <w:pPr>
                    <w:pStyle w:val="83"/>
                    <w:rPr>
                      <w:rFonts w:hint="default"/>
                    </w:rPr>
                  </w:pPr>
                  <w:r>
                    <w:t>生活垃圾收集后交由环卫部门统一清运</w:t>
                  </w:r>
                </w:p>
              </w:tc>
              <w:tc>
                <w:tcPr>
                  <w:tcW w:w="640" w:type="pct"/>
                  <w:vMerge w:val="restart"/>
                  <w:vAlign w:val="center"/>
                </w:tcPr>
                <w:p w14:paraId="138108C1">
                  <w:pPr>
                    <w:pStyle w:val="83"/>
                    <w:rPr>
                      <w:rFonts w:hint="default"/>
                    </w:rPr>
                  </w:pPr>
                  <w:r>
                    <w:t>依托</w:t>
                  </w:r>
                </w:p>
              </w:tc>
            </w:tr>
            <w:tr w14:paraId="2BF5E84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34A2E00B">
                  <w:pPr>
                    <w:pStyle w:val="83"/>
                    <w:rPr>
                      <w:rFonts w:hint="default"/>
                    </w:rPr>
                  </w:pPr>
                </w:p>
              </w:tc>
              <w:tc>
                <w:tcPr>
                  <w:tcW w:w="255" w:type="pct"/>
                  <w:vMerge w:val="continue"/>
                  <w:vAlign w:val="center"/>
                </w:tcPr>
                <w:p w14:paraId="6779CC80">
                  <w:pPr>
                    <w:pStyle w:val="83"/>
                    <w:rPr>
                      <w:rFonts w:hint="default"/>
                    </w:rPr>
                  </w:pPr>
                </w:p>
              </w:tc>
              <w:tc>
                <w:tcPr>
                  <w:tcW w:w="422" w:type="pct"/>
                  <w:vAlign w:val="center"/>
                </w:tcPr>
                <w:p w14:paraId="46A747C8">
                  <w:pPr>
                    <w:pStyle w:val="83"/>
                    <w:rPr>
                      <w:rFonts w:hint="default"/>
                    </w:rPr>
                  </w:pPr>
                  <w:r>
                    <w:t>一般</w:t>
                  </w:r>
                </w:p>
                <w:p w14:paraId="1A79921C">
                  <w:pPr>
                    <w:pStyle w:val="83"/>
                    <w:rPr>
                      <w:rFonts w:hint="default"/>
                    </w:rPr>
                  </w:pPr>
                  <w:r>
                    <w:t>固废</w:t>
                  </w:r>
                </w:p>
              </w:tc>
              <w:tc>
                <w:tcPr>
                  <w:tcW w:w="3244" w:type="pct"/>
                  <w:gridSpan w:val="2"/>
                  <w:vAlign w:val="center"/>
                </w:tcPr>
                <w:p w14:paraId="44E6F677">
                  <w:pPr>
                    <w:pStyle w:val="83"/>
                    <w:rPr>
                      <w:rFonts w:hint="default"/>
                    </w:rPr>
                  </w:pPr>
                  <w:r>
                    <w:t>废包装材料、不合格原料、废弃边角料、废离子交换树脂（纯水制备）、废RO膜（纯水制备）暂存于厂区南侧现有2#C废料仓库（占地2673m</w:t>
                  </w:r>
                  <w:r>
                    <w:rPr>
                      <w:vertAlign w:val="superscript"/>
                    </w:rPr>
                    <w:t>2</w:t>
                  </w:r>
                  <w:r>
                    <w:t>），水处理污泥暂存于污水处理站污泥间，后续外售综合利用。</w:t>
                  </w:r>
                </w:p>
              </w:tc>
              <w:tc>
                <w:tcPr>
                  <w:tcW w:w="640" w:type="pct"/>
                  <w:vMerge w:val="continue"/>
                  <w:vAlign w:val="center"/>
                </w:tcPr>
                <w:p w14:paraId="6B8A1935">
                  <w:pPr>
                    <w:pStyle w:val="83"/>
                    <w:rPr>
                      <w:rFonts w:hint="default"/>
                    </w:rPr>
                  </w:pPr>
                </w:p>
              </w:tc>
            </w:tr>
            <w:tr w14:paraId="323BE8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13DC1C4C">
                  <w:pPr>
                    <w:pStyle w:val="83"/>
                    <w:rPr>
                      <w:rFonts w:hint="default"/>
                    </w:rPr>
                  </w:pPr>
                </w:p>
              </w:tc>
              <w:tc>
                <w:tcPr>
                  <w:tcW w:w="255" w:type="pct"/>
                  <w:vMerge w:val="continue"/>
                  <w:vAlign w:val="center"/>
                </w:tcPr>
                <w:p w14:paraId="7E364DCC">
                  <w:pPr>
                    <w:pStyle w:val="83"/>
                    <w:rPr>
                      <w:rFonts w:hint="default"/>
                    </w:rPr>
                  </w:pPr>
                </w:p>
              </w:tc>
              <w:tc>
                <w:tcPr>
                  <w:tcW w:w="422" w:type="pct"/>
                  <w:vAlign w:val="center"/>
                </w:tcPr>
                <w:p w14:paraId="0453822D">
                  <w:pPr>
                    <w:pStyle w:val="83"/>
                    <w:rPr>
                      <w:rFonts w:hint="default"/>
                    </w:rPr>
                  </w:pPr>
                  <w:r>
                    <w:t>危险</w:t>
                  </w:r>
                </w:p>
                <w:p w14:paraId="12B59D97">
                  <w:pPr>
                    <w:pStyle w:val="83"/>
                    <w:rPr>
                      <w:rFonts w:hint="default"/>
                    </w:rPr>
                  </w:pPr>
                  <w:r>
                    <w:t>废物</w:t>
                  </w:r>
                </w:p>
              </w:tc>
              <w:tc>
                <w:tcPr>
                  <w:tcW w:w="3244" w:type="pct"/>
                  <w:gridSpan w:val="2"/>
                  <w:vAlign w:val="center"/>
                </w:tcPr>
                <w:p w14:paraId="5C6B67E5">
                  <w:pPr>
                    <w:pStyle w:val="83"/>
                    <w:rPr>
                      <w:rFonts w:hint="default"/>
                    </w:rPr>
                  </w:pPr>
                  <w:r>
                    <w:t>废油剂、废试剂瓶、实验废液、废活性炭暂存在企业现有危废间（占地面积551m</w:t>
                  </w:r>
                  <w:r>
                    <w:rPr>
                      <w:vertAlign w:val="superscript"/>
                    </w:rPr>
                    <w:t>2</w:t>
                  </w:r>
                  <w:r>
                    <w:t>），后续委托有资质单位处理。</w:t>
                  </w:r>
                </w:p>
              </w:tc>
              <w:tc>
                <w:tcPr>
                  <w:tcW w:w="640" w:type="pct"/>
                  <w:vMerge w:val="continue"/>
                  <w:vAlign w:val="center"/>
                </w:tcPr>
                <w:p w14:paraId="1F7DA551">
                  <w:pPr>
                    <w:pStyle w:val="83"/>
                    <w:rPr>
                      <w:rFonts w:hint="default"/>
                    </w:rPr>
                  </w:pPr>
                </w:p>
              </w:tc>
            </w:tr>
            <w:tr w14:paraId="2FAE4E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7" w:type="pct"/>
                  <w:vMerge w:val="continue"/>
                  <w:vAlign w:val="center"/>
                </w:tcPr>
                <w:p w14:paraId="3F47A2DA">
                  <w:pPr>
                    <w:pStyle w:val="83"/>
                    <w:rPr>
                      <w:rFonts w:hint="default"/>
                    </w:rPr>
                  </w:pPr>
                </w:p>
              </w:tc>
              <w:tc>
                <w:tcPr>
                  <w:tcW w:w="678" w:type="pct"/>
                  <w:gridSpan w:val="2"/>
                  <w:vAlign w:val="center"/>
                </w:tcPr>
                <w:p w14:paraId="3A3F531F">
                  <w:pPr>
                    <w:pStyle w:val="83"/>
                    <w:rPr>
                      <w:rFonts w:hint="default"/>
                    </w:rPr>
                  </w:pPr>
                  <w:r>
                    <w:t>风险防范</w:t>
                  </w:r>
                </w:p>
              </w:tc>
              <w:tc>
                <w:tcPr>
                  <w:tcW w:w="3244" w:type="pct"/>
                  <w:gridSpan w:val="2"/>
                  <w:vAlign w:val="center"/>
                </w:tcPr>
                <w:p w14:paraId="2A64A281">
                  <w:pPr>
                    <w:pStyle w:val="83"/>
                    <w:rPr>
                      <w:rFonts w:hint="default"/>
                    </w:rPr>
                  </w:pPr>
                  <w:r>
                    <w:t>依托厂区现有3340m</w:t>
                  </w:r>
                  <w:r>
                    <w:rPr>
                      <w:vertAlign w:val="superscript"/>
                    </w:rPr>
                    <w:t>3</w:t>
                  </w:r>
                  <w:r>
                    <w:t>事故应急池和490m</w:t>
                  </w:r>
                  <w:r>
                    <w:rPr>
                      <w:vertAlign w:val="superscript"/>
                    </w:rPr>
                    <w:t>3</w:t>
                  </w:r>
                  <w:r>
                    <w:t>初期雨水池（200m</w:t>
                  </w:r>
                  <w:r>
                    <w:rPr>
                      <w:vertAlign w:val="superscript"/>
                    </w:rPr>
                    <w:t>3</w:t>
                  </w:r>
                  <w:r>
                    <w:t>已建+290m</w:t>
                  </w:r>
                  <w:r>
                    <w:rPr>
                      <w:vertAlign w:val="superscript"/>
                    </w:rPr>
                    <w:t>3</w:t>
                  </w:r>
                  <w:r>
                    <w:t>在建）。</w:t>
                  </w:r>
                </w:p>
              </w:tc>
              <w:tc>
                <w:tcPr>
                  <w:tcW w:w="640" w:type="pct"/>
                  <w:vAlign w:val="center"/>
                </w:tcPr>
                <w:p w14:paraId="71BB0B52">
                  <w:pPr>
                    <w:pStyle w:val="83"/>
                    <w:rPr>
                      <w:rFonts w:hint="default"/>
                    </w:rPr>
                  </w:pPr>
                  <w:r>
                    <w:t>依托</w:t>
                  </w:r>
                </w:p>
              </w:tc>
            </w:tr>
          </w:tbl>
          <w:p w14:paraId="4D07C073">
            <w:pPr>
              <w:pStyle w:val="4"/>
              <w:spacing w:before="120" w:after="0" w:afterLines="0"/>
            </w:pPr>
            <w:r>
              <w:rPr>
                <w:rFonts w:hint="eastAsia"/>
              </w:rPr>
              <w:t>2.1.3 主要产品方案及产能</w:t>
            </w:r>
          </w:p>
          <w:p w14:paraId="3D6EDE15">
            <w:pPr>
              <w:ind w:firstLine="480"/>
            </w:pPr>
            <w:r>
              <w:rPr>
                <w:rFonts w:hint="eastAsia"/>
              </w:rPr>
              <w:t>本次项目产品产能见表2.1-2。</w:t>
            </w:r>
          </w:p>
          <w:p w14:paraId="614AB174">
            <w:pPr>
              <w:pStyle w:val="13"/>
            </w:pPr>
            <w:r>
              <w:rPr>
                <w:rFonts w:hint="eastAsia"/>
              </w:rPr>
              <w:t>表2.1-2  全厂产品产能一览表</w:t>
            </w:r>
          </w:p>
          <w:tbl>
            <w:tblPr>
              <w:tblStyle w:val="1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85"/>
              <w:gridCol w:w="1536"/>
              <w:gridCol w:w="2298"/>
              <w:gridCol w:w="1670"/>
              <w:gridCol w:w="796"/>
            </w:tblGrid>
            <w:tr w14:paraId="707516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Merge w:val="restart"/>
                  <w:vAlign w:val="center"/>
                </w:tcPr>
                <w:p w14:paraId="0986A994">
                  <w:pPr>
                    <w:pStyle w:val="83"/>
                    <w:rPr>
                      <w:rFonts w:hint="default"/>
                    </w:rPr>
                  </w:pPr>
                  <w:r>
                    <w:t>产品名称</w:t>
                  </w:r>
                </w:p>
              </w:tc>
              <w:tc>
                <w:tcPr>
                  <w:tcW w:w="3243" w:type="pct"/>
                  <w:gridSpan w:val="3"/>
                  <w:vAlign w:val="center"/>
                </w:tcPr>
                <w:p w14:paraId="0E243E9A">
                  <w:pPr>
                    <w:pStyle w:val="83"/>
                    <w:rPr>
                      <w:rFonts w:hint="default"/>
                    </w:rPr>
                  </w:pPr>
                  <w:r>
                    <w:t>生产规模（万t/a）</w:t>
                  </w:r>
                </w:p>
              </w:tc>
              <w:tc>
                <w:tcPr>
                  <w:tcW w:w="468" w:type="pct"/>
                  <w:vMerge w:val="restart"/>
                  <w:vAlign w:val="center"/>
                </w:tcPr>
                <w:p w14:paraId="1F825764">
                  <w:pPr>
                    <w:pStyle w:val="83"/>
                    <w:rPr>
                      <w:rFonts w:hint="default"/>
                    </w:rPr>
                  </w:pPr>
                  <w:r>
                    <w:t>储存</w:t>
                  </w:r>
                </w:p>
                <w:p w14:paraId="665F48B4">
                  <w:pPr>
                    <w:pStyle w:val="83"/>
                    <w:rPr>
                      <w:rFonts w:hint="default"/>
                    </w:rPr>
                  </w:pPr>
                  <w:r>
                    <w:t>位置</w:t>
                  </w:r>
                </w:p>
              </w:tc>
            </w:tr>
            <w:tr w14:paraId="5DC0CF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Merge w:val="continue"/>
                  <w:vAlign w:val="center"/>
                </w:tcPr>
                <w:p w14:paraId="56DEC9AD">
                  <w:pPr>
                    <w:pStyle w:val="83"/>
                    <w:rPr>
                      <w:rFonts w:hint="default"/>
                    </w:rPr>
                  </w:pPr>
                </w:p>
              </w:tc>
              <w:tc>
                <w:tcPr>
                  <w:tcW w:w="905" w:type="pct"/>
                  <w:vAlign w:val="center"/>
                </w:tcPr>
                <w:p w14:paraId="3BEBDC06">
                  <w:pPr>
                    <w:pStyle w:val="83"/>
                    <w:rPr>
                      <w:rFonts w:hint="default"/>
                    </w:rPr>
                  </w:pPr>
                  <w:r>
                    <w:t>现有工程产能</w:t>
                  </w:r>
                </w:p>
              </w:tc>
              <w:tc>
                <w:tcPr>
                  <w:tcW w:w="1354" w:type="pct"/>
                  <w:shd w:val="clear" w:color="auto" w:fill="E7E6E6"/>
                  <w:vAlign w:val="center"/>
                </w:tcPr>
                <w:p w14:paraId="6264946A">
                  <w:pPr>
                    <w:pStyle w:val="83"/>
                    <w:rPr>
                      <w:rFonts w:hint="default"/>
                    </w:rPr>
                  </w:pPr>
                  <w:r>
                    <w:t>本次扩建项目增加量</w:t>
                  </w:r>
                </w:p>
              </w:tc>
              <w:tc>
                <w:tcPr>
                  <w:tcW w:w="984" w:type="pct"/>
                  <w:vAlign w:val="center"/>
                </w:tcPr>
                <w:p w14:paraId="479E963A">
                  <w:pPr>
                    <w:pStyle w:val="83"/>
                    <w:rPr>
                      <w:rFonts w:hint="default"/>
                    </w:rPr>
                  </w:pPr>
                  <w:r>
                    <w:t>全厂产能</w:t>
                  </w:r>
                </w:p>
              </w:tc>
              <w:tc>
                <w:tcPr>
                  <w:tcW w:w="468" w:type="pct"/>
                  <w:vMerge w:val="continue"/>
                  <w:vAlign w:val="center"/>
                </w:tcPr>
                <w:p w14:paraId="29F6023E">
                  <w:pPr>
                    <w:pStyle w:val="83"/>
                    <w:rPr>
                      <w:rFonts w:hint="default"/>
                    </w:rPr>
                  </w:pPr>
                </w:p>
              </w:tc>
            </w:tr>
            <w:tr w14:paraId="35E1FD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Align w:val="center"/>
                </w:tcPr>
                <w:p w14:paraId="48F1C08C">
                  <w:pPr>
                    <w:pStyle w:val="83"/>
                    <w:rPr>
                      <w:rFonts w:hint="default"/>
                    </w:rPr>
                  </w:pPr>
                  <w:r>
                    <w:t>锦纶FDY纤维</w:t>
                  </w:r>
                </w:p>
                <w:p w14:paraId="7D748E1A">
                  <w:pPr>
                    <w:pStyle w:val="83"/>
                    <w:rPr>
                      <w:rFonts w:hint="default"/>
                    </w:rPr>
                  </w:pPr>
                  <w:r>
                    <w:t>（锦纶全拉伸丝）</w:t>
                  </w:r>
                </w:p>
              </w:tc>
              <w:tc>
                <w:tcPr>
                  <w:tcW w:w="905" w:type="pct"/>
                  <w:vAlign w:val="center"/>
                </w:tcPr>
                <w:p w14:paraId="7B7C7414">
                  <w:pPr>
                    <w:pStyle w:val="83"/>
                    <w:rPr>
                      <w:rFonts w:hint="default"/>
                    </w:rPr>
                  </w:pPr>
                  <w:r>
                    <w:t>19.5</w:t>
                  </w:r>
                </w:p>
              </w:tc>
              <w:tc>
                <w:tcPr>
                  <w:tcW w:w="1354" w:type="pct"/>
                  <w:shd w:val="clear" w:color="auto" w:fill="E7E6E6"/>
                  <w:vAlign w:val="center"/>
                </w:tcPr>
                <w:p w14:paraId="707E0E30">
                  <w:pPr>
                    <w:pStyle w:val="83"/>
                    <w:rPr>
                      <w:rFonts w:hint="default"/>
                    </w:rPr>
                  </w:pPr>
                  <w:r>
                    <w:t>0.39</w:t>
                  </w:r>
                </w:p>
              </w:tc>
              <w:tc>
                <w:tcPr>
                  <w:tcW w:w="984" w:type="pct"/>
                  <w:vAlign w:val="center"/>
                </w:tcPr>
                <w:p w14:paraId="2EF32912">
                  <w:pPr>
                    <w:pStyle w:val="83"/>
                    <w:rPr>
                      <w:rFonts w:hint="default"/>
                    </w:rPr>
                  </w:pPr>
                  <w:r>
                    <w:t>19.89</w:t>
                  </w:r>
                </w:p>
              </w:tc>
              <w:tc>
                <w:tcPr>
                  <w:tcW w:w="468" w:type="pct"/>
                  <w:vMerge w:val="restart"/>
                  <w:vAlign w:val="center"/>
                </w:tcPr>
                <w:p w14:paraId="417B6517">
                  <w:pPr>
                    <w:pStyle w:val="83"/>
                    <w:rPr>
                      <w:rFonts w:hint="default"/>
                    </w:rPr>
                  </w:pPr>
                  <w:r>
                    <w:t>成品仓库</w:t>
                  </w:r>
                </w:p>
              </w:tc>
            </w:tr>
            <w:tr w14:paraId="44224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Align w:val="center"/>
                </w:tcPr>
                <w:p w14:paraId="39B858F7">
                  <w:pPr>
                    <w:pStyle w:val="83"/>
                    <w:rPr>
                      <w:rFonts w:hint="default"/>
                    </w:rPr>
                  </w:pPr>
                  <w:r>
                    <w:t>锦纶POY纤维</w:t>
                  </w:r>
                </w:p>
                <w:p w14:paraId="7039D93D">
                  <w:pPr>
                    <w:pStyle w:val="83"/>
                    <w:rPr>
                      <w:rFonts w:hint="default"/>
                    </w:rPr>
                  </w:pPr>
                  <w:r>
                    <w:t>（锦纶预取向丝）</w:t>
                  </w:r>
                </w:p>
              </w:tc>
              <w:tc>
                <w:tcPr>
                  <w:tcW w:w="905" w:type="pct"/>
                  <w:vAlign w:val="center"/>
                </w:tcPr>
                <w:p w14:paraId="764FED5F">
                  <w:pPr>
                    <w:pStyle w:val="83"/>
                    <w:rPr>
                      <w:rFonts w:hint="default"/>
                    </w:rPr>
                  </w:pPr>
                  <w:r>
                    <w:t>3</w:t>
                  </w:r>
                </w:p>
              </w:tc>
              <w:tc>
                <w:tcPr>
                  <w:tcW w:w="1354" w:type="pct"/>
                  <w:shd w:val="clear" w:color="auto" w:fill="E7E6E6"/>
                  <w:vAlign w:val="center"/>
                </w:tcPr>
                <w:p w14:paraId="73524B39">
                  <w:pPr>
                    <w:pStyle w:val="83"/>
                    <w:rPr>
                      <w:rFonts w:hint="default"/>
                    </w:rPr>
                  </w:pPr>
                  <w:r>
                    <w:t>0.39</w:t>
                  </w:r>
                </w:p>
              </w:tc>
              <w:tc>
                <w:tcPr>
                  <w:tcW w:w="984" w:type="pct"/>
                  <w:vAlign w:val="center"/>
                </w:tcPr>
                <w:p w14:paraId="371CB155">
                  <w:pPr>
                    <w:pStyle w:val="83"/>
                    <w:rPr>
                      <w:rFonts w:hint="default"/>
                    </w:rPr>
                  </w:pPr>
                  <w:r>
                    <w:t>3.39</w:t>
                  </w:r>
                </w:p>
              </w:tc>
              <w:tc>
                <w:tcPr>
                  <w:tcW w:w="468" w:type="pct"/>
                  <w:vMerge w:val="continue"/>
                  <w:vAlign w:val="center"/>
                </w:tcPr>
                <w:p w14:paraId="62CBEBCF">
                  <w:pPr>
                    <w:pStyle w:val="83"/>
                    <w:rPr>
                      <w:rFonts w:hint="default"/>
                    </w:rPr>
                  </w:pPr>
                </w:p>
              </w:tc>
            </w:tr>
            <w:tr w14:paraId="52912D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Align w:val="center"/>
                </w:tcPr>
                <w:p w14:paraId="7305DC88">
                  <w:pPr>
                    <w:pStyle w:val="83"/>
                    <w:rPr>
                      <w:rFonts w:hint="default"/>
                    </w:rPr>
                  </w:pPr>
                  <w:r>
                    <w:t>锦纶HOY纤维</w:t>
                  </w:r>
                </w:p>
                <w:p w14:paraId="42EA4418">
                  <w:pPr>
                    <w:pStyle w:val="83"/>
                    <w:rPr>
                      <w:rFonts w:hint="default"/>
                    </w:rPr>
                  </w:pPr>
                  <w:r>
                    <w:t>（锦纶高取向丝）</w:t>
                  </w:r>
                </w:p>
              </w:tc>
              <w:tc>
                <w:tcPr>
                  <w:tcW w:w="905" w:type="pct"/>
                  <w:vAlign w:val="center"/>
                </w:tcPr>
                <w:p w14:paraId="30431BC5">
                  <w:pPr>
                    <w:pStyle w:val="83"/>
                    <w:rPr>
                      <w:rFonts w:hint="default"/>
                    </w:rPr>
                  </w:pPr>
                  <w:r>
                    <w:t>10</w:t>
                  </w:r>
                </w:p>
              </w:tc>
              <w:tc>
                <w:tcPr>
                  <w:tcW w:w="1354" w:type="pct"/>
                  <w:shd w:val="clear" w:color="auto" w:fill="E7E6E6"/>
                  <w:vAlign w:val="center"/>
                </w:tcPr>
                <w:p w14:paraId="198D203F">
                  <w:pPr>
                    <w:pStyle w:val="83"/>
                    <w:rPr>
                      <w:rFonts w:hint="default"/>
                    </w:rPr>
                  </w:pPr>
                  <w:r>
                    <w:t>-</w:t>
                  </w:r>
                </w:p>
              </w:tc>
              <w:tc>
                <w:tcPr>
                  <w:tcW w:w="984" w:type="pct"/>
                  <w:vAlign w:val="center"/>
                </w:tcPr>
                <w:p w14:paraId="561AD5E5">
                  <w:pPr>
                    <w:pStyle w:val="83"/>
                    <w:rPr>
                      <w:rFonts w:hint="default"/>
                    </w:rPr>
                  </w:pPr>
                  <w:r>
                    <w:t>10</w:t>
                  </w:r>
                </w:p>
              </w:tc>
              <w:tc>
                <w:tcPr>
                  <w:tcW w:w="468" w:type="pct"/>
                  <w:vMerge w:val="continue"/>
                  <w:vAlign w:val="center"/>
                </w:tcPr>
                <w:p w14:paraId="5E8C9731">
                  <w:pPr>
                    <w:pStyle w:val="83"/>
                    <w:rPr>
                      <w:rFonts w:hint="default"/>
                    </w:rPr>
                  </w:pPr>
                </w:p>
              </w:tc>
            </w:tr>
            <w:tr w14:paraId="3DB89F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Align w:val="center"/>
                </w:tcPr>
                <w:p w14:paraId="268408DE">
                  <w:pPr>
                    <w:pStyle w:val="83"/>
                    <w:rPr>
                      <w:rFonts w:hint="default"/>
                    </w:rPr>
                  </w:pPr>
                  <w:r>
                    <w:t>锦纶DTY纤维</w:t>
                  </w:r>
                </w:p>
                <w:p w14:paraId="3254E5F8">
                  <w:pPr>
                    <w:pStyle w:val="83"/>
                    <w:rPr>
                      <w:rFonts w:hint="default"/>
                    </w:rPr>
                  </w:pPr>
                  <w:r>
                    <w:t>（锦纶拉伸变形丝）</w:t>
                  </w:r>
                </w:p>
              </w:tc>
              <w:tc>
                <w:tcPr>
                  <w:tcW w:w="905" w:type="pct"/>
                  <w:vAlign w:val="center"/>
                </w:tcPr>
                <w:p w14:paraId="7E073335">
                  <w:pPr>
                    <w:pStyle w:val="83"/>
                    <w:rPr>
                      <w:rFonts w:hint="default"/>
                    </w:rPr>
                  </w:pPr>
                  <w:r>
                    <w:t>13.6</w:t>
                  </w:r>
                </w:p>
              </w:tc>
              <w:tc>
                <w:tcPr>
                  <w:tcW w:w="1354" w:type="pct"/>
                  <w:shd w:val="clear" w:color="auto" w:fill="E7E6E6"/>
                  <w:vAlign w:val="center"/>
                </w:tcPr>
                <w:p w14:paraId="75446978">
                  <w:pPr>
                    <w:pStyle w:val="83"/>
                    <w:rPr>
                      <w:rFonts w:hint="default"/>
                    </w:rPr>
                  </w:pPr>
                  <w:r>
                    <w:t>-</w:t>
                  </w:r>
                </w:p>
              </w:tc>
              <w:tc>
                <w:tcPr>
                  <w:tcW w:w="984" w:type="pct"/>
                  <w:vAlign w:val="center"/>
                </w:tcPr>
                <w:p w14:paraId="5C8F0C1D">
                  <w:pPr>
                    <w:pStyle w:val="83"/>
                    <w:rPr>
                      <w:rFonts w:hint="default"/>
                    </w:rPr>
                  </w:pPr>
                  <w:r>
                    <w:t>13.6</w:t>
                  </w:r>
                </w:p>
              </w:tc>
              <w:tc>
                <w:tcPr>
                  <w:tcW w:w="468" w:type="pct"/>
                  <w:vMerge w:val="continue"/>
                  <w:vAlign w:val="center"/>
                </w:tcPr>
                <w:p w14:paraId="76D0A78C">
                  <w:pPr>
                    <w:pStyle w:val="83"/>
                    <w:rPr>
                      <w:rFonts w:hint="default"/>
                    </w:rPr>
                  </w:pPr>
                </w:p>
              </w:tc>
            </w:tr>
            <w:tr w14:paraId="20F397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Align w:val="center"/>
                </w:tcPr>
                <w:p w14:paraId="6EBC31A9">
                  <w:pPr>
                    <w:pStyle w:val="83"/>
                    <w:rPr>
                      <w:rFonts w:hint="default"/>
                    </w:rPr>
                  </w:pPr>
                  <w:r>
                    <w:t>再生切片</w:t>
                  </w:r>
                </w:p>
              </w:tc>
              <w:tc>
                <w:tcPr>
                  <w:tcW w:w="905" w:type="pct"/>
                  <w:vAlign w:val="center"/>
                </w:tcPr>
                <w:p w14:paraId="44CA0759">
                  <w:pPr>
                    <w:pStyle w:val="83"/>
                    <w:rPr>
                      <w:rFonts w:hint="default"/>
                    </w:rPr>
                  </w:pPr>
                  <w:r>
                    <w:t>0.8</w:t>
                  </w:r>
                </w:p>
              </w:tc>
              <w:tc>
                <w:tcPr>
                  <w:tcW w:w="1354" w:type="pct"/>
                  <w:shd w:val="clear" w:color="auto" w:fill="E7E6E6"/>
                  <w:vAlign w:val="center"/>
                </w:tcPr>
                <w:p w14:paraId="1588AAFD">
                  <w:pPr>
                    <w:pStyle w:val="83"/>
                    <w:rPr>
                      <w:rFonts w:hint="default"/>
                    </w:rPr>
                  </w:pPr>
                  <w:r>
                    <w:t>0.8</w:t>
                  </w:r>
                </w:p>
              </w:tc>
              <w:tc>
                <w:tcPr>
                  <w:tcW w:w="984" w:type="pct"/>
                  <w:vAlign w:val="center"/>
                </w:tcPr>
                <w:p w14:paraId="37147497">
                  <w:pPr>
                    <w:pStyle w:val="83"/>
                    <w:rPr>
                      <w:rFonts w:hint="default"/>
                    </w:rPr>
                  </w:pPr>
                  <w:r>
                    <w:t>1.6</w:t>
                  </w:r>
                </w:p>
              </w:tc>
              <w:tc>
                <w:tcPr>
                  <w:tcW w:w="468" w:type="pct"/>
                  <w:vMerge w:val="continue"/>
                  <w:vAlign w:val="center"/>
                </w:tcPr>
                <w:p w14:paraId="26C9A60A">
                  <w:pPr>
                    <w:pStyle w:val="83"/>
                    <w:rPr>
                      <w:rFonts w:hint="default"/>
                    </w:rPr>
                  </w:pPr>
                </w:p>
              </w:tc>
            </w:tr>
            <w:tr w14:paraId="57735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Align w:val="center"/>
                </w:tcPr>
                <w:p w14:paraId="3C0E19EB">
                  <w:pPr>
                    <w:pStyle w:val="83"/>
                    <w:rPr>
                      <w:rFonts w:hint="default"/>
                    </w:rPr>
                  </w:pPr>
                  <w:r>
                    <w:t>脱模母粒</w:t>
                  </w:r>
                </w:p>
              </w:tc>
              <w:tc>
                <w:tcPr>
                  <w:tcW w:w="905" w:type="pct"/>
                  <w:vAlign w:val="center"/>
                </w:tcPr>
                <w:p w14:paraId="040518F4">
                  <w:pPr>
                    <w:pStyle w:val="83"/>
                    <w:rPr>
                      <w:rFonts w:hint="default"/>
                    </w:rPr>
                  </w:pPr>
                  <w:r>
                    <w:t>0.2</w:t>
                  </w:r>
                </w:p>
              </w:tc>
              <w:tc>
                <w:tcPr>
                  <w:tcW w:w="1354" w:type="pct"/>
                  <w:shd w:val="clear" w:color="auto" w:fill="E7E6E6"/>
                  <w:vAlign w:val="center"/>
                </w:tcPr>
                <w:p w14:paraId="529AEE2E">
                  <w:pPr>
                    <w:pStyle w:val="83"/>
                    <w:rPr>
                      <w:rFonts w:hint="default"/>
                    </w:rPr>
                  </w:pPr>
                  <w:r>
                    <w:t>0.2</w:t>
                  </w:r>
                </w:p>
              </w:tc>
              <w:tc>
                <w:tcPr>
                  <w:tcW w:w="984" w:type="pct"/>
                  <w:vAlign w:val="center"/>
                </w:tcPr>
                <w:p w14:paraId="1CB034A1">
                  <w:pPr>
                    <w:pStyle w:val="83"/>
                    <w:rPr>
                      <w:rFonts w:hint="default"/>
                    </w:rPr>
                  </w:pPr>
                  <w:r>
                    <w:t>0.4</w:t>
                  </w:r>
                </w:p>
              </w:tc>
              <w:tc>
                <w:tcPr>
                  <w:tcW w:w="468" w:type="pct"/>
                  <w:vMerge w:val="continue"/>
                  <w:vAlign w:val="center"/>
                </w:tcPr>
                <w:p w14:paraId="2EDFB6C4">
                  <w:pPr>
                    <w:pStyle w:val="83"/>
                    <w:rPr>
                      <w:rFonts w:hint="default"/>
                    </w:rPr>
                  </w:pPr>
                </w:p>
              </w:tc>
            </w:tr>
            <w:tr w14:paraId="1594AE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8" w:type="pct"/>
                  <w:vAlign w:val="center"/>
                </w:tcPr>
                <w:p w14:paraId="7E2FBA8E">
                  <w:pPr>
                    <w:pStyle w:val="83"/>
                    <w:rPr>
                      <w:rFonts w:hint="default"/>
                    </w:rPr>
                  </w:pPr>
                  <w:r>
                    <w:t>合计</w:t>
                  </w:r>
                </w:p>
              </w:tc>
              <w:tc>
                <w:tcPr>
                  <w:tcW w:w="905" w:type="pct"/>
                  <w:vAlign w:val="center"/>
                </w:tcPr>
                <w:p w14:paraId="0814C82F">
                  <w:pPr>
                    <w:pStyle w:val="83"/>
                    <w:rPr>
                      <w:rFonts w:hint="default"/>
                    </w:rPr>
                  </w:pPr>
                  <w:r>
                    <w:t>47.1</w:t>
                  </w:r>
                </w:p>
              </w:tc>
              <w:tc>
                <w:tcPr>
                  <w:tcW w:w="1354" w:type="pct"/>
                  <w:shd w:val="clear" w:color="auto" w:fill="E7E6E6"/>
                  <w:vAlign w:val="center"/>
                </w:tcPr>
                <w:p w14:paraId="20506A73">
                  <w:pPr>
                    <w:pStyle w:val="83"/>
                    <w:rPr>
                      <w:rFonts w:hint="default"/>
                    </w:rPr>
                  </w:pPr>
                  <w:r>
                    <w:t>1.78</w:t>
                  </w:r>
                </w:p>
              </w:tc>
              <w:tc>
                <w:tcPr>
                  <w:tcW w:w="984" w:type="pct"/>
                  <w:vAlign w:val="center"/>
                </w:tcPr>
                <w:p w14:paraId="48107A2B">
                  <w:pPr>
                    <w:pStyle w:val="83"/>
                    <w:rPr>
                      <w:rFonts w:hint="default"/>
                    </w:rPr>
                  </w:pPr>
                  <w:r>
                    <w:t>48.88</w:t>
                  </w:r>
                </w:p>
              </w:tc>
              <w:tc>
                <w:tcPr>
                  <w:tcW w:w="468" w:type="pct"/>
                  <w:vMerge w:val="continue"/>
                  <w:vAlign w:val="center"/>
                </w:tcPr>
                <w:p w14:paraId="3B2BACE5">
                  <w:pPr>
                    <w:pStyle w:val="83"/>
                    <w:rPr>
                      <w:rFonts w:hint="default"/>
                    </w:rPr>
                  </w:pPr>
                </w:p>
              </w:tc>
            </w:tr>
            <w:tr w14:paraId="08B608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vAlign w:val="center"/>
                </w:tcPr>
                <w:p w14:paraId="04068201">
                  <w:pPr>
                    <w:pStyle w:val="83"/>
                    <w:jc w:val="left"/>
                    <w:rPr>
                      <w:rFonts w:hint="default"/>
                    </w:rPr>
                  </w:pPr>
                  <w:r>
                    <w:rPr>
                      <w:sz w:val="18"/>
                      <w:szCs w:val="18"/>
                    </w:rPr>
                    <w:t>备注：企业现已形成从聚合切片制造到纤维后处理加工的上下游生产链，为避免重复计算，本表不对中间产品产能进行统计，仅统计全厂最终外售产品产能。</w:t>
                  </w:r>
                </w:p>
              </w:tc>
            </w:tr>
          </w:tbl>
          <w:p w14:paraId="4A77A40C">
            <w:pPr>
              <w:pStyle w:val="6"/>
              <w:spacing w:before="120" w:beforeLines="50"/>
              <w:rPr>
                <w:bCs/>
                <w:kern w:val="28"/>
                <w:szCs w:val="32"/>
              </w:rPr>
            </w:pPr>
            <w:r>
              <w:rPr>
                <w:rFonts w:hint="eastAsia"/>
              </w:rPr>
              <w:object>
                <v:shape id="_x0000_i1026" o:spt="75" type="#_x0000_t75" style="height:164.95pt;width:416.4pt;" o:ole="t" filled="f" o:preferrelative="t" stroked="f" coordsize="21600,21600">
                  <v:path/>
                  <v:fill on="f" focussize="0,0"/>
                  <v:stroke on="f" joinstyle="miter"/>
                  <v:imagedata r:id="rId19" o:title=""/>
                  <o:lock v:ext="edit" aspectratio="t"/>
                  <w10:wrap type="none"/>
                  <w10:anchorlock/>
                </v:shape>
                <o:OLEObject Type="Embed" ProgID="Visio.Drawing.15" ShapeID="_x0000_i1026" DrawAspect="Content" ObjectID="_1468075725" r:id="rId18">
                  <o:LockedField>false</o:LockedField>
                </o:OLEObject>
              </w:object>
            </w:r>
            <w:r>
              <w:rPr>
                <w:rStyle w:val="24"/>
                <w:rFonts w:hint="eastAsia"/>
              </w:rPr>
              <w:t>图2.1-1  全厂产品流向示意图</w:t>
            </w:r>
          </w:p>
          <w:p w14:paraId="6ADD39F9">
            <w:pPr>
              <w:pStyle w:val="4"/>
              <w:spacing w:before="120" w:after="0" w:afterLines="0"/>
            </w:pPr>
            <w:r>
              <w:rPr>
                <w:rFonts w:hint="eastAsia"/>
              </w:rPr>
              <w:t>2.1.4 主要生产工艺</w:t>
            </w:r>
          </w:p>
          <w:p w14:paraId="4405E896">
            <w:pPr>
              <w:ind w:firstLine="480"/>
            </w:pPr>
            <w:r>
              <w:rPr>
                <w:rFonts w:hint="eastAsia"/>
              </w:rPr>
              <w:t>纤维研发平台：生产FDY/POY原丝，主要生产工艺为切片熔融、纺丝、上油、卷绕等。</w:t>
            </w:r>
          </w:p>
          <w:p w14:paraId="31B8A852">
            <w:pPr>
              <w:ind w:firstLine="480"/>
            </w:pPr>
            <w:r>
              <w:rPr>
                <w:rFonts w:hint="eastAsia"/>
              </w:rPr>
              <w:t>新材料研发平台：生产再生切片和脱模母粒，主要生产工艺为分拣、熔融、冷却固化、切粒、干燥等。</w:t>
            </w:r>
          </w:p>
          <w:p w14:paraId="141E25DD">
            <w:pPr>
              <w:pStyle w:val="4"/>
              <w:spacing w:before="120" w:after="0" w:afterLines="0"/>
            </w:pPr>
            <w:r>
              <w:rPr>
                <w:rFonts w:hint="eastAsia"/>
              </w:rPr>
              <w:t>2.1.5 主要生产设施</w:t>
            </w:r>
          </w:p>
          <w:p w14:paraId="639F3B1E">
            <w:pPr>
              <w:ind w:firstLine="480"/>
            </w:pPr>
            <w:r>
              <w:rPr>
                <w:rFonts w:hint="eastAsia"/>
              </w:rPr>
              <w:t>本次项目主要新增设备详见表2.1-3。</w:t>
            </w:r>
          </w:p>
          <w:p w14:paraId="6EABD1B3">
            <w:pPr>
              <w:pStyle w:val="13"/>
            </w:pPr>
            <w:r>
              <w:rPr>
                <w:rFonts w:hint="eastAsia"/>
              </w:rPr>
              <w:t>表2.1-3  项目新增主要设备清单</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44"/>
              <w:gridCol w:w="3218"/>
              <w:gridCol w:w="1987"/>
              <w:gridCol w:w="1163"/>
              <w:gridCol w:w="1474"/>
            </w:tblGrid>
            <w:tr w14:paraId="5BB5FC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379" w:type="pct"/>
                  <w:vAlign w:val="center"/>
                </w:tcPr>
                <w:p w14:paraId="5098BE22">
                  <w:pPr>
                    <w:pStyle w:val="83"/>
                    <w:rPr>
                      <w:rFonts w:hint="default"/>
                    </w:rPr>
                  </w:pPr>
                  <w:r>
                    <w:t>序号</w:t>
                  </w:r>
                </w:p>
              </w:tc>
              <w:tc>
                <w:tcPr>
                  <w:tcW w:w="1896" w:type="pct"/>
                  <w:vAlign w:val="center"/>
                </w:tcPr>
                <w:p w14:paraId="0EC2ECCE">
                  <w:pPr>
                    <w:pStyle w:val="83"/>
                    <w:rPr>
                      <w:rFonts w:hint="default"/>
                    </w:rPr>
                  </w:pPr>
                  <w:r>
                    <w:t>设备名称</w:t>
                  </w:r>
                </w:p>
              </w:tc>
              <w:tc>
                <w:tcPr>
                  <w:tcW w:w="1171" w:type="pct"/>
                  <w:vAlign w:val="center"/>
                </w:tcPr>
                <w:p w14:paraId="67035521">
                  <w:pPr>
                    <w:pStyle w:val="83"/>
                    <w:rPr>
                      <w:rFonts w:hint="default"/>
                    </w:rPr>
                  </w:pPr>
                  <w:r>
                    <w:t>型号/规格</w:t>
                  </w:r>
                </w:p>
              </w:tc>
              <w:tc>
                <w:tcPr>
                  <w:tcW w:w="685" w:type="pct"/>
                  <w:vAlign w:val="center"/>
                </w:tcPr>
                <w:p w14:paraId="05E5B8F8">
                  <w:pPr>
                    <w:pStyle w:val="83"/>
                    <w:rPr>
                      <w:rFonts w:hint="default"/>
                    </w:rPr>
                  </w:pPr>
                  <w:r>
                    <w:t>数量</w:t>
                  </w:r>
                </w:p>
                <w:p w14:paraId="58F5BDBC">
                  <w:pPr>
                    <w:pStyle w:val="83"/>
                    <w:rPr>
                      <w:rFonts w:hint="default"/>
                    </w:rPr>
                  </w:pPr>
                  <w:r>
                    <w:t>（台/套）</w:t>
                  </w:r>
                </w:p>
              </w:tc>
              <w:tc>
                <w:tcPr>
                  <w:tcW w:w="866" w:type="pct"/>
                  <w:vAlign w:val="center"/>
                </w:tcPr>
                <w:p w14:paraId="667CC59D">
                  <w:pPr>
                    <w:pStyle w:val="83"/>
                    <w:rPr>
                      <w:rFonts w:hint="default"/>
                    </w:rPr>
                  </w:pPr>
                  <w:r>
                    <w:t>所在车间</w:t>
                  </w:r>
                </w:p>
              </w:tc>
            </w:tr>
            <w:tr w14:paraId="1AB6FC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000" w:type="pct"/>
                  <w:gridSpan w:val="5"/>
                  <w:vAlign w:val="center"/>
                </w:tcPr>
                <w:p w14:paraId="6FA7FD8D">
                  <w:pPr>
                    <w:pStyle w:val="83"/>
                    <w:rPr>
                      <w:rFonts w:hint="default"/>
                    </w:rPr>
                  </w:pPr>
                  <w:r>
                    <w:t>一、恒温实验室</w:t>
                  </w:r>
                </w:p>
              </w:tc>
            </w:tr>
            <w:tr w14:paraId="78E9DF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8F2C1F8">
                  <w:pPr>
                    <w:pStyle w:val="83"/>
                    <w:rPr>
                      <w:rFonts w:hint="default"/>
                    </w:rPr>
                  </w:pPr>
                  <w:r>
                    <w:t>1</w:t>
                  </w:r>
                </w:p>
              </w:tc>
              <w:tc>
                <w:tcPr>
                  <w:tcW w:w="1896" w:type="pct"/>
                  <w:vAlign w:val="center"/>
                </w:tcPr>
                <w:p w14:paraId="14083458">
                  <w:pPr>
                    <w:pStyle w:val="83"/>
                    <w:rPr>
                      <w:rFonts w:hint="default"/>
                    </w:rPr>
                  </w:pPr>
                  <w:r>
                    <w:t>高效液相色谱仪</w:t>
                  </w:r>
                </w:p>
              </w:tc>
              <w:tc>
                <w:tcPr>
                  <w:tcW w:w="1171" w:type="pct"/>
                  <w:vAlign w:val="center"/>
                </w:tcPr>
                <w:p w14:paraId="19CCC127">
                  <w:pPr>
                    <w:pStyle w:val="83"/>
                    <w:rPr>
                      <w:rFonts w:hint="default"/>
                    </w:rPr>
                  </w:pPr>
                  <w:r>
                    <w:t>岛津</w:t>
                  </w:r>
                </w:p>
              </w:tc>
              <w:tc>
                <w:tcPr>
                  <w:tcW w:w="685" w:type="pct"/>
                  <w:vAlign w:val="center"/>
                </w:tcPr>
                <w:p w14:paraId="5F1ABCF3">
                  <w:pPr>
                    <w:pStyle w:val="83"/>
                    <w:rPr>
                      <w:rFonts w:hint="default"/>
                    </w:rPr>
                  </w:pPr>
                  <w:r>
                    <w:t>4</w:t>
                  </w:r>
                </w:p>
              </w:tc>
              <w:tc>
                <w:tcPr>
                  <w:tcW w:w="866" w:type="pct"/>
                  <w:vAlign w:val="center"/>
                </w:tcPr>
                <w:p w14:paraId="1FCF9091">
                  <w:pPr>
                    <w:pStyle w:val="83"/>
                    <w:rPr>
                      <w:rFonts w:hint="default"/>
                    </w:rPr>
                  </w:pPr>
                  <w:r>
                    <w:t>3#检验室</w:t>
                  </w:r>
                </w:p>
              </w:tc>
            </w:tr>
            <w:tr w14:paraId="296F26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F3B55C6">
                  <w:pPr>
                    <w:pStyle w:val="83"/>
                    <w:rPr>
                      <w:rFonts w:hint="default"/>
                    </w:rPr>
                  </w:pPr>
                  <w:r>
                    <w:t>2</w:t>
                  </w:r>
                </w:p>
              </w:tc>
              <w:tc>
                <w:tcPr>
                  <w:tcW w:w="1896" w:type="pct"/>
                  <w:vAlign w:val="center"/>
                </w:tcPr>
                <w:p w14:paraId="62565D7A">
                  <w:pPr>
                    <w:pStyle w:val="83"/>
                    <w:rPr>
                      <w:rFonts w:hint="default"/>
                    </w:rPr>
                  </w:pPr>
                  <w:r>
                    <w:t>差示扫描量热仪</w:t>
                  </w:r>
                </w:p>
              </w:tc>
              <w:tc>
                <w:tcPr>
                  <w:tcW w:w="1171" w:type="pct"/>
                  <w:vAlign w:val="center"/>
                </w:tcPr>
                <w:p w14:paraId="264CF547">
                  <w:pPr>
                    <w:pStyle w:val="83"/>
                    <w:rPr>
                      <w:rFonts w:hint="default"/>
                    </w:rPr>
                  </w:pPr>
                  <w:r>
                    <w:t>耐驰DSC200F3</w:t>
                  </w:r>
                </w:p>
              </w:tc>
              <w:tc>
                <w:tcPr>
                  <w:tcW w:w="685" w:type="pct"/>
                  <w:vAlign w:val="center"/>
                </w:tcPr>
                <w:p w14:paraId="716A641B">
                  <w:pPr>
                    <w:pStyle w:val="83"/>
                    <w:rPr>
                      <w:rFonts w:hint="default"/>
                    </w:rPr>
                  </w:pPr>
                  <w:r>
                    <w:t>1</w:t>
                  </w:r>
                </w:p>
              </w:tc>
              <w:tc>
                <w:tcPr>
                  <w:tcW w:w="866" w:type="pct"/>
                  <w:vAlign w:val="center"/>
                </w:tcPr>
                <w:p w14:paraId="198F4C4F">
                  <w:pPr>
                    <w:pStyle w:val="83"/>
                    <w:rPr>
                      <w:rFonts w:hint="default"/>
                    </w:rPr>
                  </w:pPr>
                  <w:r>
                    <w:t>6#检验室</w:t>
                  </w:r>
                </w:p>
              </w:tc>
            </w:tr>
            <w:tr w14:paraId="10B954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82F5CFD">
                  <w:pPr>
                    <w:pStyle w:val="83"/>
                    <w:rPr>
                      <w:rFonts w:hint="default"/>
                    </w:rPr>
                  </w:pPr>
                  <w:r>
                    <w:t>3</w:t>
                  </w:r>
                </w:p>
              </w:tc>
              <w:tc>
                <w:tcPr>
                  <w:tcW w:w="1896" w:type="pct"/>
                  <w:vAlign w:val="center"/>
                </w:tcPr>
                <w:p w14:paraId="3C0F0E55">
                  <w:pPr>
                    <w:pStyle w:val="83"/>
                    <w:rPr>
                      <w:rFonts w:hint="default"/>
                    </w:rPr>
                  </w:pPr>
                  <w:r>
                    <w:t>测色仪</w:t>
                  </w:r>
                </w:p>
              </w:tc>
              <w:tc>
                <w:tcPr>
                  <w:tcW w:w="1171" w:type="pct"/>
                  <w:vAlign w:val="center"/>
                </w:tcPr>
                <w:p w14:paraId="28A5A41A">
                  <w:pPr>
                    <w:pStyle w:val="83"/>
                    <w:rPr>
                      <w:rFonts w:hint="default"/>
                    </w:rPr>
                  </w:pPr>
                  <w:r>
                    <w:t>Datacolor800</w:t>
                  </w:r>
                </w:p>
              </w:tc>
              <w:tc>
                <w:tcPr>
                  <w:tcW w:w="685" w:type="pct"/>
                  <w:vAlign w:val="center"/>
                </w:tcPr>
                <w:p w14:paraId="75954F63">
                  <w:pPr>
                    <w:pStyle w:val="83"/>
                    <w:rPr>
                      <w:rFonts w:hint="default"/>
                    </w:rPr>
                  </w:pPr>
                  <w:r>
                    <w:t>1</w:t>
                  </w:r>
                </w:p>
              </w:tc>
              <w:tc>
                <w:tcPr>
                  <w:tcW w:w="866" w:type="pct"/>
                  <w:vAlign w:val="center"/>
                </w:tcPr>
                <w:p w14:paraId="7C136FEA">
                  <w:pPr>
                    <w:pStyle w:val="83"/>
                    <w:rPr>
                      <w:rFonts w:hint="default"/>
                    </w:rPr>
                  </w:pPr>
                  <w:r>
                    <w:t>2#检验室</w:t>
                  </w:r>
                </w:p>
              </w:tc>
            </w:tr>
            <w:tr w14:paraId="764BD3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0D9594D">
                  <w:pPr>
                    <w:pStyle w:val="83"/>
                    <w:rPr>
                      <w:rFonts w:hint="default"/>
                    </w:rPr>
                  </w:pPr>
                  <w:r>
                    <w:t>4</w:t>
                  </w:r>
                </w:p>
              </w:tc>
              <w:tc>
                <w:tcPr>
                  <w:tcW w:w="1896" w:type="pct"/>
                  <w:vAlign w:val="center"/>
                </w:tcPr>
                <w:p w14:paraId="1D43A0C3">
                  <w:pPr>
                    <w:pStyle w:val="83"/>
                    <w:rPr>
                      <w:rFonts w:hint="default"/>
                    </w:rPr>
                  </w:pPr>
                  <w:r>
                    <w:t>绕线机</w:t>
                  </w:r>
                </w:p>
              </w:tc>
              <w:tc>
                <w:tcPr>
                  <w:tcW w:w="1171" w:type="pct"/>
                  <w:vAlign w:val="center"/>
                </w:tcPr>
                <w:p w14:paraId="467B1EBF">
                  <w:pPr>
                    <w:pStyle w:val="83"/>
                    <w:rPr>
                      <w:rFonts w:hint="default"/>
                    </w:rPr>
                  </w:pPr>
                  <w:r>
                    <w:t>QD-D</w:t>
                  </w:r>
                </w:p>
              </w:tc>
              <w:tc>
                <w:tcPr>
                  <w:tcW w:w="685" w:type="pct"/>
                  <w:vAlign w:val="center"/>
                </w:tcPr>
                <w:p w14:paraId="7C577148">
                  <w:pPr>
                    <w:pStyle w:val="83"/>
                    <w:rPr>
                      <w:rFonts w:hint="default"/>
                    </w:rPr>
                  </w:pPr>
                  <w:r>
                    <w:t>1</w:t>
                  </w:r>
                </w:p>
              </w:tc>
              <w:tc>
                <w:tcPr>
                  <w:tcW w:w="866" w:type="pct"/>
                  <w:vAlign w:val="center"/>
                </w:tcPr>
                <w:p w14:paraId="41A1C693">
                  <w:pPr>
                    <w:pStyle w:val="83"/>
                    <w:rPr>
                      <w:rFonts w:hint="default"/>
                    </w:rPr>
                  </w:pPr>
                  <w:r>
                    <w:t>2#检验室</w:t>
                  </w:r>
                </w:p>
              </w:tc>
            </w:tr>
            <w:tr w14:paraId="4ED82F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5EFC878">
                  <w:pPr>
                    <w:pStyle w:val="83"/>
                    <w:rPr>
                      <w:rFonts w:hint="default"/>
                    </w:rPr>
                  </w:pPr>
                  <w:r>
                    <w:t>5</w:t>
                  </w:r>
                </w:p>
              </w:tc>
              <w:tc>
                <w:tcPr>
                  <w:tcW w:w="1896" w:type="pct"/>
                  <w:vAlign w:val="center"/>
                </w:tcPr>
                <w:p w14:paraId="6AEA8D04">
                  <w:pPr>
                    <w:pStyle w:val="83"/>
                    <w:rPr>
                      <w:rFonts w:hint="default"/>
                    </w:rPr>
                  </w:pPr>
                  <w:r>
                    <w:t>电子显微镜</w:t>
                  </w:r>
                </w:p>
              </w:tc>
              <w:tc>
                <w:tcPr>
                  <w:tcW w:w="1171" w:type="pct"/>
                  <w:vAlign w:val="center"/>
                </w:tcPr>
                <w:p w14:paraId="4330C219">
                  <w:pPr>
                    <w:pStyle w:val="83"/>
                    <w:rPr>
                      <w:rFonts w:hint="default"/>
                    </w:rPr>
                  </w:pPr>
                  <w:r>
                    <w:t>莱卡DM500</w:t>
                  </w:r>
                </w:p>
              </w:tc>
              <w:tc>
                <w:tcPr>
                  <w:tcW w:w="685" w:type="pct"/>
                  <w:vAlign w:val="center"/>
                </w:tcPr>
                <w:p w14:paraId="4093056F">
                  <w:pPr>
                    <w:pStyle w:val="83"/>
                    <w:rPr>
                      <w:rFonts w:hint="default"/>
                    </w:rPr>
                  </w:pPr>
                  <w:r>
                    <w:t>1</w:t>
                  </w:r>
                </w:p>
              </w:tc>
              <w:tc>
                <w:tcPr>
                  <w:tcW w:w="866" w:type="pct"/>
                  <w:vAlign w:val="center"/>
                </w:tcPr>
                <w:p w14:paraId="634450AF">
                  <w:pPr>
                    <w:pStyle w:val="83"/>
                    <w:rPr>
                      <w:rFonts w:hint="default"/>
                    </w:rPr>
                  </w:pPr>
                  <w:r>
                    <w:t>2#检验室</w:t>
                  </w:r>
                </w:p>
              </w:tc>
            </w:tr>
            <w:tr w14:paraId="293B37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6B095B6">
                  <w:pPr>
                    <w:pStyle w:val="83"/>
                    <w:rPr>
                      <w:rFonts w:hint="default"/>
                    </w:rPr>
                  </w:pPr>
                  <w:r>
                    <w:t>6</w:t>
                  </w:r>
                </w:p>
              </w:tc>
              <w:tc>
                <w:tcPr>
                  <w:tcW w:w="1896" w:type="pct"/>
                  <w:vAlign w:val="center"/>
                </w:tcPr>
                <w:p w14:paraId="4F6C46F3">
                  <w:pPr>
                    <w:pStyle w:val="83"/>
                    <w:rPr>
                      <w:rFonts w:hint="default"/>
                    </w:rPr>
                  </w:pPr>
                  <w:r>
                    <w:t>超声机</w:t>
                  </w:r>
                </w:p>
              </w:tc>
              <w:tc>
                <w:tcPr>
                  <w:tcW w:w="1171" w:type="pct"/>
                  <w:vAlign w:val="center"/>
                </w:tcPr>
                <w:p w14:paraId="07EABE55">
                  <w:pPr>
                    <w:pStyle w:val="83"/>
                    <w:rPr>
                      <w:rFonts w:hint="default"/>
                    </w:rPr>
                  </w:pPr>
                  <w:r>
                    <w:t>昆山KQ5200DE</w:t>
                  </w:r>
                </w:p>
              </w:tc>
              <w:tc>
                <w:tcPr>
                  <w:tcW w:w="685" w:type="pct"/>
                  <w:vAlign w:val="center"/>
                </w:tcPr>
                <w:p w14:paraId="5394857D">
                  <w:pPr>
                    <w:pStyle w:val="83"/>
                    <w:rPr>
                      <w:rFonts w:hint="default"/>
                    </w:rPr>
                  </w:pPr>
                  <w:r>
                    <w:t>1</w:t>
                  </w:r>
                </w:p>
              </w:tc>
              <w:tc>
                <w:tcPr>
                  <w:tcW w:w="866" w:type="pct"/>
                  <w:vAlign w:val="center"/>
                </w:tcPr>
                <w:p w14:paraId="03D1F89C">
                  <w:pPr>
                    <w:pStyle w:val="83"/>
                    <w:rPr>
                      <w:rFonts w:hint="default"/>
                    </w:rPr>
                  </w:pPr>
                  <w:r>
                    <w:t>6#检验室</w:t>
                  </w:r>
                </w:p>
              </w:tc>
            </w:tr>
            <w:tr w14:paraId="26392E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FC2EC56">
                  <w:pPr>
                    <w:pStyle w:val="83"/>
                    <w:rPr>
                      <w:rFonts w:hint="default"/>
                    </w:rPr>
                  </w:pPr>
                  <w:r>
                    <w:t>7</w:t>
                  </w:r>
                </w:p>
              </w:tc>
              <w:tc>
                <w:tcPr>
                  <w:tcW w:w="1896" w:type="pct"/>
                  <w:vAlign w:val="center"/>
                </w:tcPr>
                <w:p w14:paraId="53F17C87">
                  <w:pPr>
                    <w:pStyle w:val="83"/>
                    <w:rPr>
                      <w:rFonts w:hint="default"/>
                    </w:rPr>
                  </w:pPr>
                  <w:r>
                    <w:t>电热鼓风干燥箱</w:t>
                  </w:r>
                </w:p>
              </w:tc>
              <w:tc>
                <w:tcPr>
                  <w:tcW w:w="1171" w:type="pct"/>
                  <w:vAlign w:val="center"/>
                </w:tcPr>
                <w:p w14:paraId="72432659">
                  <w:pPr>
                    <w:pStyle w:val="83"/>
                    <w:rPr>
                      <w:rFonts w:hint="default"/>
                    </w:rPr>
                  </w:pPr>
                  <w:r>
                    <w:t>银河计量</w:t>
                  </w:r>
                </w:p>
              </w:tc>
              <w:tc>
                <w:tcPr>
                  <w:tcW w:w="685" w:type="pct"/>
                  <w:vAlign w:val="center"/>
                </w:tcPr>
                <w:p w14:paraId="15232656">
                  <w:pPr>
                    <w:pStyle w:val="83"/>
                    <w:rPr>
                      <w:rFonts w:hint="default"/>
                    </w:rPr>
                  </w:pPr>
                  <w:r>
                    <w:t>1</w:t>
                  </w:r>
                </w:p>
              </w:tc>
              <w:tc>
                <w:tcPr>
                  <w:tcW w:w="866" w:type="pct"/>
                  <w:vAlign w:val="center"/>
                </w:tcPr>
                <w:p w14:paraId="00826A6B">
                  <w:pPr>
                    <w:pStyle w:val="83"/>
                    <w:rPr>
                      <w:rFonts w:hint="default"/>
                    </w:rPr>
                  </w:pPr>
                  <w:r>
                    <w:t>3#检验室</w:t>
                  </w:r>
                </w:p>
              </w:tc>
            </w:tr>
            <w:tr w14:paraId="7975D9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AC0E908">
                  <w:pPr>
                    <w:pStyle w:val="83"/>
                    <w:rPr>
                      <w:rFonts w:hint="default"/>
                    </w:rPr>
                  </w:pPr>
                  <w:r>
                    <w:t>8</w:t>
                  </w:r>
                </w:p>
              </w:tc>
              <w:tc>
                <w:tcPr>
                  <w:tcW w:w="1896" w:type="pct"/>
                  <w:vAlign w:val="center"/>
                </w:tcPr>
                <w:p w14:paraId="55B8CE1B">
                  <w:pPr>
                    <w:pStyle w:val="83"/>
                    <w:rPr>
                      <w:rFonts w:hint="default"/>
                    </w:rPr>
                  </w:pPr>
                  <w:r>
                    <w:t>全自动表、界面张力仪</w:t>
                  </w:r>
                </w:p>
              </w:tc>
              <w:tc>
                <w:tcPr>
                  <w:tcW w:w="1171" w:type="pct"/>
                  <w:vAlign w:val="center"/>
                </w:tcPr>
                <w:p w14:paraId="2DC7BD26">
                  <w:pPr>
                    <w:pStyle w:val="83"/>
                    <w:rPr>
                      <w:rFonts w:hint="default"/>
                    </w:rPr>
                  </w:pPr>
                  <w:r>
                    <w:t>JYW-200C</w:t>
                  </w:r>
                </w:p>
              </w:tc>
              <w:tc>
                <w:tcPr>
                  <w:tcW w:w="685" w:type="pct"/>
                  <w:vAlign w:val="center"/>
                </w:tcPr>
                <w:p w14:paraId="62B01E63">
                  <w:pPr>
                    <w:pStyle w:val="83"/>
                    <w:rPr>
                      <w:rFonts w:hint="default"/>
                    </w:rPr>
                  </w:pPr>
                  <w:r>
                    <w:t>1</w:t>
                  </w:r>
                </w:p>
              </w:tc>
              <w:tc>
                <w:tcPr>
                  <w:tcW w:w="866" w:type="pct"/>
                  <w:vAlign w:val="center"/>
                </w:tcPr>
                <w:p w14:paraId="198AB607">
                  <w:pPr>
                    <w:pStyle w:val="83"/>
                    <w:rPr>
                      <w:rFonts w:hint="default"/>
                    </w:rPr>
                  </w:pPr>
                  <w:r>
                    <w:t>3#检验室</w:t>
                  </w:r>
                </w:p>
              </w:tc>
            </w:tr>
            <w:tr w14:paraId="367E55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9351E9A">
                  <w:pPr>
                    <w:pStyle w:val="83"/>
                    <w:rPr>
                      <w:rFonts w:hint="default"/>
                    </w:rPr>
                  </w:pPr>
                  <w:r>
                    <w:t>9</w:t>
                  </w:r>
                </w:p>
              </w:tc>
              <w:tc>
                <w:tcPr>
                  <w:tcW w:w="1896" w:type="pct"/>
                  <w:vAlign w:val="center"/>
                </w:tcPr>
                <w:p w14:paraId="45E3CFE3">
                  <w:pPr>
                    <w:pStyle w:val="83"/>
                    <w:rPr>
                      <w:rFonts w:hint="default"/>
                    </w:rPr>
                  </w:pPr>
                  <w:r>
                    <w:t>万分之一分析天平</w:t>
                  </w:r>
                </w:p>
              </w:tc>
              <w:tc>
                <w:tcPr>
                  <w:tcW w:w="1171" w:type="pct"/>
                  <w:vAlign w:val="center"/>
                </w:tcPr>
                <w:p w14:paraId="4FAB1E6A">
                  <w:pPr>
                    <w:pStyle w:val="83"/>
                    <w:rPr>
                      <w:rFonts w:hint="default"/>
                    </w:rPr>
                  </w:pPr>
                  <w:r>
                    <w:t>先行者</w:t>
                  </w:r>
                </w:p>
              </w:tc>
              <w:tc>
                <w:tcPr>
                  <w:tcW w:w="685" w:type="pct"/>
                  <w:vAlign w:val="center"/>
                </w:tcPr>
                <w:p w14:paraId="72BAB85F">
                  <w:pPr>
                    <w:pStyle w:val="83"/>
                    <w:rPr>
                      <w:rFonts w:hint="default"/>
                    </w:rPr>
                  </w:pPr>
                  <w:r>
                    <w:t>1</w:t>
                  </w:r>
                </w:p>
              </w:tc>
              <w:tc>
                <w:tcPr>
                  <w:tcW w:w="866" w:type="pct"/>
                  <w:vAlign w:val="center"/>
                </w:tcPr>
                <w:p w14:paraId="00401BFC">
                  <w:pPr>
                    <w:pStyle w:val="83"/>
                    <w:rPr>
                      <w:rFonts w:hint="default"/>
                    </w:rPr>
                  </w:pPr>
                  <w:r>
                    <w:t>3#检验室</w:t>
                  </w:r>
                </w:p>
              </w:tc>
            </w:tr>
            <w:tr w14:paraId="39A865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7A70AF4">
                  <w:pPr>
                    <w:pStyle w:val="83"/>
                    <w:rPr>
                      <w:rFonts w:hint="default"/>
                    </w:rPr>
                  </w:pPr>
                  <w:r>
                    <w:t>10</w:t>
                  </w:r>
                </w:p>
              </w:tc>
              <w:tc>
                <w:tcPr>
                  <w:tcW w:w="1896" w:type="pct"/>
                  <w:vAlign w:val="center"/>
                </w:tcPr>
                <w:p w14:paraId="4E5C0D3A">
                  <w:pPr>
                    <w:pStyle w:val="83"/>
                    <w:rPr>
                      <w:rFonts w:hint="default"/>
                    </w:rPr>
                  </w:pPr>
                  <w:r>
                    <w:t>纯水机</w:t>
                  </w:r>
                </w:p>
              </w:tc>
              <w:tc>
                <w:tcPr>
                  <w:tcW w:w="1171" w:type="pct"/>
                  <w:vAlign w:val="center"/>
                </w:tcPr>
                <w:p w14:paraId="3C745B10">
                  <w:pPr>
                    <w:pStyle w:val="83"/>
                    <w:rPr>
                      <w:rFonts w:hint="default"/>
                    </w:rPr>
                  </w:pPr>
                  <w:r>
                    <w:t>KertonelabMINI</w:t>
                  </w:r>
                </w:p>
              </w:tc>
              <w:tc>
                <w:tcPr>
                  <w:tcW w:w="685" w:type="pct"/>
                  <w:vAlign w:val="center"/>
                </w:tcPr>
                <w:p w14:paraId="56D64B5B">
                  <w:pPr>
                    <w:pStyle w:val="83"/>
                    <w:rPr>
                      <w:rFonts w:hint="default"/>
                    </w:rPr>
                  </w:pPr>
                  <w:r>
                    <w:t>1</w:t>
                  </w:r>
                </w:p>
              </w:tc>
              <w:tc>
                <w:tcPr>
                  <w:tcW w:w="866" w:type="pct"/>
                  <w:vAlign w:val="center"/>
                </w:tcPr>
                <w:p w14:paraId="7615B407">
                  <w:pPr>
                    <w:pStyle w:val="83"/>
                    <w:rPr>
                      <w:rFonts w:hint="default"/>
                    </w:rPr>
                  </w:pPr>
                  <w:r>
                    <w:t>3#检验室</w:t>
                  </w:r>
                </w:p>
              </w:tc>
            </w:tr>
            <w:tr w14:paraId="74F631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C567405">
                  <w:pPr>
                    <w:pStyle w:val="83"/>
                    <w:rPr>
                      <w:rFonts w:hint="default"/>
                    </w:rPr>
                  </w:pPr>
                  <w:r>
                    <w:t>11</w:t>
                  </w:r>
                </w:p>
              </w:tc>
              <w:tc>
                <w:tcPr>
                  <w:tcW w:w="1896" w:type="pct"/>
                  <w:vAlign w:val="center"/>
                </w:tcPr>
                <w:p w14:paraId="6BAD91AC">
                  <w:pPr>
                    <w:pStyle w:val="83"/>
                    <w:rPr>
                      <w:rFonts w:hint="default"/>
                    </w:rPr>
                  </w:pPr>
                  <w:r>
                    <w:t>玻璃仪器气流烘干机</w:t>
                  </w:r>
                </w:p>
              </w:tc>
              <w:tc>
                <w:tcPr>
                  <w:tcW w:w="1171" w:type="pct"/>
                  <w:vAlign w:val="center"/>
                </w:tcPr>
                <w:p w14:paraId="7CBA539D">
                  <w:pPr>
                    <w:pStyle w:val="83"/>
                    <w:rPr>
                      <w:rFonts w:hint="default"/>
                    </w:rPr>
                  </w:pPr>
                  <w:r>
                    <w:t>互佳C20</w:t>
                  </w:r>
                </w:p>
              </w:tc>
              <w:tc>
                <w:tcPr>
                  <w:tcW w:w="685" w:type="pct"/>
                  <w:vAlign w:val="center"/>
                </w:tcPr>
                <w:p w14:paraId="1326B00A">
                  <w:pPr>
                    <w:pStyle w:val="83"/>
                    <w:rPr>
                      <w:rFonts w:hint="default"/>
                    </w:rPr>
                  </w:pPr>
                  <w:r>
                    <w:t>1</w:t>
                  </w:r>
                </w:p>
              </w:tc>
              <w:tc>
                <w:tcPr>
                  <w:tcW w:w="866" w:type="pct"/>
                  <w:vAlign w:val="center"/>
                </w:tcPr>
                <w:p w14:paraId="4E3C28CD">
                  <w:pPr>
                    <w:pStyle w:val="83"/>
                    <w:rPr>
                      <w:rFonts w:hint="default"/>
                    </w:rPr>
                  </w:pPr>
                  <w:r>
                    <w:t>3#检验室</w:t>
                  </w:r>
                </w:p>
              </w:tc>
            </w:tr>
            <w:tr w14:paraId="2CFCE0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3C3398D">
                  <w:pPr>
                    <w:pStyle w:val="83"/>
                    <w:rPr>
                      <w:rFonts w:hint="default"/>
                    </w:rPr>
                  </w:pPr>
                  <w:r>
                    <w:t>12</w:t>
                  </w:r>
                </w:p>
              </w:tc>
              <w:tc>
                <w:tcPr>
                  <w:tcW w:w="1896" w:type="pct"/>
                  <w:vAlign w:val="center"/>
                </w:tcPr>
                <w:p w14:paraId="13839AA3">
                  <w:pPr>
                    <w:pStyle w:val="83"/>
                    <w:rPr>
                      <w:rFonts w:hint="default"/>
                    </w:rPr>
                  </w:pPr>
                  <w:r>
                    <w:t>超纯水机</w:t>
                  </w:r>
                </w:p>
              </w:tc>
              <w:tc>
                <w:tcPr>
                  <w:tcW w:w="1171" w:type="pct"/>
                  <w:vAlign w:val="center"/>
                </w:tcPr>
                <w:p w14:paraId="3AD00C79">
                  <w:pPr>
                    <w:pStyle w:val="83"/>
                    <w:rPr>
                      <w:rFonts w:hint="default"/>
                    </w:rPr>
                  </w:pPr>
                  <w:r>
                    <w:t>KertonelabMINI</w:t>
                  </w:r>
                </w:p>
              </w:tc>
              <w:tc>
                <w:tcPr>
                  <w:tcW w:w="685" w:type="pct"/>
                  <w:vAlign w:val="center"/>
                </w:tcPr>
                <w:p w14:paraId="5A7B4CB5">
                  <w:pPr>
                    <w:pStyle w:val="83"/>
                    <w:rPr>
                      <w:rFonts w:hint="default"/>
                    </w:rPr>
                  </w:pPr>
                  <w:r>
                    <w:t>1</w:t>
                  </w:r>
                </w:p>
              </w:tc>
              <w:tc>
                <w:tcPr>
                  <w:tcW w:w="866" w:type="pct"/>
                  <w:vAlign w:val="center"/>
                </w:tcPr>
                <w:p w14:paraId="473A91EC">
                  <w:pPr>
                    <w:pStyle w:val="83"/>
                    <w:rPr>
                      <w:rFonts w:hint="default"/>
                    </w:rPr>
                  </w:pPr>
                  <w:r>
                    <w:t>3#检验室</w:t>
                  </w:r>
                </w:p>
              </w:tc>
            </w:tr>
            <w:tr w14:paraId="0F3491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C32F492">
                  <w:pPr>
                    <w:pStyle w:val="83"/>
                    <w:rPr>
                      <w:rFonts w:hint="default"/>
                    </w:rPr>
                  </w:pPr>
                  <w:r>
                    <w:t>13</w:t>
                  </w:r>
                </w:p>
              </w:tc>
              <w:tc>
                <w:tcPr>
                  <w:tcW w:w="1896" w:type="pct"/>
                  <w:vAlign w:val="center"/>
                </w:tcPr>
                <w:p w14:paraId="49DD8DA2">
                  <w:pPr>
                    <w:pStyle w:val="83"/>
                    <w:rPr>
                      <w:rFonts w:hint="default"/>
                    </w:rPr>
                  </w:pPr>
                  <w:r>
                    <w:t>全自动单纱强力仪</w:t>
                  </w:r>
                </w:p>
              </w:tc>
              <w:tc>
                <w:tcPr>
                  <w:tcW w:w="1171" w:type="pct"/>
                  <w:vAlign w:val="center"/>
                </w:tcPr>
                <w:p w14:paraId="538F5EC9">
                  <w:pPr>
                    <w:pStyle w:val="83"/>
                    <w:rPr>
                      <w:rFonts w:hint="default"/>
                    </w:rPr>
                  </w:pPr>
                  <w:r>
                    <w:t>YG023B-III</w:t>
                  </w:r>
                </w:p>
              </w:tc>
              <w:tc>
                <w:tcPr>
                  <w:tcW w:w="685" w:type="pct"/>
                  <w:vAlign w:val="center"/>
                </w:tcPr>
                <w:p w14:paraId="3E34242E">
                  <w:pPr>
                    <w:pStyle w:val="83"/>
                    <w:rPr>
                      <w:rFonts w:hint="default"/>
                    </w:rPr>
                  </w:pPr>
                  <w:r>
                    <w:t>1</w:t>
                  </w:r>
                </w:p>
              </w:tc>
              <w:tc>
                <w:tcPr>
                  <w:tcW w:w="866" w:type="pct"/>
                  <w:vAlign w:val="center"/>
                </w:tcPr>
                <w:p w14:paraId="715CC669">
                  <w:pPr>
                    <w:pStyle w:val="83"/>
                    <w:rPr>
                      <w:rFonts w:hint="default"/>
                    </w:rPr>
                  </w:pPr>
                  <w:r>
                    <w:t>2#检验室</w:t>
                  </w:r>
                </w:p>
              </w:tc>
            </w:tr>
            <w:tr w14:paraId="2DB428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ECBF44A">
                  <w:pPr>
                    <w:pStyle w:val="83"/>
                    <w:rPr>
                      <w:rFonts w:hint="default"/>
                    </w:rPr>
                  </w:pPr>
                  <w:r>
                    <w:t>14</w:t>
                  </w:r>
                </w:p>
              </w:tc>
              <w:tc>
                <w:tcPr>
                  <w:tcW w:w="1896" w:type="pct"/>
                  <w:vAlign w:val="center"/>
                </w:tcPr>
                <w:p w14:paraId="2167BF82">
                  <w:pPr>
                    <w:pStyle w:val="83"/>
                    <w:rPr>
                      <w:rFonts w:hint="default"/>
                    </w:rPr>
                  </w:pPr>
                  <w:r>
                    <w:t>条干仪</w:t>
                  </w:r>
                </w:p>
              </w:tc>
              <w:tc>
                <w:tcPr>
                  <w:tcW w:w="1171" w:type="pct"/>
                  <w:vAlign w:val="center"/>
                </w:tcPr>
                <w:p w14:paraId="242AA530">
                  <w:pPr>
                    <w:pStyle w:val="83"/>
                    <w:rPr>
                      <w:rFonts w:hint="default"/>
                    </w:rPr>
                  </w:pPr>
                  <w:r>
                    <w:t>CFE500C</w:t>
                  </w:r>
                </w:p>
              </w:tc>
              <w:tc>
                <w:tcPr>
                  <w:tcW w:w="685" w:type="pct"/>
                  <w:vAlign w:val="center"/>
                </w:tcPr>
                <w:p w14:paraId="130FD671">
                  <w:pPr>
                    <w:pStyle w:val="83"/>
                    <w:rPr>
                      <w:rFonts w:hint="default"/>
                    </w:rPr>
                  </w:pPr>
                  <w:r>
                    <w:t>1</w:t>
                  </w:r>
                </w:p>
              </w:tc>
              <w:tc>
                <w:tcPr>
                  <w:tcW w:w="866" w:type="pct"/>
                  <w:vAlign w:val="center"/>
                </w:tcPr>
                <w:p w14:paraId="61A262C6">
                  <w:pPr>
                    <w:pStyle w:val="83"/>
                    <w:rPr>
                      <w:rFonts w:hint="default"/>
                    </w:rPr>
                  </w:pPr>
                  <w:r>
                    <w:t>2#检验室</w:t>
                  </w:r>
                </w:p>
              </w:tc>
            </w:tr>
            <w:tr w14:paraId="2D0065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38F6A96">
                  <w:pPr>
                    <w:pStyle w:val="83"/>
                    <w:rPr>
                      <w:rFonts w:hint="default"/>
                    </w:rPr>
                  </w:pPr>
                  <w:r>
                    <w:t>15</w:t>
                  </w:r>
                </w:p>
              </w:tc>
              <w:tc>
                <w:tcPr>
                  <w:tcW w:w="1896" w:type="pct"/>
                  <w:vAlign w:val="center"/>
                </w:tcPr>
                <w:p w14:paraId="5FF8FC51">
                  <w:pPr>
                    <w:pStyle w:val="83"/>
                    <w:rPr>
                      <w:rFonts w:hint="default"/>
                    </w:rPr>
                  </w:pPr>
                  <w:r>
                    <w:t>恒温恒湿空调</w:t>
                  </w:r>
                </w:p>
              </w:tc>
              <w:tc>
                <w:tcPr>
                  <w:tcW w:w="1171" w:type="pct"/>
                  <w:vAlign w:val="center"/>
                </w:tcPr>
                <w:p w14:paraId="6DF4AB21">
                  <w:pPr>
                    <w:pStyle w:val="83"/>
                    <w:rPr>
                      <w:rFonts w:hint="default"/>
                    </w:rPr>
                  </w:pPr>
                  <w:r>
                    <w:t>/</w:t>
                  </w:r>
                </w:p>
              </w:tc>
              <w:tc>
                <w:tcPr>
                  <w:tcW w:w="685" w:type="pct"/>
                  <w:vAlign w:val="center"/>
                </w:tcPr>
                <w:p w14:paraId="5E560CEB">
                  <w:pPr>
                    <w:pStyle w:val="83"/>
                    <w:rPr>
                      <w:rFonts w:hint="default"/>
                    </w:rPr>
                  </w:pPr>
                  <w:r>
                    <w:t>2</w:t>
                  </w:r>
                </w:p>
              </w:tc>
              <w:tc>
                <w:tcPr>
                  <w:tcW w:w="866" w:type="pct"/>
                  <w:vAlign w:val="center"/>
                </w:tcPr>
                <w:p w14:paraId="263A7DFF">
                  <w:pPr>
                    <w:pStyle w:val="83"/>
                    <w:rPr>
                      <w:rFonts w:hint="default"/>
                    </w:rPr>
                  </w:pPr>
                  <w:r>
                    <w:t>2#、4#检验室</w:t>
                  </w:r>
                </w:p>
              </w:tc>
            </w:tr>
            <w:tr w14:paraId="3199F7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33BD1C9">
                  <w:pPr>
                    <w:pStyle w:val="83"/>
                    <w:rPr>
                      <w:rFonts w:hint="default"/>
                    </w:rPr>
                  </w:pPr>
                  <w:r>
                    <w:t>16</w:t>
                  </w:r>
                </w:p>
              </w:tc>
              <w:tc>
                <w:tcPr>
                  <w:tcW w:w="1896" w:type="pct"/>
                  <w:vAlign w:val="center"/>
                </w:tcPr>
                <w:p w14:paraId="28EBBB14">
                  <w:pPr>
                    <w:pStyle w:val="83"/>
                    <w:rPr>
                      <w:rFonts w:hint="default"/>
                    </w:rPr>
                  </w:pPr>
                  <w:r>
                    <w:t>全自动卷缩仪</w:t>
                  </w:r>
                </w:p>
              </w:tc>
              <w:tc>
                <w:tcPr>
                  <w:tcW w:w="1171" w:type="pct"/>
                  <w:vAlign w:val="center"/>
                </w:tcPr>
                <w:p w14:paraId="7674A470">
                  <w:pPr>
                    <w:pStyle w:val="83"/>
                    <w:rPr>
                      <w:rFonts w:hint="default"/>
                    </w:rPr>
                  </w:pPr>
                  <w:r>
                    <w:t>YG368</w:t>
                  </w:r>
                </w:p>
              </w:tc>
              <w:tc>
                <w:tcPr>
                  <w:tcW w:w="685" w:type="pct"/>
                  <w:vAlign w:val="center"/>
                </w:tcPr>
                <w:p w14:paraId="73D55A0A">
                  <w:pPr>
                    <w:pStyle w:val="83"/>
                    <w:rPr>
                      <w:rFonts w:hint="default"/>
                    </w:rPr>
                  </w:pPr>
                  <w:r>
                    <w:t>1</w:t>
                  </w:r>
                </w:p>
              </w:tc>
              <w:tc>
                <w:tcPr>
                  <w:tcW w:w="866" w:type="pct"/>
                  <w:vAlign w:val="center"/>
                </w:tcPr>
                <w:p w14:paraId="5AEC2D7D">
                  <w:pPr>
                    <w:pStyle w:val="83"/>
                    <w:rPr>
                      <w:rFonts w:hint="default"/>
                    </w:rPr>
                  </w:pPr>
                  <w:r>
                    <w:t>2#检验室</w:t>
                  </w:r>
                </w:p>
              </w:tc>
            </w:tr>
            <w:tr w14:paraId="4ECB9A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ACB8E1B">
                  <w:pPr>
                    <w:pStyle w:val="83"/>
                    <w:rPr>
                      <w:rFonts w:hint="default"/>
                    </w:rPr>
                  </w:pPr>
                  <w:r>
                    <w:t>17</w:t>
                  </w:r>
                </w:p>
              </w:tc>
              <w:tc>
                <w:tcPr>
                  <w:tcW w:w="1896" w:type="pct"/>
                  <w:vAlign w:val="center"/>
                </w:tcPr>
                <w:p w14:paraId="6E17A2E8">
                  <w:pPr>
                    <w:pStyle w:val="83"/>
                    <w:rPr>
                      <w:rFonts w:hint="default"/>
                    </w:rPr>
                  </w:pPr>
                  <w:r>
                    <w:t>电子缕纱测长仪</w:t>
                  </w:r>
                </w:p>
              </w:tc>
              <w:tc>
                <w:tcPr>
                  <w:tcW w:w="1171" w:type="pct"/>
                  <w:vAlign w:val="center"/>
                </w:tcPr>
                <w:p w14:paraId="1BD19D4A">
                  <w:pPr>
                    <w:pStyle w:val="83"/>
                    <w:rPr>
                      <w:rFonts w:hint="default"/>
                    </w:rPr>
                  </w:pPr>
                  <w:r>
                    <w:t>YG086</w:t>
                  </w:r>
                </w:p>
              </w:tc>
              <w:tc>
                <w:tcPr>
                  <w:tcW w:w="685" w:type="pct"/>
                  <w:vAlign w:val="center"/>
                </w:tcPr>
                <w:p w14:paraId="538BCEDD">
                  <w:pPr>
                    <w:pStyle w:val="83"/>
                    <w:rPr>
                      <w:rFonts w:hint="default"/>
                    </w:rPr>
                  </w:pPr>
                  <w:r>
                    <w:t>1</w:t>
                  </w:r>
                </w:p>
              </w:tc>
              <w:tc>
                <w:tcPr>
                  <w:tcW w:w="866" w:type="pct"/>
                  <w:vAlign w:val="center"/>
                </w:tcPr>
                <w:p w14:paraId="358BC9DB">
                  <w:pPr>
                    <w:pStyle w:val="83"/>
                    <w:rPr>
                      <w:rFonts w:hint="default"/>
                    </w:rPr>
                  </w:pPr>
                  <w:r>
                    <w:t>2#检验室</w:t>
                  </w:r>
                </w:p>
              </w:tc>
            </w:tr>
            <w:tr w14:paraId="5FD885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3F9703A">
                  <w:pPr>
                    <w:pStyle w:val="83"/>
                    <w:rPr>
                      <w:rFonts w:hint="default"/>
                    </w:rPr>
                  </w:pPr>
                  <w:r>
                    <w:t>18</w:t>
                  </w:r>
                </w:p>
              </w:tc>
              <w:tc>
                <w:tcPr>
                  <w:tcW w:w="1896" w:type="pct"/>
                  <w:vAlign w:val="center"/>
                </w:tcPr>
                <w:p w14:paraId="435366AB">
                  <w:pPr>
                    <w:pStyle w:val="83"/>
                    <w:rPr>
                      <w:rFonts w:hint="default"/>
                    </w:rPr>
                  </w:pPr>
                  <w:r>
                    <w:t>万分之一分析天平</w:t>
                  </w:r>
                </w:p>
              </w:tc>
              <w:tc>
                <w:tcPr>
                  <w:tcW w:w="1171" w:type="pct"/>
                  <w:vAlign w:val="center"/>
                </w:tcPr>
                <w:p w14:paraId="719682DD">
                  <w:pPr>
                    <w:pStyle w:val="83"/>
                    <w:rPr>
                      <w:rFonts w:hint="default"/>
                    </w:rPr>
                  </w:pPr>
                  <w:r>
                    <w:t>GL</w:t>
                  </w:r>
                </w:p>
              </w:tc>
              <w:tc>
                <w:tcPr>
                  <w:tcW w:w="685" w:type="pct"/>
                  <w:vAlign w:val="center"/>
                </w:tcPr>
                <w:p w14:paraId="362742D6">
                  <w:pPr>
                    <w:pStyle w:val="83"/>
                    <w:rPr>
                      <w:rFonts w:hint="default"/>
                    </w:rPr>
                  </w:pPr>
                  <w:r>
                    <w:t>1</w:t>
                  </w:r>
                </w:p>
              </w:tc>
              <w:tc>
                <w:tcPr>
                  <w:tcW w:w="866" w:type="pct"/>
                  <w:vAlign w:val="center"/>
                </w:tcPr>
                <w:p w14:paraId="1B3BCA9C">
                  <w:pPr>
                    <w:pStyle w:val="83"/>
                    <w:rPr>
                      <w:rFonts w:hint="default"/>
                    </w:rPr>
                  </w:pPr>
                  <w:r>
                    <w:t>2#检验室</w:t>
                  </w:r>
                </w:p>
              </w:tc>
            </w:tr>
            <w:tr w14:paraId="2B27D1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080E73A">
                  <w:pPr>
                    <w:pStyle w:val="83"/>
                    <w:rPr>
                      <w:rFonts w:hint="default"/>
                    </w:rPr>
                  </w:pPr>
                  <w:r>
                    <w:t>19</w:t>
                  </w:r>
                </w:p>
              </w:tc>
              <w:tc>
                <w:tcPr>
                  <w:tcW w:w="1896" w:type="pct"/>
                  <w:vAlign w:val="center"/>
                </w:tcPr>
                <w:p w14:paraId="3C335684">
                  <w:pPr>
                    <w:pStyle w:val="83"/>
                    <w:rPr>
                      <w:rFonts w:hint="default"/>
                    </w:rPr>
                  </w:pPr>
                  <w:r>
                    <w:t>含油仪</w:t>
                  </w:r>
                </w:p>
              </w:tc>
              <w:tc>
                <w:tcPr>
                  <w:tcW w:w="1171" w:type="pct"/>
                  <w:vAlign w:val="center"/>
                </w:tcPr>
                <w:p w14:paraId="188AD382">
                  <w:pPr>
                    <w:pStyle w:val="83"/>
                    <w:rPr>
                      <w:rFonts w:hint="default"/>
                    </w:rPr>
                  </w:pPr>
                  <w:r>
                    <w:t>LJ-HC600红外分光光度测油仪</w:t>
                  </w:r>
                </w:p>
              </w:tc>
              <w:tc>
                <w:tcPr>
                  <w:tcW w:w="685" w:type="pct"/>
                  <w:vAlign w:val="center"/>
                </w:tcPr>
                <w:p w14:paraId="20E0D5A1">
                  <w:pPr>
                    <w:pStyle w:val="83"/>
                    <w:rPr>
                      <w:rFonts w:hint="default"/>
                    </w:rPr>
                  </w:pPr>
                  <w:r>
                    <w:t>1</w:t>
                  </w:r>
                </w:p>
              </w:tc>
              <w:tc>
                <w:tcPr>
                  <w:tcW w:w="866" w:type="pct"/>
                  <w:vAlign w:val="center"/>
                </w:tcPr>
                <w:p w14:paraId="6C704C30">
                  <w:pPr>
                    <w:pStyle w:val="83"/>
                    <w:rPr>
                      <w:rFonts w:hint="default"/>
                    </w:rPr>
                  </w:pPr>
                  <w:r>
                    <w:t>2#检验室</w:t>
                  </w:r>
                </w:p>
              </w:tc>
            </w:tr>
            <w:tr w14:paraId="4EF824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195B7EA">
                  <w:pPr>
                    <w:pStyle w:val="83"/>
                    <w:rPr>
                      <w:rFonts w:hint="default"/>
                    </w:rPr>
                  </w:pPr>
                  <w:r>
                    <w:t>20</w:t>
                  </w:r>
                </w:p>
              </w:tc>
              <w:tc>
                <w:tcPr>
                  <w:tcW w:w="1896" w:type="pct"/>
                  <w:vAlign w:val="center"/>
                </w:tcPr>
                <w:p w14:paraId="57BD5B48">
                  <w:pPr>
                    <w:pStyle w:val="83"/>
                    <w:rPr>
                      <w:rFonts w:hint="default"/>
                    </w:rPr>
                  </w:pPr>
                  <w:r>
                    <w:t>纤维油脂快速抽取器</w:t>
                  </w:r>
                </w:p>
              </w:tc>
              <w:tc>
                <w:tcPr>
                  <w:tcW w:w="1171" w:type="pct"/>
                  <w:vAlign w:val="center"/>
                </w:tcPr>
                <w:p w14:paraId="1663B9BE">
                  <w:pPr>
                    <w:pStyle w:val="83"/>
                    <w:rPr>
                      <w:rFonts w:hint="default"/>
                    </w:rPr>
                  </w:pPr>
                  <w:r>
                    <w:t>YG981</w:t>
                  </w:r>
                </w:p>
              </w:tc>
              <w:tc>
                <w:tcPr>
                  <w:tcW w:w="685" w:type="pct"/>
                  <w:vAlign w:val="center"/>
                </w:tcPr>
                <w:p w14:paraId="0AD966AC">
                  <w:pPr>
                    <w:pStyle w:val="83"/>
                    <w:rPr>
                      <w:rFonts w:hint="default"/>
                    </w:rPr>
                  </w:pPr>
                  <w:r>
                    <w:t>1</w:t>
                  </w:r>
                </w:p>
              </w:tc>
              <w:tc>
                <w:tcPr>
                  <w:tcW w:w="866" w:type="pct"/>
                  <w:vAlign w:val="center"/>
                </w:tcPr>
                <w:p w14:paraId="5144943F">
                  <w:pPr>
                    <w:pStyle w:val="83"/>
                    <w:rPr>
                      <w:rFonts w:hint="default"/>
                    </w:rPr>
                  </w:pPr>
                  <w:r>
                    <w:t>3#检验室</w:t>
                  </w:r>
                </w:p>
              </w:tc>
            </w:tr>
            <w:tr w14:paraId="218F05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0A9C118">
                  <w:pPr>
                    <w:pStyle w:val="83"/>
                    <w:rPr>
                      <w:rFonts w:hint="default"/>
                    </w:rPr>
                  </w:pPr>
                  <w:r>
                    <w:t>21</w:t>
                  </w:r>
                </w:p>
              </w:tc>
              <w:tc>
                <w:tcPr>
                  <w:tcW w:w="1896" w:type="pct"/>
                  <w:vAlign w:val="center"/>
                </w:tcPr>
                <w:p w14:paraId="2B6174A9">
                  <w:pPr>
                    <w:pStyle w:val="83"/>
                    <w:rPr>
                      <w:rFonts w:hint="default"/>
                    </w:rPr>
                  </w:pPr>
                  <w:r>
                    <w:t>捻度仪</w:t>
                  </w:r>
                </w:p>
              </w:tc>
              <w:tc>
                <w:tcPr>
                  <w:tcW w:w="1171" w:type="pct"/>
                  <w:vAlign w:val="center"/>
                </w:tcPr>
                <w:p w14:paraId="54C5410C">
                  <w:pPr>
                    <w:pStyle w:val="83"/>
                    <w:rPr>
                      <w:rFonts w:hint="default"/>
                    </w:rPr>
                  </w:pPr>
                  <w:r>
                    <w:t>Y331C</w:t>
                  </w:r>
                </w:p>
              </w:tc>
              <w:tc>
                <w:tcPr>
                  <w:tcW w:w="685" w:type="pct"/>
                  <w:vAlign w:val="center"/>
                </w:tcPr>
                <w:p w14:paraId="2E5D5868">
                  <w:pPr>
                    <w:pStyle w:val="83"/>
                    <w:rPr>
                      <w:rFonts w:hint="default"/>
                    </w:rPr>
                  </w:pPr>
                  <w:r>
                    <w:t>1</w:t>
                  </w:r>
                </w:p>
              </w:tc>
              <w:tc>
                <w:tcPr>
                  <w:tcW w:w="866" w:type="pct"/>
                  <w:vAlign w:val="center"/>
                </w:tcPr>
                <w:p w14:paraId="4E154899">
                  <w:pPr>
                    <w:pStyle w:val="83"/>
                    <w:rPr>
                      <w:rFonts w:hint="default"/>
                    </w:rPr>
                  </w:pPr>
                  <w:r>
                    <w:t>2#检验室</w:t>
                  </w:r>
                </w:p>
              </w:tc>
            </w:tr>
            <w:tr w14:paraId="3FD218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6E50CFC">
                  <w:pPr>
                    <w:pStyle w:val="83"/>
                    <w:rPr>
                      <w:rFonts w:hint="default"/>
                    </w:rPr>
                  </w:pPr>
                  <w:r>
                    <w:t>22</w:t>
                  </w:r>
                </w:p>
              </w:tc>
              <w:tc>
                <w:tcPr>
                  <w:tcW w:w="1896" w:type="pct"/>
                  <w:vAlign w:val="center"/>
                </w:tcPr>
                <w:p w14:paraId="1C2FC5C3">
                  <w:pPr>
                    <w:pStyle w:val="83"/>
                    <w:rPr>
                      <w:rFonts w:hint="default"/>
                    </w:rPr>
                  </w:pPr>
                  <w:r>
                    <w:t>残余扭矩仪</w:t>
                  </w:r>
                </w:p>
              </w:tc>
              <w:tc>
                <w:tcPr>
                  <w:tcW w:w="1171" w:type="pct"/>
                  <w:vAlign w:val="center"/>
                </w:tcPr>
                <w:p w14:paraId="6FC295BD">
                  <w:pPr>
                    <w:pStyle w:val="83"/>
                    <w:rPr>
                      <w:rFonts w:hint="default"/>
                    </w:rPr>
                  </w:pPr>
                  <w:r>
                    <w:t>YG363</w:t>
                  </w:r>
                </w:p>
              </w:tc>
              <w:tc>
                <w:tcPr>
                  <w:tcW w:w="685" w:type="pct"/>
                  <w:vAlign w:val="center"/>
                </w:tcPr>
                <w:p w14:paraId="16F773F1">
                  <w:pPr>
                    <w:pStyle w:val="83"/>
                    <w:rPr>
                      <w:rFonts w:hint="default"/>
                    </w:rPr>
                  </w:pPr>
                  <w:r>
                    <w:t>1</w:t>
                  </w:r>
                </w:p>
              </w:tc>
              <w:tc>
                <w:tcPr>
                  <w:tcW w:w="866" w:type="pct"/>
                  <w:vAlign w:val="center"/>
                </w:tcPr>
                <w:p w14:paraId="2E2796D4">
                  <w:pPr>
                    <w:pStyle w:val="83"/>
                    <w:rPr>
                      <w:rFonts w:hint="default"/>
                    </w:rPr>
                  </w:pPr>
                  <w:r>
                    <w:t>2#检验室</w:t>
                  </w:r>
                </w:p>
              </w:tc>
            </w:tr>
            <w:tr w14:paraId="4CA4BF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9FA771E">
                  <w:pPr>
                    <w:pStyle w:val="83"/>
                    <w:rPr>
                      <w:rFonts w:hint="default"/>
                    </w:rPr>
                  </w:pPr>
                  <w:r>
                    <w:t>23</w:t>
                  </w:r>
                </w:p>
              </w:tc>
              <w:tc>
                <w:tcPr>
                  <w:tcW w:w="1896" w:type="pct"/>
                  <w:vAlign w:val="center"/>
                </w:tcPr>
                <w:p w14:paraId="18B8A87F">
                  <w:pPr>
                    <w:pStyle w:val="83"/>
                    <w:rPr>
                      <w:rFonts w:hint="default"/>
                    </w:rPr>
                  </w:pPr>
                  <w:r>
                    <w:t>电热鼓风干燥箱</w:t>
                  </w:r>
                </w:p>
              </w:tc>
              <w:tc>
                <w:tcPr>
                  <w:tcW w:w="1171" w:type="pct"/>
                  <w:vAlign w:val="center"/>
                </w:tcPr>
                <w:p w14:paraId="7F24C781">
                  <w:pPr>
                    <w:pStyle w:val="83"/>
                    <w:rPr>
                      <w:rFonts w:hint="default"/>
                    </w:rPr>
                  </w:pPr>
                  <w:r>
                    <w:t>WGL-125</w:t>
                  </w:r>
                </w:p>
              </w:tc>
              <w:tc>
                <w:tcPr>
                  <w:tcW w:w="685" w:type="pct"/>
                  <w:vAlign w:val="center"/>
                </w:tcPr>
                <w:p w14:paraId="4106A8FB">
                  <w:pPr>
                    <w:pStyle w:val="83"/>
                    <w:rPr>
                      <w:rFonts w:hint="default"/>
                    </w:rPr>
                  </w:pPr>
                  <w:r>
                    <w:t>1</w:t>
                  </w:r>
                </w:p>
              </w:tc>
              <w:tc>
                <w:tcPr>
                  <w:tcW w:w="866" w:type="pct"/>
                  <w:vAlign w:val="center"/>
                </w:tcPr>
                <w:p w14:paraId="378D8E9C">
                  <w:pPr>
                    <w:pStyle w:val="83"/>
                    <w:rPr>
                      <w:rFonts w:hint="default"/>
                    </w:rPr>
                  </w:pPr>
                  <w:r>
                    <w:t>6#检验室</w:t>
                  </w:r>
                </w:p>
              </w:tc>
            </w:tr>
            <w:tr w14:paraId="087AF2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764BFD7">
                  <w:pPr>
                    <w:pStyle w:val="83"/>
                    <w:rPr>
                      <w:rFonts w:hint="default"/>
                    </w:rPr>
                  </w:pPr>
                  <w:r>
                    <w:t>24</w:t>
                  </w:r>
                </w:p>
              </w:tc>
              <w:tc>
                <w:tcPr>
                  <w:tcW w:w="1896" w:type="pct"/>
                  <w:vAlign w:val="center"/>
                </w:tcPr>
                <w:p w14:paraId="1F2090E5">
                  <w:pPr>
                    <w:pStyle w:val="83"/>
                    <w:rPr>
                      <w:rFonts w:hint="default"/>
                    </w:rPr>
                  </w:pPr>
                  <w:r>
                    <w:t>耐水洗色牢度实验仪</w:t>
                  </w:r>
                </w:p>
              </w:tc>
              <w:tc>
                <w:tcPr>
                  <w:tcW w:w="1171" w:type="pct"/>
                  <w:vAlign w:val="center"/>
                </w:tcPr>
                <w:p w14:paraId="3F636959">
                  <w:pPr>
                    <w:pStyle w:val="83"/>
                    <w:rPr>
                      <w:rFonts w:hint="default"/>
                    </w:rPr>
                  </w:pPr>
                  <w:r>
                    <w:t>SW-12J</w:t>
                  </w:r>
                </w:p>
              </w:tc>
              <w:tc>
                <w:tcPr>
                  <w:tcW w:w="685" w:type="pct"/>
                  <w:vAlign w:val="center"/>
                </w:tcPr>
                <w:p w14:paraId="63CD5219">
                  <w:pPr>
                    <w:pStyle w:val="83"/>
                    <w:rPr>
                      <w:rFonts w:hint="default"/>
                    </w:rPr>
                  </w:pPr>
                  <w:r>
                    <w:t>1</w:t>
                  </w:r>
                </w:p>
              </w:tc>
              <w:tc>
                <w:tcPr>
                  <w:tcW w:w="866" w:type="pct"/>
                  <w:vAlign w:val="center"/>
                </w:tcPr>
                <w:p w14:paraId="56D36FF5">
                  <w:pPr>
                    <w:pStyle w:val="83"/>
                    <w:rPr>
                      <w:rFonts w:hint="default"/>
                    </w:rPr>
                  </w:pPr>
                  <w:r>
                    <w:t>1#检验室</w:t>
                  </w:r>
                </w:p>
              </w:tc>
            </w:tr>
            <w:tr w14:paraId="020E47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FC56D25">
                  <w:pPr>
                    <w:pStyle w:val="83"/>
                    <w:rPr>
                      <w:rFonts w:hint="default"/>
                    </w:rPr>
                  </w:pPr>
                  <w:r>
                    <w:t>25</w:t>
                  </w:r>
                </w:p>
              </w:tc>
              <w:tc>
                <w:tcPr>
                  <w:tcW w:w="1896" w:type="pct"/>
                  <w:vAlign w:val="center"/>
                </w:tcPr>
                <w:p w14:paraId="03F90D7F">
                  <w:pPr>
                    <w:pStyle w:val="83"/>
                    <w:rPr>
                      <w:rFonts w:hint="default"/>
                    </w:rPr>
                  </w:pPr>
                  <w:r>
                    <w:t>袜机</w:t>
                  </w:r>
                </w:p>
              </w:tc>
              <w:tc>
                <w:tcPr>
                  <w:tcW w:w="1171" w:type="pct"/>
                  <w:vAlign w:val="center"/>
                </w:tcPr>
                <w:p w14:paraId="048767BB">
                  <w:pPr>
                    <w:pStyle w:val="83"/>
                    <w:rPr>
                      <w:rFonts w:hint="default"/>
                    </w:rPr>
                  </w:pPr>
                  <w:r>
                    <w:t>GE598D</w:t>
                  </w:r>
                </w:p>
              </w:tc>
              <w:tc>
                <w:tcPr>
                  <w:tcW w:w="685" w:type="pct"/>
                  <w:vAlign w:val="center"/>
                </w:tcPr>
                <w:p w14:paraId="59A312F3">
                  <w:pPr>
                    <w:pStyle w:val="83"/>
                    <w:rPr>
                      <w:rFonts w:hint="default"/>
                    </w:rPr>
                  </w:pPr>
                  <w:r>
                    <w:t>1</w:t>
                  </w:r>
                </w:p>
              </w:tc>
              <w:tc>
                <w:tcPr>
                  <w:tcW w:w="866" w:type="pct"/>
                  <w:vAlign w:val="center"/>
                </w:tcPr>
                <w:p w14:paraId="601ADFF3">
                  <w:pPr>
                    <w:pStyle w:val="83"/>
                    <w:rPr>
                      <w:rFonts w:hint="default"/>
                    </w:rPr>
                  </w:pPr>
                  <w:r>
                    <w:t>1#检验室</w:t>
                  </w:r>
                </w:p>
              </w:tc>
            </w:tr>
            <w:tr w14:paraId="1F219A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8E4FA67">
                  <w:pPr>
                    <w:pStyle w:val="83"/>
                    <w:rPr>
                      <w:rFonts w:hint="default"/>
                    </w:rPr>
                  </w:pPr>
                  <w:r>
                    <w:t>26</w:t>
                  </w:r>
                </w:p>
              </w:tc>
              <w:tc>
                <w:tcPr>
                  <w:tcW w:w="1896" w:type="pct"/>
                  <w:vAlign w:val="center"/>
                </w:tcPr>
                <w:p w14:paraId="03674273">
                  <w:pPr>
                    <w:pStyle w:val="83"/>
                    <w:rPr>
                      <w:rFonts w:hint="default"/>
                    </w:rPr>
                  </w:pPr>
                  <w:r>
                    <w:t>标准光源箱</w:t>
                  </w:r>
                </w:p>
              </w:tc>
              <w:tc>
                <w:tcPr>
                  <w:tcW w:w="1171" w:type="pct"/>
                  <w:vAlign w:val="center"/>
                </w:tcPr>
                <w:p w14:paraId="2B6CF817">
                  <w:pPr>
                    <w:pStyle w:val="83"/>
                    <w:rPr>
                      <w:rFonts w:hint="default"/>
                    </w:rPr>
                  </w:pPr>
                  <w:r>
                    <w:t>MXJ-06-023</w:t>
                  </w:r>
                </w:p>
              </w:tc>
              <w:tc>
                <w:tcPr>
                  <w:tcW w:w="685" w:type="pct"/>
                  <w:vAlign w:val="center"/>
                </w:tcPr>
                <w:p w14:paraId="0E765AAF">
                  <w:pPr>
                    <w:pStyle w:val="83"/>
                    <w:rPr>
                      <w:rFonts w:hint="default"/>
                    </w:rPr>
                  </w:pPr>
                  <w:r>
                    <w:t>1</w:t>
                  </w:r>
                </w:p>
              </w:tc>
              <w:tc>
                <w:tcPr>
                  <w:tcW w:w="866" w:type="pct"/>
                  <w:vAlign w:val="center"/>
                </w:tcPr>
                <w:p w14:paraId="6D819442">
                  <w:pPr>
                    <w:pStyle w:val="83"/>
                    <w:rPr>
                      <w:rFonts w:hint="default"/>
                    </w:rPr>
                  </w:pPr>
                  <w:r>
                    <w:t>1#检验室</w:t>
                  </w:r>
                </w:p>
              </w:tc>
            </w:tr>
            <w:tr w14:paraId="49227D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71E76F9">
                  <w:pPr>
                    <w:pStyle w:val="83"/>
                    <w:rPr>
                      <w:rFonts w:hint="default"/>
                    </w:rPr>
                  </w:pPr>
                  <w:r>
                    <w:t>27</w:t>
                  </w:r>
                </w:p>
              </w:tc>
              <w:tc>
                <w:tcPr>
                  <w:tcW w:w="1896" w:type="pct"/>
                  <w:vAlign w:val="center"/>
                </w:tcPr>
                <w:p w14:paraId="16C72166">
                  <w:pPr>
                    <w:pStyle w:val="83"/>
                    <w:rPr>
                      <w:rFonts w:hint="default"/>
                    </w:rPr>
                  </w:pPr>
                  <w:r>
                    <w:t>耐汗渍色牢度仪</w:t>
                  </w:r>
                </w:p>
              </w:tc>
              <w:tc>
                <w:tcPr>
                  <w:tcW w:w="1171" w:type="pct"/>
                  <w:vAlign w:val="center"/>
                </w:tcPr>
                <w:p w14:paraId="705911F4">
                  <w:pPr>
                    <w:pStyle w:val="83"/>
                    <w:rPr>
                      <w:rFonts w:hint="default"/>
                    </w:rPr>
                  </w:pPr>
                  <w:r>
                    <w:t>Y(B)902G型</w:t>
                  </w:r>
                </w:p>
              </w:tc>
              <w:tc>
                <w:tcPr>
                  <w:tcW w:w="685" w:type="pct"/>
                  <w:vAlign w:val="center"/>
                </w:tcPr>
                <w:p w14:paraId="2412BDEB">
                  <w:pPr>
                    <w:pStyle w:val="83"/>
                    <w:rPr>
                      <w:rFonts w:hint="default"/>
                    </w:rPr>
                  </w:pPr>
                  <w:r>
                    <w:t>1</w:t>
                  </w:r>
                </w:p>
              </w:tc>
              <w:tc>
                <w:tcPr>
                  <w:tcW w:w="866" w:type="pct"/>
                  <w:vAlign w:val="center"/>
                </w:tcPr>
                <w:p w14:paraId="7E0CB902">
                  <w:pPr>
                    <w:pStyle w:val="83"/>
                    <w:rPr>
                      <w:rFonts w:hint="default"/>
                    </w:rPr>
                  </w:pPr>
                  <w:r>
                    <w:t>4#检验室</w:t>
                  </w:r>
                </w:p>
              </w:tc>
            </w:tr>
            <w:tr w14:paraId="3F43D4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B30012C">
                  <w:pPr>
                    <w:pStyle w:val="83"/>
                    <w:rPr>
                      <w:rFonts w:hint="default"/>
                    </w:rPr>
                  </w:pPr>
                  <w:r>
                    <w:t>28</w:t>
                  </w:r>
                </w:p>
              </w:tc>
              <w:tc>
                <w:tcPr>
                  <w:tcW w:w="1896" w:type="pct"/>
                  <w:vAlign w:val="center"/>
                </w:tcPr>
                <w:p w14:paraId="0BA9CB28">
                  <w:pPr>
                    <w:pStyle w:val="83"/>
                    <w:rPr>
                      <w:rFonts w:hint="default"/>
                    </w:rPr>
                  </w:pPr>
                  <w:r>
                    <w:t>耐摩擦色牢度实验仪</w:t>
                  </w:r>
                </w:p>
              </w:tc>
              <w:tc>
                <w:tcPr>
                  <w:tcW w:w="1171" w:type="pct"/>
                  <w:vAlign w:val="center"/>
                </w:tcPr>
                <w:p w14:paraId="0BE36CAA">
                  <w:pPr>
                    <w:pStyle w:val="83"/>
                    <w:rPr>
                      <w:rFonts w:hint="default"/>
                    </w:rPr>
                  </w:pPr>
                  <w:r>
                    <w:t>Y(B)571-III型</w:t>
                  </w:r>
                </w:p>
              </w:tc>
              <w:tc>
                <w:tcPr>
                  <w:tcW w:w="685" w:type="pct"/>
                  <w:vAlign w:val="center"/>
                </w:tcPr>
                <w:p w14:paraId="2ECC72E7">
                  <w:pPr>
                    <w:pStyle w:val="83"/>
                    <w:rPr>
                      <w:rFonts w:hint="default"/>
                    </w:rPr>
                  </w:pPr>
                  <w:r>
                    <w:t>1</w:t>
                  </w:r>
                </w:p>
              </w:tc>
              <w:tc>
                <w:tcPr>
                  <w:tcW w:w="866" w:type="pct"/>
                  <w:vAlign w:val="center"/>
                </w:tcPr>
                <w:p w14:paraId="7460C3C8">
                  <w:pPr>
                    <w:pStyle w:val="83"/>
                    <w:rPr>
                      <w:rFonts w:hint="default"/>
                    </w:rPr>
                  </w:pPr>
                  <w:r>
                    <w:t>4#检验室</w:t>
                  </w:r>
                </w:p>
              </w:tc>
            </w:tr>
            <w:tr w14:paraId="06DBE4E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84A9415">
                  <w:pPr>
                    <w:pStyle w:val="83"/>
                    <w:rPr>
                      <w:rFonts w:hint="default"/>
                    </w:rPr>
                  </w:pPr>
                  <w:r>
                    <w:t>29</w:t>
                  </w:r>
                </w:p>
              </w:tc>
              <w:tc>
                <w:tcPr>
                  <w:tcW w:w="1896" w:type="pct"/>
                  <w:vAlign w:val="center"/>
                </w:tcPr>
                <w:p w14:paraId="501FA306">
                  <w:pPr>
                    <w:pStyle w:val="83"/>
                    <w:rPr>
                      <w:rFonts w:hint="default"/>
                    </w:rPr>
                  </w:pPr>
                  <w:r>
                    <w:t>粘度仪</w:t>
                  </w:r>
                </w:p>
              </w:tc>
              <w:tc>
                <w:tcPr>
                  <w:tcW w:w="1171" w:type="pct"/>
                  <w:vAlign w:val="center"/>
                </w:tcPr>
                <w:p w14:paraId="68BDFC43">
                  <w:pPr>
                    <w:pStyle w:val="83"/>
                    <w:rPr>
                      <w:rFonts w:hint="default"/>
                    </w:rPr>
                  </w:pPr>
                  <w:r>
                    <w:t>A1010</w:t>
                  </w:r>
                </w:p>
              </w:tc>
              <w:tc>
                <w:tcPr>
                  <w:tcW w:w="685" w:type="pct"/>
                  <w:vAlign w:val="center"/>
                </w:tcPr>
                <w:p w14:paraId="5B83836F">
                  <w:pPr>
                    <w:pStyle w:val="83"/>
                    <w:rPr>
                      <w:rFonts w:hint="default"/>
                    </w:rPr>
                  </w:pPr>
                  <w:r>
                    <w:t>1</w:t>
                  </w:r>
                </w:p>
              </w:tc>
              <w:tc>
                <w:tcPr>
                  <w:tcW w:w="866" w:type="pct"/>
                  <w:vAlign w:val="center"/>
                </w:tcPr>
                <w:p w14:paraId="5F562525">
                  <w:pPr>
                    <w:pStyle w:val="83"/>
                    <w:rPr>
                      <w:rFonts w:hint="default"/>
                    </w:rPr>
                  </w:pPr>
                  <w:r>
                    <w:t>3#检验室</w:t>
                  </w:r>
                </w:p>
              </w:tc>
            </w:tr>
            <w:tr w14:paraId="699BD3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CE8E09C">
                  <w:pPr>
                    <w:pStyle w:val="83"/>
                    <w:rPr>
                      <w:rFonts w:hint="default"/>
                    </w:rPr>
                  </w:pPr>
                  <w:r>
                    <w:t>30</w:t>
                  </w:r>
                </w:p>
              </w:tc>
              <w:tc>
                <w:tcPr>
                  <w:tcW w:w="1896" w:type="pct"/>
                  <w:vAlign w:val="center"/>
                </w:tcPr>
                <w:p w14:paraId="4CFD9C15">
                  <w:pPr>
                    <w:pStyle w:val="83"/>
                    <w:rPr>
                      <w:rFonts w:hint="default"/>
                    </w:rPr>
                  </w:pPr>
                  <w:r>
                    <w:t>卡尔费休库仑法水分仪+卡尔顶空进样器</w:t>
                  </w:r>
                </w:p>
              </w:tc>
              <w:tc>
                <w:tcPr>
                  <w:tcW w:w="1171" w:type="pct"/>
                  <w:vAlign w:val="center"/>
                </w:tcPr>
                <w:p w14:paraId="3859C28C">
                  <w:pPr>
                    <w:pStyle w:val="83"/>
                    <w:rPr>
                      <w:rFonts w:hint="default"/>
                    </w:rPr>
                  </w:pPr>
                  <w:r>
                    <w:t>/</w:t>
                  </w:r>
                </w:p>
              </w:tc>
              <w:tc>
                <w:tcPr>
                  <w:tcW w:w="685" w:type="pct"/>
                  <w:vAlign w:val="center"/>
                </w:tcPr>
                <w:p w14:paraId="6689446E">
                  <w:pPr>
                    <w:pStyle w:val="83"/>
                    <w:rPr>
                      <w:rFonts w:hint="default"/>
                    </w:rPr>
                  </w:pPr>
                  <w:r>
                    <w:t>1</w:t>
                  </w:r>
                </w:p>
              </w:tc>
              <w:tc>
                <w:tcPr>
                  <w:tcW w:w="866" w:type="pct"/>
                  <w:vAlign w:val="center"/>
                </w:tcPr>
                <w:p w14:paraId="3B132C6B">
                  <w:pPr>
                    <w:pStyle w:val="83"/>
                    <w:rPr>
                      <w:rFonts w:hint="default"/>
                    </w:rPr>
                  </w:pPr>
                  <w:r>
                    <w:t>3#检验室</w:t>
                  </w:r>
                </w:p>
              </w:tc>
            </w:tr>
            <w:tr w14:paraId="46081C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A09B152">
                  <w:pPr>
                    <w:pStyle w:val="83"/>
                    <w:rPr>
                      <w:rFonts w:hint="default"/>
                    </w:rPr>
                  </w:pPr>
                  <w:r>
                    <w:t>31</w:t>
                  </w:r>
                </w:p>
              </w:tc>
              <w:tc>
                <w:tcPr>
                  <w:tcW w:w="1896" w:type="pct"/>
                  <w:vAlign w:val="center"/>
                </w:tcPr>
                <w:p w14:paraId="00E45249">
                  <w:pPr>
                    <w:pStyle w:val="83"/>
                    <w:rPr>
                      <w:rFonts w:hint="default"/>
                    </w:rPr>
                  </w:pPr>
                  <w:r>
                    <w:t>远红外发射率测试仪</w:t>
                  </w:r>
                </w:p>
              </w:tc>
              <w:tc>
                <w:tcPr>
                  <w:tcW w:w="1171" w:type="pct"/>
                  <w:vAlign w:val="center"/>
                </w:tcPr>
                <w:p w14:paraId="52357689">
                  <w:pPr>
                    <w:pStyle w:val="83"/>
                    <w:rPr>
                      <w:rFonts w:hint="default"/>
                    </w:rPr>
                  </w:pPr>
                  <w:r>
                    <w:t>FFZ412A</w:t>
                  </w:r>
                </w:p>
              </w:tc>
              <w:tc>
                <w:tcPr>
                  <w:tcW w:w="685" w:type="pct"/>
                  <w:vAlign w:val="center"/>
                </w:tcPr>
                <w:p w14:paraId="68115291">
                  <w:pPr>
                    <w:pStyle w:val="83"/>
                    <w:rPr>
                      <w:rFonts w:hint="default"/>
                    </w:rPr>
                  </w:pPr>
                  <w:r>
                    <w:t>1</w:t>
                  </w:r>
                </w:p>
              </w:tc>
              <w:tc>
                <w:tcPr>
                  <w:tcW w:w="866" w:type="pct"/>
                  <w:vAlign w:val="center"/>
                </w:tcPr>
                <w:p w14:paraId="7B996016">
                  <w:pPr>
                    <w:pStyle w:val="83"/>
                    <w:rPr>
                      <w:rFonts w:hint="default"/>
                    </w:rPr>
                  </w:pPr>
                  <w:r>
                    <w:t>4#检验室</w:t>
                  </w:r>
                </w:p>
              </w:tc>
            </w:tr>
            <w:tr w14:paraId="16A586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049E64B">
                  <w:pPr>
                    <w:pStyle w:val="83"/>
                    <w:rPr>
                      <w:rFonts w:hint="default"/>
                    </w:rPr>
                  </w:pPr>
                  <w:r>
                    <w:t>32</w:t>
                  </w:r>
                </w:p>
              </w:tc>
              <w:tc>
                <w:tcPr>
                  <w:tcW w:w="1896" w:type="pct"/>
                  <w:vAlign w:val="center"/>
                </w:tcPr>
                <w:p w14:paraId="6E14A84E">
                  <w:pPr>
                    <w:pStyle w:val="83"/>
                    <w:rPr>
                      <w:rFonts w:hint="default"/>
                    </w:rPr>
                  </w:pPr>
                  <w:r>
                    <w:t>纺织品远红外辐射温升测试仪</w:t>
                  </w:r>
                </w:p>
              </w:tc>
              <w:tc>
                <w:tcPr>
                  <w:tcW w:w="1171" w:type="pct"/>
                  <w:vAlign w:val="center"/>
                </w:tcPr>
                <w:p w14:paraId="2989A91B">
                  <w:pPr>
                    <w:pStyle w:val="83"/>
                    <w:rPr>
                      <w:rFonts w:hint="default"/>
                    </w:rPr>
                  </w:pPr>
                  <w:r>
                    <w:t>FFZ411-I</w:t>
                  </w:r>
                </w:p>
              </w:tc>
              <w:tc>
                <w:tcPr>
                  <w:tcW w:w="685" w:type="pct"/>
                  <w:vAlign w:val="center"/>
                </w:tcPr>
                <w:p w14:paraId="21293286">
                  <w:pPr>
                    <w:pStyle w:val="83"/>
                    <w:rPr>
                      <w:rFonts w:hint="default"/>
                    </w:rPr>
                  </w:pPr>
                  <w:r>
                    <w:t>1</w:t>
                  </w:r>
                </w:p>
              </w:tc>
              <w:tc>
                <w:tcPr>
                  <w:tcW w:w="866" w:type="pct"/>
                  <w:vAlign w:val="center"/>
                </w:tcPr>
                <w:p w14:paraId="4483FD9F">
                  <w:pPr>
                    <w:pStyle w:val="83"/>
                    <w:rPr>
                      <w:rFonts w:hint="default"/>
                    </w:rPr>
                  </w:pPr>
                  <w:r>
                    <w:t>4#检验室</w:t>
                  </w:r>
                </w:p>
              </w:tc>
            </w:tr>
            <w:tr w14:paraId="08DBBB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7227F8D">
                  <w:pPr>
                    <w:pStyle w:val="83"/>
                    <w:rPr>
                      <w:rFonts w:hint="default"/>
                    </w:rPr>
                  </w:pPr>
                  <w:r>
                    <w:t>33</w:t>
                  </w:r>
                </w:p>
              </w:tc>
              <w:tc>
                <w:tcPr>
                  <w:tcW w:w="1896" w:type="pct"/>
                  <w:vAlign w:val="center"/>
                </w:tcPr>
                <w:p w14:paraId="31842568">
                  <w:pPr>
                    <w:pStyle w:val="83"/>
                    <w:rPr>
                      <w:rFonts w:hint="default"/>
                    </w:rPr>
                  </w:pPr>
                  <w:r>
                    <w:t>纺织品光蓄热性能测试仪</w:t>
                  </w:r>
                </w:p>
              </w:tc>
              <w:tc>
                <w:tcPr>
                  <w:tcW w:w="1171" w:type="pct"/>
                  <w:vAlign w:val="center"/>
                </w:tcPr>
                <w:p w14:paraId="359BD0D0">
                  <w:pPr>
                    <w:pStyle w:val="83"/>
                    <w:rPr>
                      <w:rFonts w:hint="default"/>
                    </w:rPr>
                  </w:pPr>
                  <w:r>
                    <w:t>YG(B)611MX</w:t>
                  </w:r>
                </w:p>
              </w:tc>
              <w:tc>
                <w:tcPr>
                  <w:tcW w:w="685" w:type="pct"/>
                  <w:vAlign w:val="center"/>
                </w:tcPr>
                <w:p w14:paraId="35A680B9">
                  <w:pPr>
                    <w:pStyle w:val="83"/>
                    <w:rPr>
                      <w:rFonts w:hint="default"/>
                    </w:rPr>
                  </w:pPr>
                  <w:r>
                    <w:t>1</w:t>
                  </w:r>
                </w:p>
              </w:tc>
              <w:tc>
                <w:tcPr>
                  <w:tcW w:w="866" w:type="pct"/>
                  <w:vAlign w:val="center"/>
                </w:tcPr>
                <w:p w14:paraId="4FA505C8">
                  <w:pPr>
                    <w:pStyle w:val="83"/>
                    <w:rPr>
                      <w:rFonts w:hint="default"/>
                    </w:rPr>
                  </w:pPr>
                  <w:r>
                    <w:t>4#检验室</w:t>
                  </w:r>
                </w:p>
              </w:tc>
            </w:tr>
            <w:tr w14:paraId="62D149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0C526A5">
                  <w:pPr>
                    <w:pStyle w:val="83"/>
                    <w:rPr>
                      <w:rFonts w:hint="default"/>
                    </w:rPr>
                  </w:pPr>
                  <w:r>
                    <w:t>34</w:t>
                  </w:r>
                </w:p>
              </w:tc>
              <w:tc>
                <w:tcPr>
                  <w:tcW w:w="1896" w:type="pct"/>
                  <w:vAlign w:val="center"/>
                </w:tcPr>
                <w:p w14:paraId="566886F2">
                  <w:pPr>
                    <w:pStyle w:val="83"/>
                    <w:rPr>
                      <w:rFonts w:hint="default"/>
                    </w:rPr>
                  </w:pPr>
                  <w:r>
                    <w:t>纺织品吸湿发热性能测试仪</w:t>
                  </w:r>
                </w:p>
              </w:tc>
              <w:tc>
                <w:tcPr>
                  <w:tcW w:w="1171" w:type="pct"/>
                  <w:vAlign w:val="center"/>
                </w:tcPr>
                <w:p w14:paraId="030DC743">
                  <w:pPr>
                    <w:pStyle w:val="83"/>
                    <w:rPr>
                      <w:rFonts w:hint="default"/>
                    </w:rPr>
                  </w:pPr>
                  <w:r>
                    <w:t>DR291F</w:t>
                  </w:r>
                </w:p>
              </w:tc>
              <w:tc>
                <w:tcPr>
                  <w:tcW w:w="685" w:type="pct"/>
                  <w:vAlign w:val="center"/>
                </w:tcPr>
                <w:p w14:paraId="42A2048B">
                  <w:pPr>
                    <w:pStyle w:val="83"/>
                    <w:rPr>
                      <w:rFonts w:hint="default"/>
                    </w:rPr>
                  </w:pPr>
                  <w:r>
                    <w:t>1</w:t>
                  </w:r>
                </w:p>
              </w:tc>
              <w:tc>
                <w:tcPr>
                  <w:tcW w:w="866" w:type="pct"/>
                  <w:vAlign w:val="center"/>
                </w:tcPr>
                <w:p w14:paraId="5C9532F8">
                  <w:pPr>
                    <w:pStyle w:val="83"/>
                    <w:rPr>
                      <w:rFonts w:hint="default"/>
                    </w:rPr>
                  </w:pPr>
                  <w:r>
                    <w:t>4#检验室</w:t>
                  </w:r>
                </w:p>
              </w:tc>
            </w:tr>
            <w:tr w14:paraId="1A41CC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1F24C6D">
                  <w:pPr>
                    <w:pStyle w:val="83"/>
                    <w:rPr>
                      <w:rFonts w:hint="default"/>
                    </w:rPr>
                  </w:pPr>
                  <w:r>
                    <w:t>35</w:t>
                  </w:r>
                </w:p>
              </w:tc>
              <w:tc>
                <w:tcPr>
                  <w:tcW w:w="1896" w:type="pct"/>
                  <w:vAlign w:val="center"/>
                </w:tcPr>
                <w:p w14:paraId="176AA0BB">
                  <w:pPr>
                    <w:pStyle w:val="83"/>
                    <w:rPr>
                      <w:rFonts w:hint="default"/>
                    </w:rPr>
                  </w:pPr>
                  <w:r>
                    <w:t>织物保温性能测试仪</w:t>
                  </w:r>
                </w:p>
              </w:tc>
              <w:tc>
                <w:tcPr>
                  <w:tcW w:w="1171" w:type="pct"/>
                  <w:vAlign w:val="center"/>
                </w:tcPr>
                <w:p w14:paraId="70A4E313">
                  <w:pPr>
                    <w:pStyle w:val="83"/>
                    <w:rPr>
                      <w:rFonts w:hint="default"/>
                    </w:rPr>
                  </w:pPr>
                  <w:r>
                    <w:t>YG(B)606E</w:t>
                  </w:r>
                </w:p>
              </w:tc>
              <w:tc>
                <w:tcPr>
                  <w:tcW w:w="685" w:type="pct"/>
                  <w:vAlign w:val="center"/>
                </w:tcPr>
                <w:p w14:paraId="00A83223">
                  <w:pPr>
                    <w:pStyle w:val="83"/>
                    <w:rPr>
                      <w:rFonts w:hint="default"/>
                    </w:rPr>
                  </w:pPr>
                  <w:r>
                    <w:t>1</w:t>
                  </w:r>
                </w:p>
              </w:tc>
              <w:tc>
                <w:tcPr>
                  <w:tcW w:w="866" w:type="pct"/>
                  <w:vAlign w:val="center"/>
                </w:tcPr>
                <w:p w14:paraId="4F982149">
                  <w:pPr>
                    <w:pStyle w:val="83"/>
                    <w:rPr>
                      <w:rFonts w:hint="default"/>
                    </w:rPr>
                  </w:pPr>
                  <w:r>
                    <w:t>4#检验室</w:t>
                  </w:r>
                </w:p>
              </w:tc>
            </w:tr>
            <w:tr w14:paraId="78E587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9560860">
                  <w:pPr>
                    <w:pStyle w:val="83"/>
                    <w:rPr>
                      <w:rFonts w:hint="default"/>
                    </w:rPr>
                  </w:pPr>
                  <w:r>
                    <w:t>36</w:t>
                  </w:r>
                </w:p>
              </w:tc>
              <w:tc>
                <w:tcPr>
                  <w:tcW w:w="1896" w:type="pct"/>
                  <w:vAlign w:val="center"/>
                </w:tcPr>
                <w:p w14:paraId="248C2A8F">
                  <w:pPr>
                    <w:pStyle w:val="83"/>
                    <w:rPr>
                      <w:rFonts w:hint="default"/>
                    </w:rPr>
                  </w:pPr>
                  <w:r>
                    <w:t>纺织品水分蒸发速率测试仪</w:t>
                  </w:r>
                </w:p>
              </w:tc>
              <w:tc>
                <w:tcPr>
                  <w:tcW w:w="1171" w:type="pct"/>
                  <w:vAlign w:val="center"/>
                </w:tcPr>
                <w:p w14:paraId="30498811">
                  <w:pPr>
                    <w:pStyle w:val="83"/>
                    <w:rPr>
                      <w:rFonts w:hint="default"/>
                    </w:rPr>
                  </w:pPr>
                  <w:r>
                    <w:t>DR290G</w:t>
                  </w:r>
                </w:p>
              </w:tc>
              <w:tc>
                <w:tcPr>
                  <w:tcW w:w="685" w:type="pct"/>
                  <w:vAlign w:val="center"/>
                </w:tcPr>
                <w:p w14:paraId="0FF5BF08">
                  <w:pPr>
                    <w:pStyle w:val="83"/>
                    <w:rPr>
                      <w:rFonts w:hint="default"/>
                    </w:rPr>
                  </w:pPr>
                  <w:r>
                    <w:t>1</w:t>
                  </w:r>
                </w:p>
              </w:tc>
              <w:tc>
                <w:tcPr>
                  <w:tcW w:w="866" w:type="pct"/>
                  <w:vAlign w:val="center"/>
                </w:tcPr>
                <w:p w14:paraId="61AE5AFD">
                  <w:pPr>
                    <w:pStyle w:val="83"/>
                    <w:rPr>
                      <w:rFonts w:hint="default"/>
                    </w:rPr>
                  </w:pPr>
                  <w:r>
                    <w:t>4#检验室</w:t>
                  </w:r>
                </w:p>
              </w:tc>
            </w:tr>
            <w:tr w14:paraId="73B7A5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89AB921">
                  <w:pPr>
                    <w:pStyle w:val="83"/>
                    <w:rPr>
                      <w:rFonts w:hint="default"/>
                    </w:rPr>
                  </w:pPr>
                  <w:r>
                    <w:t>37</w:t>
                  </w:r>
                </w:p>
              </w:tc>
              <w:tc>
                <w:tcPr>
                  <w:tcW w:w="1896" w:type="pct"/>
                  <w:vAlign w:val="center"/>
                </w:tcPr>
                <w:p w14:paraId="02BCDA2B">
                  <w:pPr>
                    <w:pStyle w:val="83"/>
                    <w:rPr>
                      <w:rFonts w:hint="default"/>
                    </w:rPr>
                  </w:pPr>
                  <w:r>
                    <w:t>纺织品液态水分传递性能测试仪</w:t>
                  </w:r>
                </w:p>
              </w:tc>
              <w:tc>
                <w:tcPr>
                  <w:tcW w:w="1171" w:type="pct"/>
                  <w:vAlign w:val="center"/>
                </w:tcPr>
                <w:p w14:paraId="220A596C">
                  <w:pPr>
                    <w:pStyle w:val="83"/>
                    <w:rPr>
                      <w:rFonts w:hint="default"/>
                    </w:rPr>
                  </w:pPr>
                  <w:r>
                    <w:t>DR290MC</w:t>
                  </w:r>
                </w:p>
              </w:tc>
              <w:tc>
                <w:tcPr>
                  <w:tcW w:w="685" w:type="pct"/>
                  <w:vAlign w:val="center"/>
                </w:tcPr>
                <w:p w14:paraId="021547C0">
                  <w:pPr>
                    <w:pStyle w:val="83"/>
                    <w:rPr>
                      <w:rFonts w:hint="default"/>
                    </w:rPr>
                  </w:pPr>
                  <w:r>
                    <w:t>1</w:t>
                  </w:r>
                </w:p>
              </w:tc>
              <w:tc>
                <w:tcPr>
                  <w:tcW w:w="866" w:type="pct"/>
                  <w:vAlign w:val="center"/>
                </w:tcPr>
                <w:p w14:paraId="056E4E1F">
                  <w:pPr>
                    <w:pStyle w:val="83"/>
                    <w:rPr>
                      <w:rFonts w:hint="default"/>
                    </w:rPr>
                  </w:pPr>
                  <w:r>
                    <w:t>4#检验室</w:t>
                  </w:r>
                </w:p>
              </w:tc>
            </w:tr>
            <w:tr w14:paraId="0279A7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75BA0F9">
                  <w:pPr>
                    <w:pStyle w:val="83"/>
                    <w:rPr>
                      <w:rFonts w:hint="default"/>
                    </w:rPr>
                  </w:pPr>
                  <w:r>
                    <w:t>38</w:t>
                  </w:r>
                </w:p>
              </w:tc>
              <w:tc>
                <w:tcPr>
                  <w:tcW w:w="1896" w:type="pct"/>
                  <w:vAlign w:val="center"/>
                </w:tcPr>
                <w:p w14:paraId="413B57EF">
                  <w:pPr>
                    <w:pStyle w:val="83"/>
                    <w:rPr>
                      <w:rFonts w:hint="default"/>
                    </w:rPr>
                  </w:pPr>
                  <w:r>
                    <w:t>织物透气性能测试仪</w:t>
                  </w:r>
                </w:p>
              </w:tc>
              <w:tc>
                <w:tcPr>
                  <w:tcW w:w="1171" w:type="pct"/>
                  <w:vAlign w:val="center"/>
                </w:tcPr>
                <w:p w14:paraId="1CA93FBF">
                  <w:pPr>
                    <w:pStyle w:val="83"/>
                    <w:rPr>
                      <w:rFonts w:hint="default"/>
                    </w:rPr>
                  </w:pPr>
                  <w:r>
                    <w:t>YG(B)461EC</w:t>
                  </w:r>
                </w:p>
              </w:tc>
              <w:tc>
                <w:tcPr>
                  <w:tcW w:w="685" w:type="pct"/>
                  <w:vAlign w:val="center"/>
                </w:tcPr>
                <w:p w14:paraId="23FF46A6">
                  <w:pPr>
                    <w:pStyle w:val="83"/>
                    <w:rPr>
                      <w:rFonts w:hint="default"/>
                    </w:rPr>
                  </w:pPr>
                  <w:r>
                    <w:t>1</w:t>
                  </w:r>
                </w:p>
              </w:tc>
              <w:tc>
                <w:tcPr>
                  <w:tcW w:w="866" w:type="pct"/>
                  <w:vAlign w:val="center"/>
                </w:tcPr>
                <w:p w14:paraId="134613FE">
                  <w:pPr>
                    <w:pStyle w:val="83"/>
                    <w:rPr>
                      <w:rFonts w:hint="default"/>
                    </w:rPr>
                  </w:pPr>
                  <w:r>
                    <w:t>4#检验室</w:t>
                  </w:r>
                </w:p>
              </w:tc>
            </w:tr>
            <w:tr w14:paraId="29A05D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02B1E57">
                  <w:pPr>
                    <w:pStyle w:val="83"/>
                    <w:rPr>
                      <w:rFonts w:hint="default"/>
                    </w:rPr>
                  </w:pPr>
                  <w:r>
                    <w:t>39</w:t>
                  </w:r>
                </w:p>
              </w:tc>
              <w:tc>
                <w:tcPr>
                  <w:tcW w:w="1896" w:type="pct"/>
                  <w:vAlign w:val="center"/>
                </w:tcPr>
                <w:p w14:paraId="6137A5C7">
                  <w:pPr>
                    <w:pStyle w:val="83"/>
                    <w:rPr>
                      <w:rFonts w:hint="default"/>
                    </w:rPr>
                  </w:pPr>
                  <w:r>
                    <w:t>织物透湿量仪</w:t>
                  </w:r>
                </w:p>
              </w:tc>
              <w:tc>
                <w:tcPr>
                  <w:tcW w:w="1171" w:type="pct"/>
                  <w:vAlign w:val="center"/>
                </w:tcPr>
                <w:p w14:paraId="2EDFC0A6">
                  <w:pPr>
                    <w:pStyle w:val="83"/>
                    <w:rPr>
                      <w:rFonts w:hint="default"/>
                    </w:rPr>
                  </w:pPr>
                  <w:r>
                    <w:t>YG(B)216G</w:t>
                  </w:r>
                </w:p>
              </w:tc>
              <w:tc>
                <w:tcPr>
                  <w:tcW w:w="685" w:type="pct"/>
                  <w:vAlign w:val="center"/>
                </w:tcPr>
                <w:p w14:paraId="58EE75B9">
                  <w:pPr>
                    <w:pStyle w:val="83"/>
                    <w:rPr>
                      <w:rFonts w:hint="default"/>
                    </w:rPr>
                  </w:pPr>
                  <w:r>
                    <w:t>1</w:t>
                  </w:r>
                </w:p>
              </w:tc>
              <w:tc>
                <w:tcPr>
                  <w:tcW w:w="866" w:type="pct"/>
                  <w:vAlign w:val="center"/>
                </w:tcPr>
                <w:p w14:paraId="4F2716BE">
                  <w:pPr>
                    <w:pStyle w:val="83"/>
                    <w:rPr>
                      <w:rFonts w:hint="default"/>
                    </w:rPr>
                  </w:pPr>
                  <w:r>
                    <w:t>4#检验室</w:t>
                  </w:r>
                </w:p>
              </w:tc>
            </w:tr>
            <w:tr w14:paraId="55CF41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82B0A5D">
                  <w:pPr>
                    <w:pStyle w:val="83"/>
                    <w:rPr>
                      <w:rFonts w:hint="default"/>
                    </w:rPr>
                  </w:pPr>
                  <w:r>
                    <w:t>40</w:t>
                  </w:r>
                </w:p>
              </w:tc>
              <w:tc>
                <w:tcPr>
                  <w:tcW w:w="1896" w:type="pct"/>
                  <w:vAlign w:val="center"/>
                </w:tcPr>
                <w:p w14:paraId="76394722">
                  <w:pPr>
                    <w:pStyle w:val="83"/>
                    <w:rPr>
                      <w:rFonts w:hint="default"/>
                    </w:rPr>
                  </w:pPr>
                  <w:r>
                    <w:t>织物感应式静电测定仪</w:t>
                  </w:r>
                </w:p>
              </w:tc>
              <w:tc>
                <w:tcPr>
                  <w:tcW w:w="1171" w:type="pct"/>
                  <w:vAlign w:val="center"/>
                </w:tcPr>
                <w:p w14:paraId="0E6AC9C8">
                  <w:pPr>
                    <w:pStyle w:val="83"/>
                    <w:rPr>
                      <w:rFonts w:hint="default"/>
                    </w:rPr>
                  </w:pPr>
                  <w:r>
                    <w:t>YG(B)342D</w:t>
                  </w:r>
                </w:p>
              </w:tc>
              <w:tc>
                <w:tcPr>
                  <w:tcW w:w="685" w:type="pct"/>
                  <w:vAlign w:val="center"/>
                </w:tcPr>
                <w:p w14:paraId="31CBBCD2">
                  <w:pPr>
                    <w:pStyle w:val="83"/>
                    <w:rPr>
                      <w:rFonts w:hint="default"/>
                    </w:rPr>
                  </w:pPr>
                  <w:r>
                    <w:t>1</w:t>
                  </w:r>
                </w:p>
              </w:tc>
              <w:tc>
                <w:tcPr>
                  <w:tcW w:w="866" w:type="pct"/>
                  <w:vAlign w:val="center"/>
                </w:tcPr>
                <w:p w14:paraId="7017A2D9">
                  <w:pPr>
                    <w:pStyle w:val="83"/>
                    <w:rPr>
                      <w:rFonts w:hint="default"/>
                    </w:rPr>
                  </w:pPr>
                  <w:r>
                    <w:t>4#检验室</w:t>
                  </w:r>
                </w:p>
              </w:tc>
            </w:tr>
            <w:tr w14:paraId="706E262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B1120F9">
                  <w:pPr>
                    <w:pStyle w:val="83"/>
                    <w:rPr>
                      <w:rFonts w:hint="default"/>
                    </w:rPr>
                  </w:pPr>
                  <w:r>
                    <w:t>41</w:t>
                  </w:r>
                </w:p>
              </w:tc>
              <w:tc>
                <w:tcPr>
                  <w:tcW w:w="1896" w:type="pct"/>
                  <w:vAlign w:val="center"/>
                </w:tcPr>
                <w:p w14:paraId="2B2AB6E4">
                  <w:pPr>
                    <w:pStyle w:val="83"/>
                    <w:rPr>
                      <w:rFonts w:hint="default"/>
                    </w:rPr>
                  </w:pPr>
                  <w:r>
                    <w:t>织物电阻率测试仪</w:t>
                  </w:r>
                </w:p>
              </w:tc>
              <w:tc>
                <w:tcPr>
                  <w:tcW w:w="1171" w:type="pct"/>
                  <w:vAlign w:val="center"/>
                </w:tcPr>
                <w:p w14:paraId="20B718C7">
                  <w:pPr>
                    <w:pStyle w:val="83"/>
                    <w:rPr>
                      <w:rFonts w:hint="default"/>
                    </w:rPr>
                  </w:pPr>
                  <w:r>
                    <w:t>YG(B)406</w:t>
                  </w:r>
                </w:p>
              </w:tc>
              <w:tc>
                <w:tcPr>
                  <w:tcW w:w="685" w:type="pct"/>
                  <w:vAlign w:val="center"/>
                </w:tcPr>
                <w:p w14:paraId="2B3E5CDE">
                  <w:pPr>
                    <w:pStyle w:val="83"/>
                    <w:rPr>
                      <w:rFonts w:hint="default"/>
                    </w:rPr>
                  </w:pPr>
                  <w:r>
                    <w:t>1</w:t>
                  </w:r>
                </w:p>
              </w:tc>
              <w:tc>
                <w:tcPr>
                  <w:tcW w:w="866" w:type="pct"/>
                  <w:vAlign w:val="center"/>
                </w:tcPr>
                <w:p w14:paraId="127D6A92">
                  <w:pPr>
                    <w:pStyle w:val="83"/>
                    <w:rPr>
                      <w:rFonts w:hint="default"/>
                    </w:rPr>
                  </w:pPr>
                  <w:r>
                    <w:t>4#检验室</w:t>
                  </w:r>
                </w:p>
              </w:tc>
            </w:tr>
            <w:tr w14:paraId="7E0712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CBB5C98">
                  <w:pPr>
                    <w:pStyle w:val="83"/>
                    <w:rPr>
                      <w:rFonts w:hint="default"/>
                    </w:rPr>
                  </w:pPr>
                  <w:r>
                    <w:t>42</w:t>
                  </w:r>
                </w:p>
              </w:tc>
              <w:tc>
                <w:tcPr>
                  <w:tcW w:w="1896" w:type="pct"/>
                  <w:vAlign w:val="center"/>
                </w:tcPr>
                <w:p w14:paraId="4ADC21BD">
                  <w:pPr>
                    <w:pStyle w:val="83"/>
                    <w:rPr>
                      <w:rFonts w:hint="default"/>
                    </w:rPr>
                  </w:pPr>
                  <w:r>
                    <w:t>织物摩擦电荷量测试仪</w:t>
                  </w:r>
                </w:p>
              </w:tc>
              <w:tc>
                <w:tcPr>
                  <w:tcW w:w="1171" w:type="pct"/>
                  <w:vAlign w:val="center"/>
                </w:tcPr>
                <w:p w14:paraId="7A07266D">
                  <w:pPr>
                    <w:pStyle w:val="83"/>
                    <w:rPr>
                      <w:rFonts w:hint="default"/>
                    </w:rPr>
                  </w:pPr>
                  <w:r>
                    <w:t>YG(B)403</w:t>
                  </w:r>
                </w:p>
              </w:tc>
              <w:tc>
                <w:tcPr>
                  <w:tcW w:w="685" w:type="pct"/>
                  <w:vAlign w:val="center"/>
                </w:tcPr>
                <w:p w14:paraId="7F5A0A78">
                  <w:pPr>
                    <w:pStyle w:val="83"/>
                    <w:rPr>
                      <w:rFonts w:hint="default"/>
                    </w:rPr>
                  </w:pPr>
                  <w:r>
                    <w:t>1</w:t>
                  </w:r>
                </w:p>
              </w:tc>
              <w:tc>
                <w:tcPr>
                  <w:tcW w:w="866" w:type="pct"/>
                  <w:vAlign w:val="center"/>
                </w:tcPr>
                <w:p w14:paraId="3C50ACEF">
                  <w:pPr>
                    <w:pStyle w:val="83"/>
                    <w:rPr>
                      <w:rFonts w:hint="default"/>
                    </w:rPr>
                  </w:pPr>
                  <w:r>
                    <w:t>4#检验室</w:t>
                  </w:r>
                </w:p>
              </w:tc>
            </w:tr>
            <w:tr w14:paraId="77FE95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0667BD4">
                  <w:pPr>
                    <w:pStyle w:val="83"/>
                    <w:rPr>
                      <w:rFonts w:hint="default"/>
                    </w:rPr>
                  </w:pPr>
                  <w:r>
                    <w:t>43</w:t>
                  </w:r>
                </w:p>
              </w:tc>
              <w:tc>
                <w:tcPr>
                  <w:tcW w:w="1896" w:type="pct"/>
                  <w:vAlign w:val="center"/>
                </w:tcPr>
                <w:p w14:paraId="26A96370">
                  <w:pPr>
                    <w:pStyle w:val="83"/>
                    <w:rPr>
                      <w:rFonts w:hint="default"/>
                    </w:rPr>
                  </w:pPr>
                  <w:r>
                    <w:t>织物防电磁辐射性能测试仪</w:t>
                  </w:r>
                </w:p>
              </w:tc>
              <w:tc>
                <w:tcPr>
                  <w:tcW w:w="1171" w:type="pct"/>
                  <w:vAlign w:val="center"/>
                </w:tcPr>
                <w:p w14:paraId="4B58770F">
                  <w:pPr>
                    <w:pStyle w:val="83"/>
                    <w:rPr>
                      <w:rFonts w:hint="default"/>
                    </w:rPr>
                  </w:pPr>
                  <w:r>
                    <w:t>DR-913G</w:t>
                  </w:r>
                </w:p>
              </w:tc>
              <w:tc>
                <w:tcPr>
                  <w:tcW w:w="685" w:type="pct"/>
                  <w:vAlign w:val="center"/>
                </w:tcPr>
                <w:p w14:paraId="1BDC5D35">
                  <w:pPr>
                    <w:pStyle w:val="83"/>
                    <w:rPr>
                      <w:rFonts w:hint="default"/>
                    </w:rPr>
                  </w:pPr>
                  <w:r>
                    <w:t>1</w:t>
                  </w:r>
                </w:p>
              </w:tc>
              <w:tc>
                <w:tcPr>
                  <w:tcW w:w="866" w:type="pct"/>
                  <w:vAlign w:val="center"/>
                </w:tcPr>
                <w:p w14:paraId="6FF07D2A">
                  <w:pPr>
                    <w:pStyle w:val="83"/>
                    <w:rPr>
                      <w:rFonts w:hint="default"/>
                    </w:rPr>
                  </w:pPr>
                  <w:r>
                    <w:t>4#检验室</w:t>
                  </w:r>
                </w:p>
              </w:tc>
            </w:tr>
            <w:tr w14:paraId="7B9030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CCBF92C">
                  <w:pPr>
                    <w:pStyle w:val="83"/>
                    <w:rPr>
                      <w:rFonts w:hint="default"/>
                    </w:rPr>
                  </w:pPr>
                  <w:r>
                    <w:t>44</w:t>
                  </w:r>
                </w:p>
              </w:tc>
              <w:tc>
                <w:tcPr>
                  <w:tcW w:w="1896" w:type="pct"/>
                  <w:vAlign w:val="center"/>
                </w:tcPr>
                <w:p w14:paraId="38230219">
                  <w:pPr>
                    <w:pStyle w:val="83"/>
                    <w:rPr>
                      <w:rFonts w:hint="default"/>
                    </w:rPr>
                  </w:pPr>
                  <w:r>
                    <w:t>马丁代尔耐磨仪</w:t>
                  </w:r>
                </w:p>
              </w:tc>
              <w:tc>
                <w:tcPr>
                  <w:tcW w:w="1171" w:type="pct"/>
                  <w:vAlign w:val="center"/>
                </w:tcPr>
                <w:p w14:paraId="32144F53">
                  <w:pPr>
                    <w:pStyle w:val="83"/>
                    <w:rPr>
                      <w:rFonts w:hint="default"/>
                    </w:rPr>
                  </w:pPr>
                  <w:r>
                    <w:t>YG(B)401T</w:t>
                  </w:r>
                </w:p>
              </w:tc>
              <w:tc>
                <w:tcPr>
                  <w:tcW w:w="685" w:type="pct"/>
                  <w:vAlign w:val="center"/>
                </w:tcPr>
                <w:p w14:paraId="5033FF9D">
                  <w:pPr>
                    <w:pStyle w:val="83"/>
                    <w:rPr>
                      <w:rFonts w:hint="default"/>
                    </w:rPr>
                  </w:pPr>
                  <w:r>
                    <w:t>1</w:t>
                  </w:r>
                </w:p>
              </w:tc>
              <w:tc>
                <w:tcPr>
                  <w:tcW w:w="866" w:type="pct"/>
                  <w:vAlign w:val="center"/>
                </w:tcPr>
                <w:p w14:paraId="75E2096A">
                  <w:pPr>
                    <w:pStyle w:val="83"/>
                    <w:rPr>
                      <w:rFonts w:hint="default"/>
                    </w:rPr>
                  </w:pPr>
                  <w:r>
                    <w:t>4#检验室</w:t>
                  </w:r>
                </w:p>
              </w:tc>
            </w:tr>
            <w:tr w14:paraId="4DD572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5A093A8">
                  <w:pPr>
                    <w:pStyle w:val="83"/>
                    <w:rPr>
                      <w:rFonts w:hint="default"/>
                    </w:rPr>
                  </w:pPr>
                  <w:r>
                    <w:t>45</w:t>
                  </w:r>
                </w:p>
              </w:tc>
              <w:tc>
                <w:tcPr>
                  <w:tcW w:w="1896" w:type="pct"/>
                  <w:vAlign w:val="center"/>
                </w:tcPr>
                <w:p w14:paraId="5C4D7E0E">
                  <w:pPr>
                    <w:pStyle w:val="83"/>
                    <w:rPr>
                      <w:rFonts w:hint="default"/>
                    </w:rPr>
                  </w:pPr>
                  <w:r>
                    <w:t>织物沾水度测定仪</w:t>
                  </w:r>
                </w:p>
              </w:tc>
              <w:tc>
                <w:tcPr>
                  <w:tcW w:w="1171" w:type="pct"/>
                  <w:vAlign w:val="center"/>
                </w:tcPr>
                <w:p w14:paraId="23E9B9C0">
                  <w:pPr>
                    <w:pStyle w:val="83"/>
                    <w:rPr>
                      <w:rFonts w:hint="default"/>
                    </w:rPr>
                  </w:pPr>
                  <w:r>
                    <w:t>Y(B)813</w:t>
                  </w:r>
                </w:p>
              </w:tc>
              <w:tc>
                <w:tcPr>
                  <w:tcW w:w="685" w:type="pct"/>
                  <w:vAlign w:val="center"/>
                </w:tcPr>
                <w:p w14:paraId="5887CC59">
                  <w:pPr>
                    <w:pStyle w:val="83"/>
                    <w:rPr>
                      <w:rFonts w:hint="default"/>
                    </w:rPr>
                  </w:pPr>
                  <w:r>
                    <w:t>1</w:t>
                  </w:r>
                </w:p>
              </w:tc>
              <w:tc>
                <w:tcPr>
                  <w:tcW w:w="866" w:type="pct"/>
                  <w:vAlign w:val="center"/>
                </w:tcPr>
                <w:p w14:paraId="6CB744C0">
                  <w:pPr>
                    <w:pStyle w:val="83"/>
                    <w:rPr>
                      <w:rFonts w:hint="default"/>
                    </w:rPr>
                  </w:pPr>
                  <w:r>
                    <w:t>4#检验室</w:t>
                  </w:r>
                </w:p>
              </w:tc>
            </w:tr>
            <w:tr w14:paraId="38D164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094E453">
                  <w:pPr>
                    <w:pStyle w:val="83"/>
                    <w:rPr>
                      <w:rFonts w:hint="default"/>
                    </w:rPr>
                  </w:pPr>
                  <w:r>
                    <w:t>46</w:t>
                  </w:r>
                </w:p>
              </w:tc>
              <w:tc>
                <w:tcPr>
                  <w:tcW w:w="1896" w:type="pct"/>
                  <w:vAlign w:val="center"/>
                </w:tcPr>
                <w:p w14:paraId="3B07F442">
                  <w:pPr>
                    <w:pStyle w:val="83"/>
                    <w:rPr>
                      <w:rFonts w:hint="default"/>
                    </w:rPr>
                  </w:pPr>
                  <w:r>
                    <w:t>织物阻燃性能测试仪45°方向</w:t>
                  </w:r>
                </w:p>
              </w:tc>
              <w:tc>
                <w:tcPr>
                  <w:tcW w:w="1171" w:type="pct"/>
                  <w:vAlign w:val="center"/>
                </w:tcPr>
                <w:p w14:paraId="3B3252FB">
                  <w:pPr>
                    <w:pStyle w:val="83"/>
                    <w:rPr>
                      <w:rFonts w:hint="default"/>
                    </w:rPr>
                  </w:pPr>
                  <w:r>
                    <w:t>YG(B)815D-IV</w:t>
                  </w:r>
                </w:p>
              </w:tc>
              <w:tc>
                <w:tcPr>
                  <w:tcW w:w="685" w:type="pct"/>
                  <w:vAlign w:val="center"/>
                </w:tcPr>
                <w:p w14:paraId="14A63A35">
                  <w:pPr>
                    <w:pStyle w:val="83"/>
                    <w:rPr>
                      <w:rFonts w:hint="default"/>
                    </w:rPr>
                  </w:pPr>
                  <w:r>
                    <w:t>1</w:t>
                  </w:r>
                </w:p>
              </w:tc>
              <w:tc>
                <w:tcPr>
                  <w:tcW w:w="866" w:type="pct"/>
                  <w:vAlign w:val="center"/>
                </w:tcPr>
                <w:p w14:paraId="4813C09F">
                  <w:pPr>
                    <w:pStyle w:val="83"/>
                    <w:rPr>
                      <w:rFonts w:hint="default"/>
                    </w:rPr>
                  </w:pPr>
                  <w:r>
                    <w:t>6#检验室</w:t>
                  </w:r>
                </w:p>
              </w:tc>
            </w:tr>
            <w:tr w14:paraId="5D8709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40AAE44">
                  <w:pPr>
                    <w:pStyle w:val="83"/>
                    <w:rPr>
                      <w:rFonts w:hint="default"/>
                    </w:rPr>
                  </w:pPr>
                  <w:r>
                    <w:t>47</w:t>
                  </w:r>
                </w:p>
              </w:tc>
              <w:tc>
                <w:tcPr>
                  <w:tcW w:w="1896" w:type="pct"/>
                  <w:vAlign w:val="center"/>
                </w:tcPr>
                <w:p w14:paraId="38CC4005">
                  <w:pPr>
                    <w:pStyle w:val="83"/>
                    <w:rPr>
                      <w:rFonts w:hint="default"/>
                    </w:rPr>
                  </w:pPr>
                  <w:r>
                    <w:t>织物阻燃性能测试仪水平方向</w:t>
                  </w:r>
                </w:p>
              </w:tc>
              <w:tc>
                <w:tcPr>
                  <w:tcW w:w="1171" w:type="pct"/>
                  <w:vAlign w:val="center"/>
                </w:tcPr>
                <w:p w14:paraId="0EC0C714">
                  <w:pPr>
                    <w:pStyle w:val="83"/>
                    <w:rPr>
                      <w:rFonts w:hint="default"/>
                    </w:rPr>
                  </w:pPr>
                  <w:r>
                    <w:t>YG(B)815D-II</w:t>
                  </w:r>
                </w:p>
              </w:tc>
              <w:tc>
                <w:tcPr>
                  <w:tcW w:w="685" w:type="pct"/>
                  <w:vAlign w:val="center"/>
                </w:tcPr>
                <w:p w14:paraId="14A1F3C7">
                  <w:pPr>
                    <w:pStyle w:val="83"/>
                    <w:rPr>
                      <w:rFonts w:hint="default"/>
                    </w:rPr>
                  </w:pPr>
                  <w:r>
                    <w:t>1</w:t>
                  </w:r>
                </w:p>
              </w:tc>
              <w:tc>
                <w:tcPr>
                  <w:tcW w:w="866" w:type="pct"/>
                  <w:vAlign w:val="center"/>
                </w:tcPr>
                <w:p w14:paraId="2411E4E6">
                  <w:pPr>
                    <w:pStyle w:val="83"/>
                    <w:rPr>
                      <w:rFonts w:hint="default"/>
                    </w:rPr>
                  </w:pPr>
                  <w:r>
                    <w:t>6#检验室</w:t>
                  </w:r>
                </w:p>
              </w:tc>
            </w:tr>
            <w:tr w14:paraId="26CE45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087F558">
                  <w:pPr>
                    <w:pStyle w:val="83"/>
                    <w:rPr>
                      <w:rFonts w:hint="default"/>
                    </w:rPr>
                  </w:pPr>
                  <w:r>
                    <w:t>48</w:t>
                  </w:r>
                </w:p>
              </w:tc>
              <w:tc>
                <w:tcPr>
                  <w:tcW w:w="1896" w:type="pct"/>
                  <w:vAlign w:val="center"/>
                </w:tcPr>
                <w:p w14:paraId="1ADC04BE">
                  <w:pPr>
                    <w:pStyle w:val="83"/>
                    <w:rPr>
                      <w:rFonts w:hint="default"/>
                    </w:rPr>
                  </w:pPr>
                  <w:r>
                    <w:t>织物阻燃性能测试仪垂直方向</w:t>
                  </w:r>
                </w:p>
              </w:tc>
              <w:tc>
                <w:tcPr>
                  <w:tcW w:w="1171" w:type="pct"/>
                  <w:vAlign w:val="center"/>
                </w:tcPr>
                <w:p w14:paraId="05AEA35A">
                  <w:pPr>
                    <w:pStyle w:val="83"/>
                    <w:rPr>
                      <w:rFonts w:hint="default"/>
                    </w:rPr>
                  </w:pPr>
                  <w:r>
                    <w:t>YG(B)815D-I</w:t>
                  </w:r>
                </w:p>
              </w:tc>
              <w:tc>
                <w:tcPr>
                  <w:tcW w:w="685" w:type="pct"/>
                  <w:vAlign w:val="center"/>
                </w:tcPr>
                <w:p w14:paraId="17BD5B43">
                  <w:pPr>
                    <w:pStyle w:val="83"/>
                    <w:rPr>
                      <w:rFonts w:hint="default"/>
                    </w:rPr>
                  </w:pPr>
                  <w:r>
                    <w:t>1</w:t>
                  </w:r>
                </w:p>
              </w:tc>
              <w:tc>
                <w:tcPr>
                  <w:tcW w:w="866" w:type="pct"/>
                  <w:vAlign w:val="center"/>
                </w:tcPr>
                <w:p w14:paraId="5662C938">
                  <w:pPr>
                    <w:pStyle w:val="83"/>
                    <w:rPr>
                      <w:rFonts w:hint="default"/>
                    </w:rPr>
                  </w:pPr>
                  <w:r>
                    <w:t>6#检验室</w:t>
                  </w:r>
                </w:p>
              </w:tc>
            </w:tr>
            <w:tr w14:paraId="3BCF0D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258CF38">
                  <w:pPr>
                    <w:pStyle w:val="83"/>
                    <w:rPr>
                      <w:rFonts w:hint="default"/>
                    </w:rPr>
                  </w:pPr>
                  <w:r>
                    <w:t>49</w:t>
                  </w:r>
                </w:p>
              </w:tc>
              <w:tc>
                <w:tcPr>
                  <w:tcW w:w="1896" w:type="pct"/>
                  <w:vAlign w:val="center"/>
                </w:tcPr>
                <w:p w14:paraId="341279F3">
                  <w:pPr>
                    <w:pStyle w:val="83"/>
                    <w:rPr>
                      <w:rFonts w:hint="default"/>
                    </w:rPr>
                  </w:pPr>
                  <w:r>
                    <w:t>抗紫外性能测试仪</w:t>
                  </w:r>
                </w:p>
              </w:tc>
              <w:tc>
                <w:tcPr>
                  <w:tcW w:w="1171" w:type="pct"/>
                  <w:vAlign w:val="center"/>
                </w:tcPr>
                <w:p w14:paraId="43DD3A9D">
                  <w:pPr>
                    <w:pStyle w:val="83"/>
                    <w:rPr>
                      <w:rFonts w:hint="default"/>
                    </w:rPr>
                  </w:pPr>
                  <w:r>
                    <w:t>YG(B)912E型</w:t>
                  </w:r>
                </w:p>
              </w:tc>
              <w:tc>
                <w:tcPr>
                  <w:tcW w:w="685" w:type="pct"/>
                  <w:vAlign w:val="center"/>
                </w:tcPr>
                <w:p w14:paraId="191E82FD">
                  <w:pPr>
                    <w:pStyle w:val="83"/>
                    <w:rPr>
                      <w:rFonts w:hint="default"/>
                    </w:rPr>
                  </w:pPr>
                  <w:r>
                    <w:t>1</w:t>
                  </w:r>
                </w:p>
              </w:tc>
              <w:tc>
                <w:tcPr>
                  <w:tcW w:w="866" w:type="pct"/>
                  <w:vAlign w:val="center"/>
                </w:tcPr>
                <w:p w14:paraId="4293D13E">
                  <w:pPr>
                    <w:pStyle w:val="83"/>
                    <w:rPr>
                      <w:rFonts w:hint="default"/>
                    </w:rPr>
                  </w:pPr>
                  <w:r>
                    <w:t>4#检验室</w:t>
                  </w:r>
                </w:p>
              </w:tc>
            </w:tr>
            <w:tr w14:paraId="710301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13BD593">
                  <w:pPr>
                    <w:pStyle w:val="83"/>
                    <w:rPr>
                      <w:rFonts w:hint="default"/>
                    </w:rPr>
                  </w:pPr>
                  <w:r>
                    <w:t>50</w:t>
                  </w:r>
                </w:p>
              </w:tc>
              <w:tc>
                <w:tcPr>
                  <w:tcW w:w="1896" w:type="pct"/>
                  <w:vAlign w:val="center"/>
                </w:tcPr>
                <w:p w14:paraId="3F7D17E8">
                  <w:pPr>
                    <w:pStyle w:val="83"/>
                    <w:rPr>
                      <w:rFonts w:hint="default"/>
                    </w:rPr>
                  </w:pPr>
                  <w:r>
                    <w:t>织物凉感性能测试仪</w:t>
                  </w:r>
                </w:p>
              </w:tc>
              <w:tc>
                <w:tcPr>
                  <w:tcW w:w="1171" w:type="pct"/>
                  <w:vAlign w:val="center"/>
                </w:tcPr>
                <w:p w14:paraId="3D0AFF44">
                  <w:pPr>
                    <w:pStyle w:val="83"/>
                    <w:rPr>
                      <w:rFonts w:hint="default"/>
                    </w:rPr>
                  </w:pPr>
                  <w:r>
                    <w:t>YG(B)616NC</w:t>
                  </w:r>
                </w:p>
              </w:tc>
              <w:tc>
                <w:tcPr>
                  <w:tcW w:w="685" w:type="pct"/>
                  <w:vAlign w:val="center"/>
                </w:tcPr>
                <w:p w14:paraId="69EFA154">
                  <w:pPr>
                    <w:pStyle w:val="83"/>
                    <w:rPr>
                      <w:rFonts w:hint="default"/>
                    </w:rPr>
                  </w:pPr>
                  <w:r>
                    <w:t>1</w:t>
                  </w:r>
                </w:p>
              </w:tc>
              <w:tc>
                <w:tcPr>
                  <w:tcW w:w="866" w:type="pct"/>
                  <w:vAlign w:val="center"/>
                </w:tcPr>
                <w:p w14:paraId="290CF440">
                  <w:pPr>
                    <w:pStyle w:val="83"/>
                    <w:rPr>
                      <w:rFonts w:hint="default"/>
                    </w:rPr>
                  </w:pPr>
                  <w:r>
                    <w:t>4#检验室</w:t>
                  </w:r>
                </w:p>
              </w:tc>
            </w:tr>
            <w:tr w14:paraId="7601B7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B6A2644">
                  <w:pPr>
                    <w:pStyle w:val="83"/>
                    <w:rPr>
                      <w:rFonts w:hint="default"/>
                    </w:rPr>
                  </w:pPr>
                  <w:r>
                    <w:t>51</w:t>
                  </w:r>
                </w:p>
              </w:tc>
              <w:tc>
                <w:tcPr>
                  <w:tcW w:w="1896" w:type="pct"/>
                  <w:vAlign w:val="center"/>
                </w:tcPr>
                <w:p w14:paraId="524AC91B">
                  <w:pPr>
                    <w:pStyle w:val="83"/>
                    <w:rPr>
                      <w:rFonts w:hint="default"/>
                    </w:rPr>
                  </w:pPr>
                  <w:r>
                    <w:t>全自动水分灰分测试仪</w:t>
                  </w:r>
                </w:p>
              </w:tc>
              <w:tc>
                <w:tcPr>
                  <w:tcW w:w="1171" w:type="pct"/>
                  <w:vAlign w:val="center"/>
                </w:tcPr>
                <w:p w14:paraId="1A11F8D0">
                  <w:pPr>
                    <w:pStyle w:val="83"/>
                    <w:rPr>
                      <w:rFonts w:hint="default"/>
                    </w:rPr>
                  </w:pPr>
                  <w:r>
                    <w:t>MA2735</w:t>
                  </w:r>
                </w:p>
              </w:tc>
              <w:tc>
                <w:tcPr>
                  <w:tcW w:w="685" w:type="pct"/>
                  <w:vAlign w:val="center"/>
                </w:tcPr>
                <w:p w14:paraId="3E82FB89">
                  <w:pPr>
                    <w:pStyle w:val="83"/>
                    <w:rPr>
                      <w:rFonts w:hint="default"/>
                    </w:rPr>
                  </w:pPr>
                  <w:r>
                    <w:t>1</w:t>
                  </w:r>
                </w:p>
              </w:tc>
              <w:tc>
                <w:tcPr>
                  <w:tcW w:w="866" w:type="pct"/>
                  <w:vAlign w:val="center"/>
                </w:tcPr>
                <w:p w14:paraId="41F8848C">
                  <w:pPr>
                    <w:pStyle w:val="83"/>
                    <w:rPr>
                      <w:rFonts w:hint="default"/>
                    </w:rPr>
                  </w:pPr>
                  <w:r>
                    <w:t>3#检验室</w:t>
                  </w:r>
                </w:p>
              </w:tc>
            </w:tr>
            <w:tr w14:paraId="3E977E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5"/>
                  <w:vAlign w:val="center"/>
                </w:tcPr>
                <w:p w14:paraId="3ADCAAF6">
                  <w:pPr>
                    <w:pStyle w:val="83"/>
                    <w:rPr>
                      <w:rFonts w:hint="default"/>
                    </w:rPr>
                  </w:pPr>
                  <w:r>
                    <w:t>二、纤维研发平台</w:t>
                  </w:r>
                </w:p>
              </w:tc>
            </w:tr>
            <w:tr w14:paraId="54D1F8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4C9AFA6">
                  <w:pPr>
                    <w:pStyle w:val="83"/>
                    <w:rPr>
                      <w:rFonts w:hint="default"/>
                    </w:rPr>
                  </w:pPr>
                  <w:r>
                    <w:t>52</w:t>
                  </w:r>
                </w:p>
              </w:tc>
              <w:tc>
                <w:tcPr>
                  <w:tcW w:w="1896" w:type="pct"/>
                  <w:vAlign w:val="center"/>
                </w:tcPr>
                <w:p w14:paraId="5864517D">
                  <w:pPr>
                    <w:pStyle w:val="83"/>
                    <w:rPr>
                      <w:rFonts w:hint="default"/>
                    </w:rPr>
                  </w:pPr>
                  <w:r>
                    <w:t>POY纺丝机</w:t>
                  </w:r>
                </w:p>
              </w:tc>
              <w:tc>
                <w:tcPr>
                  <w:tcW w:w="1171" w:type="pct"/>
                  <w:vAlign w:val="center"/>
                </w:tcPr>
                <w:p w14:paraId="1B970E9D">
                  <w:pPr>
                    <w:pStyle w:val="83"/>
                    <w:rPr>
                      <w:rFonts w:hint="default"/>
                    </w:rPr>
                  </w:pPr>
                  <w:r>
                    <w:t>12头纺/20kW</w:t>
                  </w:r>
                </w:p>
              </w:tc>
              <w:tc>
                <w:tcPr>
                  <w:tcW w:w="685" w:type="pct"/>
                  <w:vAlign w:val="center"/>
                </w:tcPr>
                <w:p w14:paraId="0D186D96">
                  <w:pPr>
                    <w:pStyle w:val="83"/>
                    <w:rPr>
                      <w:rFonts w:hint="default"/>
                    </w:rPr>
                  </w:pPr>
                  <w:r>
                    <w:t>16</w:t>
                  </w:r>
                </w:p>
              </w:tc>
              <w:tc>
                <w:tcPr>
                  <w:tcW w:w="866" w:type="pct"/>
                  <w:vMerge w:val="restart"/>
                  <w:vAlign w:val="center"/>
                </w:tcPr>
                <w:p w14:paraId="7D30D114">
                  <w:pPr>
                    <w:pStyle w:val="83"/>
                    <w:rPr>
                      <w:rFonts w:hint="default"/>
                    </w:rPr>
                  </w:pPr>
                  <w:r>
                    <w:t>纺丝车间</w:t>
                  </w:r>
                </w:p>
              </w:tc>
            </w:tr>
            <w:tr w14:paraId="3E073B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62FB4E9">
                  <w:pPr>
                    <w:pStyle w:val="83"/>
                    <w:rPr>
                      <w:rFonts w:hint="default"/>
                    </w:rPr>
                  </w:pPr>
                  <w:r>
                    <w:t>53</w:t>
                  </w:r>
                </w:p>
              </w:tc>
              <w:tc>
                <w:tcPr>
                  <w:tcW w:w="1896" w:type="pct"/>
                  <w:vAlign w:val="center"/>
                </w:tcPr>
                <w:p w14:paraId="3F3C09B0">
                  <w:pPr>
                    <w:pStyle w:val="83"/>
                    <w:rPr>
                      <w:rFonts w:hint="default"/>
                    </w:rPr>
                  </w:pPr>
                  <w:r>
                    <w:t>FDY纺丝机</w:t>
                  </w:r>
                </w:p>
              </w:tc>
              <w:tc>
                <w:tcPr>
                  <w:tcW w:w="1171" w:type="pct"/>
                  <w:vAlign w:val="center"/>
                </w:tcPr>
                <w:p w14:paraId="7D4C83DE">
                  <w:pPr>
                    <w:pStyle w:val="83"/>
                    <w:rPr>
                      <w:rFonts w:hint="default"/>
                    </w:rPr>
                  </w:pPr>
                  <w:r>
                    <w:t>12头纺/25kW</w:t>
                  </w:r>
                </w:p>
              </w:tc>
              <w:tc>
                <w:tcPr>
                  <w:tcW w:w="685" w:type="pct"/>
                  <w:vAlign w:val="center"/>
                </w:tcPr>
                <w:p w14:paraId="7B6BE12B">
                  <w:pPr>
                    <w:pStyle w:val="83"/>
                    <w:rPr>
                      <w:rFonts w:hint="default"/>
                    </w:rPr>
                  </w:pPr>
                  <w:r>
                    <w:t>16</w:t>
                  </w:r>
                </w:p>
              </w:tc>
              <w:tc>
                <w:tcPr>
                  <w:tcW w:w="866" w:type="pct"/>
                  <w:vMerge w:val="continue"/>
                  <w:vAlign w:val="center"/>
                </w:tcPr>
                <w:p w14:paraId="74AA22D5">
                  <w:pPr>
                    <w:pStyle w:val="83"/>
                    <w:rPr>
                      <w:rFonts w:hint="default"/>
                    </w:rPr>
                  </w:pPr>
                </w:p>
              </w:tc>
            </w:tr>
            <w:tr w14:paraId="6CCE7A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672C8FB">
                  <w:pPr>
                    <w:pStyle w:val="83"/>
                    <w:rPr>
                      <w:rFonts w:hint="default"/>
                    </w:rPr>
                  </w:pPr>
                  <w:r>
                    <w:t>54</w:t>
                  </w:r>
                </w:p>
              </w:tc>
              <w:tc>
                <w:tcPr>
                  <w:tcW w:w="1896" w:type="pct"/>
                  <w:vAlign w:val="center"/>
                </w:tcPr>
                <w:p w14:paraId="6C95270A">
                  <w:pPr>
                    <w:pStyle w:val="83"/>
                    <w:rPr>
                      <w:rFonts w:hint="default"/>
                    </w:rPr>
                  </w:pPr>
                  <w:r>
                    <w:t>预热炉</w:t>
                  </w:r>
                </w:p>
              </w:tc>
              <w:tc>
                <w:tcPr>
                  <w:tcW w:w="1171" w:type="pct"/>
                  <w:vAlign w:val="center"/>
                </w:tcPr>
                <w:p w14:paraId="31078D04">
                  <w:pPr>
                    <w:pStyle w:val="83"/>
                    <w:rPr>
                      <w:rFonts w:hint="default"/>
                    </w:rPr>
                  </w:pPr>
                  <w:r>
                    <w:t>箱式预热炉/17kW</w:t>
                  </w:r>
                </w:p>
              </w:tc>
              <w:tc>
                <w:tcPr>
                  <w:tcW w:w="685" w:type="pct"/>
                  <w:vAlign w:val="center"/>
                </w:tcPr>
                <w:p w14:paraId="09B998F7">
                  <w:pPr>
                    <w:pStyle w:val="83"/>
                    <w:rPr>
                      <w:rFonts w:hint="default"/>
                    </w:rPr>
                  </w:pPr>
                  <w:r>
                    <w:t>2</w:t>
                  </w:r>
                </w:p>
              </w:tc>
              <w:tc>
                <w:tcPr>
                  <w:tcW w:w="866" w:type="pct"/>
                  <w:vMerge w:val="continue"/>
                  <w:vAlign w:val="center"/>
                </w:tcPr>
                <w:p w14:paraId="302DEC49">
                  <w:pPr>
                    <w:pStyle w:val="83"/>
                    <w:rPr>
                      <w:rFonts w:hint="default"/>
                    </w:rPr>
                  </w:pPr>
                </w:p>
              </w:tc>
            </w:tr>
            <w:tr w14:paraId="2FE47E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8505CC0">
                  <w:pPr>
                    <w:pStyle w:val="83"/>
                    <w:rPr>
                      <w:rFonts w:hint="default"/>
                    </w:rPr>
                  </w:pPr>
                  <w:r>
                    <w:t>55</w:t>
                  </w:r>
                </w:p>
              </w:tc>
              <w:tc>
                <w:tcPr>
                  <w:tcW w:w="1896" w:type="pct"/>
                  <w:vAlign w:val="center"/>
                </w:tcPr>
                <w:p w14:paraId="4E0317E0">
                  <w:pPr>
                    <w:pStyle w:val="83"/>
                    <w:rPr>
                      <w:rFonts w:hint="default"/>
                    </w:rPr>
                  </w:pPr>
                  <w:r>
                    <w:t>真空煅烧炉</w:t>
                  </w:r>
                </w:p>
              </w:tc>
              <w:tc>
                <w:tcPr>
                  <w:tcW w:w="1171" w:type="pct"/>
                  <w:vAlign w:val="center"/>
                </w:tcPr>
                <w:p w14:paraId="67B7DC51">
                  <w:pPr>
                    <w:pStyle w:val="83"/>
                    <w:rPr>
                      <w:rFonts w:hint="default"/>
                    </w:rPr>
                  </w:pPr>
                  <w:r>
                    <w:t>1000*1200/36kW</w:t>
                  </w:r>
                </w:p>
              </w:tc>
              <w:tc>
                <w:tcPr>
                  <w:tcW w:w="685" w:type="pct"/>
                  <w:vAlign w:val="center"/>
                </w:tcPr>
                <w:p w14:paraId="138BF781">
                  <w:pPr>
                    <w:pStyle w:val="83"/>
                    <w:rPr>
                      <w:rFonts w:hint="default"/>
                    </w:rPr>
                  </w:pPr>
                  <w:r>
                    <w:t>1</w:t>
                  </w:r>
                </w:p>
              </w:tc>
              <w:tc>
                <w:tcPr>
                  <w:tcW w:w="866" w:type="pct"/>
                  <w:vMerge w:val="continue"/>
                  <w:vAlign w:val="center"/>
                </w:tcPr>
                <w:p w14:paraId="7BA2CECD">
                  <w:pPr>
                    <w:pStyle w:val="83"/>
                    <w:rPr>
                      <w:rFonts w:hint="default"/>
                    </w:rPr>
                  </w:pPr>
                </w:p>
              </w:tc>
            </w:tr>
            <w:tr w14:paraId="6CB5B3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BD57087">
                  <w:pPr>
                    <w:pStyle w:val="83"/>
                    <w:rPr>
                      <w:rFonts w:hint="default"/>
                    </w:rPr>
                  </w:pPr>
                  <w:r>
                    <w:t>56</w:t>
                  </w:r>
                </w:p>
              </w:tc>
              <w:tc>
                <w:tcPr>
                  <w:tcW w:w="1896" w:type="pct"/>
                  <w:vAlign w:val="center"/>
                </w:tcPr>
                <w:p w14:paraId="764AD331">
                  <w:pPr>
                    <w:pStyle w:val="83"/>
                    <w:rPr>
                      <w:rFonts w:hint="default"/>
                    </w:rPr>
                  </w:pPr>
                  <w:r>
                    <w:t>超声波清洗机</w:t>
                  </w:r>
                </w:p>
              </w:tc>
              <w:tc>
                <w:tcPr>
                  <w:tcW w:w="1171" w:type="pct"/>
                  <w:vAlign w:val="center"/>
                </w:tcPr>
                <w:p w14:paraId="2F94EB39">
                  <w:pPr>
                    <w:pStyle w:val="83"/>
                    <w:rPr>
                      <w:rFonts w:hint="default"/>
                    </w:rPr>
                  </w:pPr>
                  <w:r>
                    <w:t>超声波HW-25系</w:t>
                  </w:r>
                </w:p>
              </w:tc>
              <w:tc>
                <w:tcPr>
                  <w:tcW w:w="685" w:type="pct"/>
                  <w:vAlign w:val="center"/>
                </w:tcPr>
                <w:p w14:paraId="7F10BD40">
                  <w:pPr>
                    <w:pStyle w:val="83"/>
                    <w:rPr>
                      <w:rFonts w:hint="default"/>
                    </w:rPr>
                  </w:pPr>
                  <w:r>
                    <w:t>2</w:t>
                  </w:r>
                </w:p>
              </w:tc>
              <w:tc>
                <w:tcPr>
                  <w:tcW w:w="866" w:type="pct"/>
                  <w:vMerge w:val="continue"/>
                  <w:vAlign w:val="center"/>
                </w:tcPr>
                <w:p w14:paraId="40392E65">
                  <w:pPr>
                    <w:pStyle w:val="83"/>
                    <w:rPr>
                      <w:rFonts w:hint="default"/>
                    </w:rPr>
                  </w:pPr>
                </w:p>
              </w:tc>
            </w:tr>
            <w:tr w14:paraId="712FA7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1A5DC0C">
                  <w:pPr>
                    <w:pStyle w:val="83"/>
                    <w:rPr>
                      <w:rFonts w:hint="default"/>
                    </w:rPr>
                  </w:pPr>
                  <w:r>
                    <w:t>57</w:t>
                  </w:r>
                </w:p>
              </w:tc>
              <w:tc>
                <w:tcPr>
                  <w:tcW w:w="1896" w:type="pct"/>
                  <w:vAlign w:val="center"/>
                </w:tcPr>
                <w:p w14:paraId="22F770EF">
                  <w:pPr>
                    <w:pStyle w:val="83"/>
                    <w:rPr>
                      <w:rFonts w:hint="default"/>
                    </w:rPr>
                  </w:pPr>
                  <w:r>
                    <w:t>联苯炉</w:t>
                  </w:r>
                </w:p>
              </w:tc>
              <w:tc>
                <w:tcPr>
                  <w:tcW w:w="1171" w:type="pct"/>
                  <w:vAlign w:val="center"/>
                </w:tcPr>
                <w:p w14:paraId="09B439A0">
                  <w:pPr>
                    <w:pStyle w:val="83"/>
                    <w:rPr>
                      <w:rFonts w:hint="default"/>
                    </w:rPr>
                  </w:pPr>
                  <w:r>
                    <w:t>/</w:t>
                  </w:r>
                </w:p>
              </w:tc>
              <w:tc>
                <w:tcPr>
                  <w:tcW w:w="685" w:type="pct"/>
                  <w:vAlign w:val="center"/>
                </w:tcPr>
                <w:p w14:paraId="62135676">
                  <w:pPr>
                    <w:pStyle w:val="83"/>
                    <w:rPr>
                      <w:rFonts w:hint="default"/>
                    </w:rPr>
                  </w:pPr>
                  <w:r>
                    <w:t>8</w:t>
                  </w:r>
                </w:p>
              </w:tc>
              <w:tc>
                <w:tcPr>
                  <w:tcW w:w="866" w:type="pct"/>
                  <w:vMerge w:val="continue"/>
                  <w:vAlign w:val="center"/>
                </w:tcPr>
                <w:p w14:paraId="1AE8D492">
                  <w:pPr>
                    <w:pStyle w:val="83"/>
                    <w:rPr>
                      <w:rFonts w:hint="default"/>
                    </w:rPr>
                  </w:pPr>
                </w:p>
              </w:tc>
            </w:tr>
            <w:tr w14:paraId="076FFA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C39B7C2">
                  <w:pPr>
                    <w:pStyle w:val="83"/>
                    <w:rPr>
                      <w:rFonts w:hint="default"/>
                    </w:rPr>
                  </w:pPr>
                  <w:r>
                    <w:t>58</w:t>
                  </w:r>
                </w:p>
              </w:tc>
              <w:tc>
                <w:tcPr>
                  <w:tcW w:w="1896" w:type="pct"/>
                  <w:vAlign w:val="center"/>
                </w:tcPr>
                <w:p w14:paraId="5D4B7ACC">
                  <w:pPr>
                    <w:pStyle w:val="83"/>
                    <w:rPr>
                      <w:rFonts w:hint="default"/>
                    </w:rPr>
                  </w:pPr>
                  <w:r>
                    <w:t>单体抽吸循环系统</w:t>
                  </w:r>
                </w:p>
              </w:tc>
              <w:tc>
                <w:tcPr>
                  <w:tcW w:w="1171" w:type="pct"/>
                  <w:vAlign w:val="center"/>
                </w:tcPr>
                <w:p w14:paraId="33B2BE79">
                  <w:pPr>
                    <w:pStyle w:val="83"/>
                    <w:rPr>
                      <w:rFonts w:hint="default"/>
                    </w:rPr>
                  </w:pPr>
                  <w:r>
                    <w:t>/</w:t>
                  </w:r>
                </w:p>
              </w:tc>
              <w:tc>
                <w:tcPr>
                  <w:tcW w:w="685" w:type="pct"/>
                  <w:vAlign w:val="center"/>
                </w:tcPr>
                <w:p w14:paraId="6B42040B">
                  <w:pPr>
                    <w:pStyle w:val="83"/>
                    <w:rPr>
                      <w:rFonts w:hint="default"/>
                    </w:rPr>
                  </w:pPr>
                  <w:r>
                    <w:t>1</w:t>
                  </w:r>
                </w:p>
              </w:tc>
              <w:tc>
                <w:tcPr>
                  <w:tcW w:w="866" w:type="pct"/>
                  <w:vMerge w:val="continue"/>
                  <w:vAlign w:val="center"/>
                </w:tcPr>
                <w:p w14:paraId="5EA1FCE6">
                  <w:pPr>
                    <w:pStyle w:val="83"/>
                    <w:rPr>
                      <w:rFonts w:hint="default"/>
                    </w:rPr>
                  </w:pPr>
                </w:p>
              </w:tc>
            </w:tr>
            <w:tr w14:paraId="462D43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DF40AAA">
                  <w:pPr>
                    <w:pStyle w:val="83"/>
                    <w:rPr>
                      <w:rFonts w:hint="default"/>
                    </w:rPr>
                  </w:pPr>
                  <w:r>
                    <w:t>61</w:t>
                  </w:r>
                </w:p>
              </w:tc>
              <w:tc>
                <w:tcPr>
                  <w:tcW w:w="1896" w:type="pct"/>
                  <w:vAlign w:val="center"/>
                </w:tcPr>
                <w:p w14:paraId="464A1751">
                  <w:pPr>
                    <w:pStyle w:val="83"/>
                    <w:rPr>
                      <w:rFonts w:hint="default"/>
                    </w:rPr>
                  </w:pPr>
                  <w:r>
                    <w:t>冷却塔</w:t>
                  </w:r>
                </w:p>
              </w:tc>
              <w:tc>
                <w:tcPr>
                  <w:tcW w:w="1171" w:type="pct"/>
                  <w:vAlign w:val="center"/>
                </w:tcPr>
                <w:p w14:paraId="236D4622">
                  <w:pPr>
                    <w:pStyle w:val="83"/>
                    <w:rPr>
                      <w:rFonts w:hint="default"/>
                    </w:rPr>
                  </w:pPr>
                  <w:r>
                    <w:t>7000m3循环水量</w:t>
                  </w:r>
                </w:p>
              </w:tc>
              <w:tc>
                <w:tcPr>
                  <w:tcW w:w="685" w:type="pct"/>
                  <w:vAlign w:val="center"/>
                </w:tcPr>
                <w:p w14:paraId="322859AC">
                  <w:pPr>
                    <w:pStyle w:val="83"/>
                    <w:rPr>
                      <w:rFonts w:hint="default"/>
                    </w:rPr>
                  </w:pPr>
                  <w:r>
                    <w:t>1</w:t>
                  </w:r>
                </w:p>
              </w:tc>
              <w:tc>
                <w:tcPr>
                  <w:tcW w:w="866" w:type="pct"/>
                  <w:vAlign w:val="center"/>
                </w:tcPr>
                <w:p w14:paraId="5104F4B9">
                  <w:pPr>
                    <w:pStyle w:val="83"/>
                    <w:rPr>
                      <w:rFonts w:hint="default"/>
                    </w:rPr>
                  </w:pPr>
                  <w:r>
                    <w:t>公辅区</w:t>
                  </w:r>
                </w:p>
              </w:tc>
            </w:tr>
            <w:tr w14:paraId="230F82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19122EA">
                  <w:pPr>
                    <w:pStyle w:val="83"/>
                    <w:rPr>
                      <w:rFonts w:hint="default"/>
                    </w:rPr>
                  </w:pPr>
                  <w:r>
                    <w:t>62</w:t>
                  </w:r>
                </w:p>
              </w:tc>
              <w:tc>
                <w:tcPr>
                  <w:tcW w:w="1896" w:type="pct"/>
                  <w:vAlign w:val="center"/>
                </w:tcPr>
                <w:p w14:paraId="47F55C99">
                  <w:pPr>
                    <w:pStyle w:val="83"/>
                    <w:rPr>
                      <w:rFonts w:hint="default"/>
                    </w:rPr>
                  </w:pPr>
                  <w:r>
                    <w:t>高压静电吸附装置</w:t>
                  </w:r>
                </w:p>
              </w:tc>
              <w:tc>
                <w:tcPr>
                  <w:tcW w:w="1171" w:type="pct"/>
                  <w:vAlign w:val="center"/>
                </w:tcPr>
                <w:p w14:paraId="2AEE4182">
                  <w:pPr>
                    <w:pStyle w:val="83"/>
                    <w:rPr>
                      <w:rFonts w:hint="default"/>
                    </w:rPr>
                  </w:pPr>
                  <w:r>
                    <w:t>/</w:t>
                  </w:r>
                </w:p>
              </w:tc>
              <w:tc>
                <w:tcPr>
                  <w:tcW w:w="685" w:type="pct"/>
                  <w:vAlign w:val="center"/>
                </w:tcPr>
                <w:p w14:paraId="1153EF99">
                  <w:pPr>
                    <w:pStyle w:val="83"/>
                    <w:rPr>
                      <w:rFonts w:hint="default"/>
                    </w:rPr>
                  </w:pPr>
                  <w:r>
                    <w:t>2</w:t>
                  </w:r>
                </w:p>
              </w:tc>
              <w:tc>
                <w:tcPr>
                  <w:tcW w:w="866" w:type="pct"/>
                  <w:vAlign w:val="center"/>
                </w:tcPr>
                <w:p w14:paraId="5C1B6C1D">
                  <w:pPr>
                    <w:pStyle w:val="83"/>
                    <w:rPr>
                      <w:rFonts w:hint="default"/>
                    </w:rPr>
                  </w:pPr>
                  <w:r>
                    <w:t>屋面层</w:t>
                  </w:r>
                </w:p>
              </w:tc>
            </w:tr>
            <w:tr w14:paraId="142602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5"/>
                  <w:vAlign w:val="center"/>
                </w:tcPr>
                <w:p w14:paraId="251AE73E">
                  <w:pPr>
                    <w:pStyle w:val="83"/>
                    <w:rPr>
                      <w:rFonts w:hint="default"/>
                    </w:rPr>
                  </w:pPr>
                  <w:r>
                    <w:t>三、新材料研发平台</w:t>
                  </w:r>
                </w:p>
              </w:tc>
            </w:tr>
            <w:tr w14:paraId="7DC3B5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136EAD5">
                  <w:pPr>
                    <w:pStyle w:val="83"/>
                    <w:rPr>
                      <w:rFonts w:hint="default"/>
                    </w:rPr>
                  </w:pPr>
                  <w:r>
                    <w:t>63</w:t>
                  </w:r>
                </w:p>
              </w:tc>
              <w:tc>
                <w:tcPr>
                  <w:tcW w:w="1896" w:type="pct"/>
                  <w:vMerge w:val="restart"/>
                  <w:vAlign w:val="center"/>
                </w:tcPr>
                <w:p w14:paraId="02DBB6D0">
                  <w:pPr>
                    <w:pStyle w:val="83"/>
                    <w:rPr>
                      <w:rFonts w:hint="default"/>
                    </w:rPr>
                  </w:pPr>
                  <w:r>
                    <w:t>单轴撕碎机</w:t>
                  </w:r>
                </w:p>
              </w:tc>
              <w:tc>
                <w:tcPr>
                  <w:tcW w:w="1171" w:type="pct"/>
                  <w:vAlign w:val="center"/>
                </w:tcPr>
                <w:p w14:paraId="4200FD57">
                  <w:pPr>
                    <w:pStyle w:val="83"/>
                    <w:rPr>
                      <w:rFonts w:hint="default"/>
                    </w:rPr>
                  </w:pPr>
                  <w:r>
                    <w:t>P3120</w:t>
                  </w:r>
                </w:p>
              </w:tc>
              <w:tc>
                <w:tcPr>
                  <w:tcW w:w="685" w:type="pct"/>
                  <w:vAlign w:val="center"/>
                </w:tcPr>
                <w:p w14:paraId="3B03B9CA">
                  <w:pPr>
                    <w:pStyle w:val="83"/>
                    <w:rPr>
                      <w:rFonts w:hint="default"/>
                    </w:rPr>
                  </w:pPr>
                  <w:r>
                    <w:t>1</w:t>
                  </w:r>
                </w:p>
              </w:tc>
              <w:tc>
                <w:tcPr>
                  <w:tcW w:w="866" w:type="pct"/>
                  <w:vMerge w:val="restart"/>
                  <w:vAlign w:val="center"/>
                </w:tcPr>
                <w:p w14:paraId="18FB5A4B">
                  <w:pPr>
                    <w:pStyle w:val="83"/>
                    <w:rPr>
                      <w:rFonts w:hint="default"/>
                    </w:rPr>
                  </w:pPr>
                  <w:r>
                    <w:t>再生/工塑车间</w:t>
                  </w:r>
                </w:p>
              </w:tc>
            </w:tr>
            <w:tr w14:paraId="004312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82643C5">
                  <w:pPr>
                    <w:pStyle w:val="83"/>
                    <w:rPr>
                      <w:rFonts w:hint="default"/>
                    </w:rPr>
                  </w:pPr>
                  <w:r>
                    <w:t>64</w:t>
                  </w:r>
                </w:p>
              </w:tc>
              <w:tc>
                <w:tcPr>
                  <w:tcW w:w="1896" w:type="pct"/>
                  <w:vMerge w:val="continue"/>
                  <w:vAlign w:val="center"/>
                </w:tcPr>
                <w:p w14:paraId="4F02C949">
                  <w:pPr>
                    <w:pStyle w:val="83"/>
                    <w:rPr>
                      <w:rFonts w:hint="default"/>
                    </w:rPr>
                  </w:pPr>
                </w:p>
              </w:tc>
              <w:tc>
                <w:tcPr>
                  <w:tcW w:w="1171" w:type="pct"/>
                  <w:vAlign w:val="center"/>
                </w:tcPr>
                <w:p w14:paraId="38F0E4DD">
                  <w:pPr>
                    <w:pStyle w:val="83"/>
                    <w:rPr>
                      <w:rFonts w:hint="default"/>
                    </w:rPr>
                  </w:pPr>
                  <w:r>
                    <w:t>HS1200</w:t>
                  </w:r>
                </w:p>
              </w:tc>
              <w:tc>
                <w:tcPr>
                  <w:tcW w:w="685" w:type="pct"/>
                  <w:vAlign w:val="center"/>
                </w:tcPr>
                <w:p w14:paraId="0C88C8FB">
                  <w:pPr>
                    <w:pStyle w:val="83"/>
                    <w:rPr>
                      <w:rFonts w:hint="default"/>
                    </w:rPr>
                  </w:pPr>
                  <w:r>
                    <w:t>1</w:t>
                  </w:r>
                </w:p>
              </w:tc>
              <w:tc>
                <w:tcPr>
                  <w:tcW w:w="866" w:type="pct"/>
                  <w:vMerge w:val="continue"/>
                  <w:vAlign w:val="center"/>
                </w:tcPr>
                <w:p w14:paraId="7692FEBA">
                  <w:pPr>
                    <w:pStyle w:val="83"/>
                    <w:rPr>
                      <w:rFonts w:hint="default"/>
                    </w:rPr>
                  </w:pPr>
                </w:p>
              </w:tc>
            </w:tr>
            <w:tr w14:paraId="55D2DA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82D0FC9">
                  <w:pPr>
                    <w:pStyle w:val="83"/>
                    <w:rPr>
                      <w:rFonts w:hint="default"/>
                    </w:rPr>
                  </w:pPr>
                  <w:r>
                    <w:t>65</w:t>
                  </w:r>
                </w:p>
              </w:tc>
              <w:tc>
                <w:tcPr>
                  <w:tcW w:w="1896" w:type="pct"/>
                  <w:vMerge w:val="continue"/>
                  <w:vAlign w:val="center"/>
                </w:tcPr>
                <w:p w14:paraId="63C35F32">
                  <w:pPr>
                    <w:pStyle w:val="83"/>
                    <w:rPr>
                      <w:rFonts w:hint="default"/>
                    </w:rPr>
                  </w:pPr>
                </w:p>
              </w:tc>
              <w:tc>
                <w:tcPr>
                  <w:tcW w:w="1171" w:type="pct"/>
                  <w:vAlign w:val="center"/>
                </w:tcPr>
                <w:p w14:paraId="5927ECD6">
                  <w:pPr>
                    <w:pStyle w:val="83"/>
                    <w:rPr>
                      <w:rFonts w:hint="default"/>
                    </w:rPr>
                  </w:pPr>
                  <w:r>
                    <w:t>SX1500</w:t>
                  </w:r>
                </w:p>
              </w:tc>
              <w:tc>
                <w:tcPr>
                  <w:tcW w:w="685" w:type="pct"/>
                  <w:vAlign w:val="center"/>
                </w:tcPr>
                <w:p w14:paraId="6BB5A841">
                  <w:pPr>
                    <w:pStyle w:val="83"/>
                    <w:rPr>
                      <w:rFonts w:hint="default"/>
                    </w:rPr>
                  </w:pPr>
                  <w:r>
                    <w:t>1</w:t>
                  </w:r>
                </w:p>
              </w:tc>
              <w:tc>
                <w:tcPr>
                  <w:tcW w:w="866" w:type="pct"/>
                  <w:vMerge w:val="continue"/>
                  <w:vAlign w:val="center"/>
                </w:tcPr>
                <w:p w14:paraId="3304AFA3">
                  <w:pPr>
                    <w:pStyle w:val="83"/>
                    <w:rPr>
                      <w:rFonts w:hint="default"/>
                    </w:rPr>
                  </w:pPr>
                </w:p>
              </w:tc>
            </w:tr>
            <w:tr w14:paraId="14D4B5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5269B35">
                  <w:pPr>
                    <w:pStyle w:val="83"/>
                    <w:rPr>
                      <w:rFonts w:hint="default"/>
                    </w:rPr>
                  </w:pPr>
                  <w:r>
                    <w:t>66</w:t>
                  </w:r>
                </w:p>
              </w:tc>
              <w:tc>
                <w:tcPr>
                  <w:tcW w:w="1896" w:type="pct"/>
                  <w:vAlign w:val="center"/>
                </w:tcPr>
                <w:p w14:paraId="051D0E8F">
                  <w:pPr>
                    <w:pStyle w:val="83"/>
                    <w:rPr>
                      <w:rFonts w:hint="default"/>
                    </w:rPr>
                  </w:pPr>
                  <w:r>
                    <w:t>三回收挤出造粒机</w:t>
                  </w:r>
                </w:p>
              </w:tc>
              <w:tc>
                <w:tcPr>
                  <w:tcW w:w="1171" w:type="pct"/>
                  <w:vAlign w:val="center"/>
                </w:tcPr>
                <w:p w14:paraId="46C4304F">
                  <w:pPr>
                    <w:pStyle w:val="83"/>
                    <w:rPr>
                      <w:rFonts w:hint="default"/>
                    </w:rPr>
                  </w:pPr>
                  <w:r>
                    <w:t>HXSJ160/140-S</w:t>
                  </w:r>
                </w:p>
              </w:tc>
              <w:tc>
                <w:tcPr>
                  <w:tcW w:w="685" w:type="pct"/>
                  <w:vAlign w:val="center"/>
                </w:tcPr>
                <w:p w14:paraId="6F7E0E8E">
                  <w:pPr>
                    <w:pStyle w:val="83"/>
                    <w:rPr>
                      <w:rFonts w:hint="default"/>
                    </w:rPr>
                  </w:pPr>
                  <w:r>
                    <w:t>1</w:t>
                  </w:r>
                </w:p>
              </w:tc>
              <w:tc>
                <w:tcPr>
                  <w:tcW w:w="866" w:type="pct"/>
                  <w:vMerge w:val="continue"/>
                  <w:vAlign w:val="center"/>
                </w:tcPr>
                <w:p w14:paraId="52013ED8">
                  <w:pPr>
                    <w:pStyle w:val="83"/>
                    <w:rPr>
                      <w:rFonts w:hint="default"/>
                    </w:rPr>
                  </w:pPr>
                </w:p>
              </w:tc>
            </w:tr>
            <w:tr w14:paraId="1CDDBC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F483D60">
                  <w:pPr>
                    <w:pStyle w:val="83"/>
                    <w:rPr>
                      <w:rFonts w:hint="default"/>
                    </w:rPr>
                  </w:pPr>
                  <w:r>
                    <w:t>67</w:t>
                  </w:r>
                </w:p>
              </w:tc>
              <w:tc>
                <w:tcPr>
                  <w:tcW w:w="1896" w:type="pct"/>
                  <w:vAlign w:val="center"/>
                </w:tcPr>
                <w:p w14:paraId="51675095">
                  <w:pPr>
                    <w:pStyle w:val="83"/>
                    <w:rPr>
                      <w:rFonts w:hint="default"/>
                    </w:rPr>
                  </w:pPr>
                  <w:r>
                    <w:t>尼龙回收造粒设备</w:t>
                  </w:r>
                </w:p>
              </w:tc>
              <w:tc>
                <w:tcPr>
                  <w:tcW w:w="1171" w:type="pct"/>
                  <w:vAlign w:val="center"/>
                </w:tcPr>
                <w:p w14:paraId="038B53A0">
                  <w:pPr>
                    <w:pStyle w:val="83"/>
                    <w:rPr>
                      <w:rFonts w:hint="default"/>
                    </w:rPr>
                  </w:pPr>
                  <w:r>
                    <w:t>ACS1000/140</w:t>
                  </w:r>
                </w:p>
              </w:tc>
              <w:tc>
                <w:tcPr>
                  <w:tcW w:w="685" w:type="pct"/>
                  <w:vAlign w:val="center"/>
                </w:tcPr>
                <w:p w14:paraId="1313DF65">
                  <w:pPr>
                    <w:pStyle w:val="83"/>
                    <w:rPr>
                      <w:rFonts w:hint="default"/>
                    </w:rPr>
                  </w:pPr>
                  <w:r>
                    <w:t>1</w:t>
                  </w:r>
                </w:p>
              </w:tc>
              <w:tc>
                <w:tcPr>
                  <w:tcW w:w="866" w:type="pct"/>
                  <w:vMerge w:val="continue"/>
                  <w:vAlign w:val="center"/>
                </w:tcPr>
                <w:p w14:paraId="7C6DD6FE">
                  <w:pPr>
                    <w:pStyle w:val="83"/>
                    <w:rPr>
                      <w:rFonts w:hint="default"/>
                    </w:rPr>
                  </w:pPr>
                </w:p>
              </w:tc>
            </w:tr>
            <w:tr w14:paraId="1D2C38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183CFE3">
                  <w:pPr>
                    <w:pStyle w:val="83"/>
                    <w:rPr>
                      <w:rFonts w:hint="default"/>
                    </w:rPr>
                  </w:pPr>
                  <w:r>
                    <w:t>68</w:t>
                  </w:r>
                </w:p>
              </w:tc>
              <w:tc>
                <w:tcPr>
                  <w:tcW w:w="1896" w:type="pct"/>
                  <w:vAlign w:val="center"/>
                </w:tcPr>
                <w:p w14:paraId="38CADB6E">
                  <w:pPr>
                    <w:pStyle w:val="83"/>
                    <w:rPr>
                      <w:rFonts w:hint="default"/>
                    </w:rPr>
                  </w:pPr>
                  <w:r>
                    <w:t>单螺杆挤出机</w:t>
                  </w:r>
                </w:p>
              </w:tc>
              <w:tc>
                <w:tcPr>
                  <w:tcW w:w="1171" w:type="pct"/>
                  <w:vAlign w:val="center"/>
                </w:tcPr>
                <w:p w14:paraId="5950EBFE">
                  <w:pPr>
                    <w:pStyle w:val="83"/>
                    <w:rPr>
                      <w:rFonts w:hint="default"/>
                    </w:rPr>
                  </w:pPr>
                  <w:r>
                    <w:t>SJ130</w:t>
                  </w:r>
                </w:p>
              </w:tc>
              <w:tc>
                <w:tcPr>
                  <w:tcW w:w="685" w:type="pct"/>
                  <w:vAlign w:val="center"/>
                </w:tcPr>
                <w:p w14:paraId="107A5D32">
                  <w:pPr>
                    <w:pStyle w:val="83"/>
                    <w:rPr>
                      <w:rFonts w:hint="default"/>
                    </w:rPr>
                  </w:pPr>
                  <w:r>
                    <w:t>2</w:t>
                  </w:r>
                </w:p>
              </w:tc>
              <w:tc>
                <w:tcPr>
                  <w:tcW w:w="866" w:type="pct"/>
                  <w:vMerge w:val="continue"/>
                  <w:vAlign w:val="center"/>
                </w:tcPr>
                <w:p w14:paraId="41560C8C">
                  <w:pPr>
                    <w:pStyle w:val="83"/>
                    <w:rPr>
                      <w:rFonts w:hint="default"/>
                    </w:rPr>
                  </w:pPr>
                </w:p>
              </w:tc>
            </w:tr>
            <w:tr w14:paraId="67F8C9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47A4782">
                  <w:pPr>
                    <w:pStyle w:val="83"/>
                    <w:rPr>
                      <w:rFonts w:hint="default"/>
                    </w:rPr>
                  </w:pPr>
                  <w:r>
                    <w:t>69</w:t>
                  </w:r>
                </w:p>
              </w:tc>
              <w:tc>
                <w:tcPr>
                  <w:tcW w:w="1896" w:type="pct"/>
                  <w:vAlign w:val="center"/>
                </w:tcPr>
                <w:p w14:paraId="22162144">
                  <w:pPr>
                    <w:pStyle w:val="83"/>
                    <w:rPr>
                      <w:rFonts w:hint="default"/>
                    </w:rPr>
                  </w:pPr>
                  <w:r>
                    <w:t>双锥真空干燥机</w:t>
                  </w:r>
                </w:p>
              </w:tc>
              <w:tc>
                <w:tcPr>
                  <w:tcW w:w="1171" w:type="pct"/>
                  <w:vAlign w:val="center"/>
                </w:tcPr>
                <w:p w14:paraId="4606FBC7">
                  <w:pPr>
                    <w:pStyle w:val="83"/>
                    <w:rPr>
                      <w:rFonts w:hint="default"/>
                    </w:rPr>
                  </w:pPr>
                  <w:r>
                    <w:t>SZG-6000</w:t>
                  </w:r>
                </w:p>
              </w:tc>
              <w:tc>
                <w:tcPr>
                  <w:tcW w:w="685" w:type="pct"/>
                  <w:vAlign w:val="center"/>
                </w:tcPr>
                <w:p w14:paraId="14F5E57A">
                  <w:pPr>
                    <w:pStyle w:val="83"/>
                    <w:rPr>
                      <w:rFonts w:hint="default"/>
                    </w:rPr>
                  </w:pPr>
                  <w:r>
                    <w:t>2</w:t>
                  </w:r>
                </w:p>
              </w:tc>
              <w:tc>
                <w:tcPr>
                  <w:tcW w:w="866" w:type="pct"/>
                  <w:vMerge w:val="continue"/>
                  <w:vAlign w:val="center"/>
                </w:tcPr>
                <w:p w14:paraId="3871272D">
                  <w:pPr>
                    <w:pStyle w:val="83"/>
                    <w:rPr>
                      <w:rFonts w:hint="default"/>
                    </w:rPr>
                  </w:pPr>
                </w:p>
              </w:tc>
            </w:tr>
            <w:tr w14:paraId="7C7704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E564F3F">
                  <w:pPr>
                    <w:pStyle w:val="83"/>
                    <w:rPr>
                      <w:rFonts w:hint="default"/>
                    </w:rPr>
                  </w:pPr>
                  <w:r>
                    <w:t>70</w:t>
                  </w:r>
                </w:p>
              </w:tc>
              <w:tc>
                <w:tcPr>
                  <w:tcW w:w="1896" w:type="pct"/>
                  <w:vAlign w:val="center"/>
                </w:tcPr>
                <w:p w14:paraId="602AFC60">
                  <w:pPr>
                    <w:pStyle w:val="83"/>
                    <w:rPr>
                      <w:rFonts w:hint="default"/>
                    </w:rPr>
                  </w:pPr>
                  <w:r>
                    <w:t>多段式蜂巢转轮分子筛除湿机</w:t>
                  </w:r>
                </w:p>
              </w:tc>
              <w:tc>
                <w:tcPr>
                  <w:tcW w:w="1171" w:type="pct"/>
                  <w:vAlign w:val="center"/>
                </w:tcPr>
                <w:p w14:paraId="6C20DC91">
                  <w:pPr>
                    <w:pStyle w:val="83"/>
                    <w:rPr>
                      <w:rFonts w:hint="default"/>
                    </w:rPr>
                  </w:pPr>
                  <w:r>
                    <w:t>RD2000</w:t>
                  </w:r>
                </w:p>
              </w:tc>
              <w:tc>
                <w:tcPr>
                  <w:tcW w:w="685" w:type="pct"/>
                  <w:vAlign w:val="center"/>
                </w:tcPr>
                <w:p w14:paraId="43BAA3E2">
                  <w:pPr>
                    <w:pStyle w:val="83"/>
                    <w:rPr>
                      <w:rFonts w:hint="default"/>
                    </w:rPr>
                  </w:pPr>
                  <w:r>
                    <w:t>3</w:t>
                  </w:r>
                </w:p>
              </w:tc>
              <w:tc>
                <w:tcPr>
                  <w:tcW w:w="866" w:type="pct"/>
                  <w:vMerge w:val="continue"/>
                  <w:vAlign w:val="center"/>
                </w:tcPr>
                <w:p w14:paraId="6A2DDCA8">
                  <w:pPr>
                    <w:pStyle w:val="83"/>
                    <w:rPr>
                      <w:rFonts w:hint="default"/>
                    </w:rPr>
                  </w:pPr>
                </w:p>
              </w:tc>
            </w:tr>
            <w:tr w14:paraId="4CED7C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CFF27C5">
                  <w:pPr>
                    <w:pStyle w:val="83"/>
                    <w:rPr>
                      <w:rFonts w:hint="default"/>
                    </w:rPr>
                  </w:pPr>
                  <w:r>
                    <w:t>71</w:t>
                  </w:r>
                </w:p>
              </w:tc>
              <w:tc>
                <w:tcPr>
                  <w:tcW w:w="1896" w:type="pct"/>
                  <w:vAlign w:val="center"/>
                </w:tcPr>
                <w:p w14:paraId="63A5BCE8">
                  <w:pPr>
                    <w:pStyle w:val="83"/>
                    <w:rPr>
                      <w:rFonts w:hint="default"/>
                    </w:rPr>
                  </w:pPr>
                  <w:r>
                    <w:t>双螺杆挤出造粒机</w:t>
                  </w:r>
                </w:p>
              </w:tc>
              <w:tc>
                <w:tcPr>
                  <w:tcW w:w="1171" w:type="pct"/>
                  <w:vAlign w:val="center"/>
                </w:tcPr>
                <w:p w14:paraId="684CF25C">
                  <w:pPr>
                    <w:pStyle w:val="83"/>
                    <w:rPr>
                      <w:rFonts w:hint="default"/>
                    </w:rPr>
                  </w:pPr>
                  <w:r>
                    <w:t>SHJ-42-48D-AC90</w:t>
                  </w:r>
                </w:p>
              </w:tc>
              <w:tc>
                <w:tcPr>
                  <w:tcW w:w="685" w:type="pct"/>
                  <w:vAlign w:val="center"/>
                </w:tcPr>
                <w:p w14:paraId="6AFAAAB5">
                  <w:pPr>
                    <w:pStyle w:val="83"/>
                    <w:rPr>
                      <w:rFonts w:hint="default"/>
                    </w:rPr>
                  </w:pPr>
                  <w:r>
                    <w:t>1</w:t>
                  </w:r>
                </w:p>
              </w:tc>
              <w:tc>
                <w:tcPr>
                  <w:tcW w:w="866" w:type="pct"/>
                  <w:vMerge w:val="continue"/>
                  <w:vAlign w:val="center"/>
                </w:tcPr>
                <w:p w14:paraId="2D73C230">
                  <w:pPr>
                    <w:pStyle w:val="83"/>
                    <w:rPr>
                      <w:rFonts w:hint="default"/>
                    </w:rPr>
                  </w:pPr>
                </w:p>
              </w:tc>
            </w:tr>
            <w:tr w14:paraId="37CAAA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DD15577">
                  <w:pPr>
                    <w:pStyle w:val="83"/>
                    <w:rPr>
                      <w:rFonts w:hint="default"/>
                    </w:rPr>
                  </w:pPr>
                  <w:r>
                    <w:t>72</w:t>
                  </w:r>
                </w:p>
              </w:tc>
              <w:tc>
                <w:tcPr>
                  <w:tcW w:w="1896" w:type="pct"/>
                  <w:vMerge w:val="restart"/>
                  <w:vAlign w:val="center"/>
                </w:tcPr>
                <w:p w14:paraId="72C8A14D">
                  <w:pPr>
                    <w:pStyle w:val="83"/>
                    <w:rPr>
                      <w:rFonts w:hint="default"/>
                    </w:rPr>
                  </w:pPr>
                  <w:r>
                    <w:t>失重秤</w:t>
                  </w:r>
                </w:p>
              </w:tc>
              <w:tc>
                <w:tcPr>
                  <w:tcW w:w="1171" w:type="pct"/>
                  <w:vAlign w:val="center"/>
                </w:tcPr>
                <w:p w14:paraId="15E0F678">
                  <w:pPr>
                    <w:pStyle w:val="83"/>
                    <w:rPr>
                      <w:rFonts w:hint="default"/>
                    </w:rPr>
                  </w:pPr>
                  <w:r>
                    <w:t>NX-S50E-MP</w:t>
                  </w:r>
                </w:p>
              </w:tc>
              <w:tc>
                <w:tcPr>
                  <w:tcW w:w="685" w:type="pct"/>
                  <w:vAlign w:val="center"/>
                </w:tcPr>
                <w:p w14:paraId="725C17DB">
                  <w:pPr>
                    <w:pStyle w:val="83"/>
                    <w:rPr>
                      <w:rFonts w:hint="default"/>
                    </w:rPr>
                  </w:pPr>
                  <w:r>
                    <w:t>1</w:t>
                  </w:r>
                </w:p>
              </w:tc>
              <w:tc>
                <w:tcPr>
                  <w:tcW w:w="866" w:type="pct"/>
                  <w:vMerge w:val="continue"/>
                  <w:vAlign w:val="center"/>
                </w:tcPr>
                <w:p w14:paraId="520C2A96">
                  <w:pPr>
                    <w:pStyle w:val="83"/>
                    <w:rPr>
                      <w:rFonts w:hint="default"/>
                    </w:rPr>
                  </w:pPr>
                </w:p>
              </w:tc>
            </w:tr>
            <w:tr w14:paraId="5A35AA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4F869E3">
                  <w:pPr>
                    <w:pStyle w:val="83"/>
                    <w:rPr>
                      <w:rFonts w:hint="default"/>
                    </w:rPr>
                  </w:pPr>
                  <w:r>
                    <w:t>73</w:t>
                  </w:r>
                </w:p>
              </w:tc>
              <w:tc>
                <w:tcPr>
                  <w:tcW w:w="1896" w:type="pct"/>
                  <w:vMerge w:val="continue"/>
                  <w:vAlign w:val="center"/>
                </w:tcPr>
                <w:p w14:paraId="7903314F">
                  <w:pPr>
                    <w:pStyle w:val="83"/>
                    <w:rPr>
                      <w:rFonts w:hint="default"/>
                    </w:rPr>
                  </w:pPr>
                </w:p>
              </w:tc>
              <w:tc>
                <w:tcPr>
                  <w:tcW w:w="1171" w:type="pct"/>
                  <w:vAlign w:val="center"/>
                </w:tcPr>
                <w:p w14:paraId="0A8789AE">
                  <w:pPr>
                    <w:pStyle w:val="83"/>
                    <w:rPr>
                      <w:rFonts w:hint="default"/>
                    </w:rPr>
                  </w:pPr>
                  <w:r>
                    <w:t>NX-T26E-MP</w:t>
                  </w:r>
                </w:p>
              </w:tc>
              <w:tc>
                <w:tcPr>
                  <w:tcW w:w="685" w:type="pct"/>
                  <w:vAlign w:val="center"/>
                </w:tcPr>
                <w:p w14:paraId="0CB993EF">
                  <w:pPr>
                    <w:pStyle w:val="83"/>
                    <w:rPr>
                      <w:rFonts w:hint="default"/>
                    </w:rPr>
                  </w:pPr>
                  <w:r>
                    <w:t>1</w:t>
                  </w:r>
                </w:p>
              </w:tc>
              <w:tc>
                <w:tcPr>
                  <w:tcW w:w="866" w:type="pct"/>
                  <w:vMerge w:val="continue"/>
                  <w:vAlign w:val="center"/>
                </w:tcPr>
                <w:p w14:paraId="466CE262">
                  <w:pPr>
                    <w:pStyle w:val="83"/>
                    <w:rPr>
                      <w:rFonts w:hint="default"/>
                    </w:rPr>
                  </w:pPr>
                </w:p>
              </w:tc>
            </w:tr>
            <w:tr w14:paraId="54B2DB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7C8EC57">
                  <w:pPr>
                    <w:pStyle w:val="83"/>
                    <w:rPr>
                      <w:rFonts w:hint="default"/>
                    </w:rPr>
                  </w:pPr>
                  <w:r>
                    <w:t>74</w:t>
                  </w:r>
                </w:p>
              </w:tc>
              <w:tc>
                <w:tcPr>
                  <w:tcW w:w="1896" w:type="pct"/>
                  <w:vMerge w:val="restart"/>
                  <w:vAlign w:val="center"/>
                </w:tcPr>
                <w:p w14:paraId="521FB3F9">
                  <w:pPr>
                    <w:pStyle w:val="83"/>
                    <w:rPr>
                      <w:rFonts w:hint="default"/>
                    </w:rPr>
                  </w:pPr>
                  <w:r>
                    <w:t>挤出造粒机水冷拉条生产线</w:t>
                  </w:r>
                </w:p>
              </w:tc>
              <w:tc>
                <w:tcPr>
                  <w:tcW w:w="1171" w:type="pct"/>
                  <w:vAlign w:val="center"/>
                </w:tcPr>
                <w:p w14:paraId="254846A7">
                  <w:pPr>
                    <w:pStyle w:val="83"/>
                    <w:rPr>
                      <w:rFonts w:hint="default"/>
                    </w:rPr>
                  </w:pPr>
                  <w:r>
                    <w:t>SHJ-42</w:t>
                  </w:r>
                </w:p>
              </w:tc>
              <w:tc>
                <w:tcPr>
                  <w:tcW w:w="685" w:type="pct"/>
                  <w:vAlign w:val="center"/>
                </w:tcPr>
                <w:p w14:paraId="60CB3D6C">
                  <w:pPr>
                    <w:pStyle w:val="83"/>
                    <w:rPr>
                      <w:rFonts w:hint="default"/>
                    </w:rPr>
                  </w:pPr>
                  <w:r>
                    <w:t>1</w:t>
                  </w:r>
                </w:p>
              </w:tc>
              <w:tc>
                <w:tcPr>
                  <w:tcW w:w="866" w:type="pct"/>
                  <w:vMerge w:val="continue"/>
                  <w:vAlign w:val="center"/>
                </w:tcPr>
                <w:p w14:paraId="70004062">
                  <w:pPr>
                    <w:pStyle w:val="83"/>
                    <w:rPr>
                      <w:rFonts w:hint="default"/>
                    </w:rPr>
                  </w:pPr>
                </w:p>
              </w:tc>
            </w:tr>
            <w:tr w14:paraId="77006D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CA9E5FB">
                  <w:pPr>
                    <w:pStyle w:val="83"/>
                    <w:rPr>
                      <w:rFonts w:hint="default"/>
                    </w:rPr>
                  </w:pPr>
                  <w:r>
                    <w:t>75</w:t>
                  </w:r>
                </w:p>
              </w:tc>
              <w:tc>
                <w:tcPr>
                  <w:tcW w:w="1896" w:type="pct"/>
                  <w:vMerge w:val="continue"/>
                  <w:vAlign w:val="center"/>
                </w:tcPr>
                <w:p w14:paraId="4CE8C492">
                  <w:pPr>
                    <w:pStyle w:val="83"/>
                    <w:rPr>
                      <w:rFonts w:hint="default"/>
                    </w:rPr>
                  </w:pPr>
                </w:p>
              </w:tc>
              <w:tc>
                <w:tcPr>
                  <w:tcW w:w="1171" w:type="pct"/>
                  <w:vAlign w:val="center"/>
                </w:tcPr>
                <w:p w14:paraId="18C9EE95">
                  <w:pPr>
                    <w:pStyle w:val="83"/>
                    <w:rPr>
                      <w:rFonts w:hint="default"/>
                    </w:rPr>
                  </w:pPr>
                  <w:r>
                    <w:t>SHJ-36</w:t>
                  </w:r>
                </w:p>
              </w:tc>
              <w:tc>
                <w:tcPr>
                  <w:tcW w:w="685" w:type="pct"/>
                  <w:vAlign w:val="center"/>
                </w:tcPr>
                <w:p w14:paraId="15D27FEE">
                  <w:pPr>
                    <w:pStyle w:val="83"/>
                    <w:rPr>
                      <w:rFonts w:hint="default"/>
                    </w:rPr>
                  </w:pPr>
                  <w:r>
                    <w:t>1</w:t>
                  </w:r>
                </w:p>
              </w:tc>
              <w:tc>
                <w:tcPr>
                  <w:tcW w:w="866" w:type="pct"/>
                  <w:vMerge w:val="continue"/>
                  <w:vAlign w:val="center"/>
                </w:tcPr>
                <w:p w14:paraId="478290F9">
                  <w:pPr>
                    <w:pStyle w:val="83"/>
                    <w:rPr>
                      <w:rFonts w:hint="default"/>
                    </w:rPr>
                  </w:pPr>
                </w:p>
              </w:tc>
            </w:tr>
            <w:tr w14:paraId="07B709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6697DE9">
                  <w:pPr>
                    <w:pStyle w:val="83"/>
                    <w:rPr>
                      <w:rFonts w:hint="default"/>
                    </w:rPr>
                  </w:pPr>
                  <w:r>
                    <w:t>76</w:t>
                  </w:r>
                </w:p>
              </w:tc>
              <w:tc>
                <w:tcPr>
                  <w:tcW w:w="1896" w:type="pct"/>
                  <w:vMerge w:val="continue"/>
                  <w:vAlign w:val="center"/>
                </w:tcPr>
                <w:p w14:paraId="78104BC0">
                  <w:pPr>
                    <w:pStyle w:val="83"/>
                    <w:rPr>
                      <w:rFonts w:hint="default"/>
                    </w:rPr>
                  </w:pPr>
                </w:p>
              </w:tc>
              <w:tc>
                <w:tcPr>
                  <w:tcW w:w="1171" w:type="pct"/>
                  <w:vAlign w:val="center"/>
                </w:tcPr>
                <w:p w14:paraId="24370B79">
                  <w:pPr>
                    <w:pStyle w:val="83"/>
                    <w:rPr>
                      <w:rFonts w:hint="default"/>
                    </w:rPr>
                  </w:pPr>
                  <w:r>
                    <w:t>SHJ-20</w:t>
                  </w:r>
                </w:p>
              </w:tc>
              <w:tc>
                <w:tcPr>
                  <w:tcW w:w="685" w:type="pct"/>
                  <w:vAlign w:val="center"/>
                </w:tcPr>
                <w:p w14:paraId="6EBFEB35">
                  <w:pPr>
                    <w:pStyle w:val="83"/>
                    <w:rPr>
                      <w:rFonts w:hint="default"/>
                    </w:rPr>
                  </w:pPr>
                  <w:r>
                    <w:t>2</w:t>
                  </w:r>
                </w:p>
              </w:tc>
              <w:tc>
                <w:tcPr>
                  <w:tcW w:w="866" w:type="pct"/>
                  <w:vMerge w:val="continue"/>
                  <w:vAlign w:val="center"/>
                </w:tcPr>
                <w:p w14:paraId="53AF50AE">
                  <w:pPr>
                    <w:pStyle w:val="83"/>
                    <w:rPr>
                      <w:rFonts w:hint="default"/>
                    </w:rPr>
                  </w:pPr>
                </w:p>
              </w:tc>
            </w:tr>
            <w:tr w14:paraId="1FFE69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4051727">
                  <w:pPr>
                    <w:pStyle w:val="83"/>
                    <w:rPr>
                      <w:rFonts w:hint="default"/>
                    </w:rPr>
                  </w:pPr>
                  <w:r>
                    <w:t>77</w:t>
                  </w:r>
                </w:p>
              </w:tc>
              <w:tc>
                <w:tcPr>
                  <w:tcW w:w="1896" w:type="pct"/>
                  <w:vAlign w:val="center"/>
                </w:tcPr>
                <w:p w14:paraId="2255FA47">
                  <w:pPr>
                    <w:pStyle w:val="83"/>
                    <w:rPr>
                      <w:rFonts w:hint="default"/>
                    </w:rPr>
                  </w:pPr>
                  <w:r>
                    <w:t>3D打印收卷机</w:t>
                  </w:r>
                </w:p>
              </w:tc>
              <w:tc>
                <w:tcPr>
                  <w:tcW w:w="1171" w:type="pct"/>
                  <w:vAlign w:val="center"/>
                </w:tcPr>
                <w:p w14:paraId="576F37BB">
                  <w:pPr>
                    <w:pStyle w:val="83"/>
                    <w:rPr>
                      <w:rFonts w:hint="default"/>
                    </w:rPr>
                  </w:pPr>
                  <w:r>
                    <w:t>104.27kW</w:t>
                  </w:r>
                </w:p>
              </w:tc>
              <w:tc>
                <w:tcPr>
                  <w:tcW w:w="685" w:type="pct"/>
                  <w:vAlign w:val="center"/>
                </w:tcPr>
                <w:p w14:paraId="60B9D4C7">
                  <w:pPr>
                    <w:pStyle w:val="83"/>
                    <w:rPr>
                      <w:rFonts w:hint="default"/>
                    </w:rPr>
                  </w:pPr>
                  <w:r>
                    <w:t>1</w:t>
                  </w:r>
                </w:p>
              </w:tc>
              <w:tc>
                <w:tcPr>
                  <w:tcW w:w="866" w:type="pct"/>
                  <w:vMerge w:val="restart"/>
                  <w:vAlign w:val="center"/>
                </w:tcPr>
                <w:p w14:paraId="5424B9F2">
                  <w:pPr>
                    <w:pStyle w:val="83"/>
                    <w:rPr>
                      <w:rFonts w:hint="default"/>
                    </w:rPr>
                  </w:pPr>
                  <w:r>
                    <w:t>研发/试制/检验车间</w:t>
                  </w:r>
                </w:p>
              </w:tc>
            </w:tr>
            <w:tr w14:paraId="029EEB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E12213E">
                  <w:pPr>
                    <w:pStyle w:val="83"/>
                    <w:rPr>
                      <w:rFonts w:hint="default"/>
                    </w:rPr>
                  </w:pPr>
                  <w:r>
                    <w:t>78</w:t>
                  </w:r>
                </w:p>
              </w:tc>
              <w:tc>
                <w:tcPr>
                  <w:tcW w:w="1896" w:type="pct"/>
                  <w:vMerge w:val="restart"/>
                  <w:vAlign w:val="center"/>
                </w:tcPr>
                <w:p w14:paraId="189246D4">
                  <w:pPr>
                    <w:pStyle w:val="83"/>
                    <w:rPr>
                      <w:rFonts w:hint="default"/>
                    </w:rPr>
                  </w:pPr>
                  <w:r>
                    <w:t>失重秤</w:t>
                  </w:r>
                </w:p>
              </w:tc>
              <w:tc>
                <w:tcPr>
                  <w:tcW w:w="1171" w:type="pct"/>
                  <w:vAlign w:val="center"/>
                </w:tcPr>
                <w:p w14:paraId="3EB3FDDF">
                  <w:pPr>
                    <w:pStyle w:val="83"/>
                    <w:rPr>
                      <w:rFonts w:hint="default"/>
                    </w:rPr>
                  </w:pPr>
                  <w:r>
                    <w:t>NX-S50E</w:t>
                  </w:r>
                </w:p>
              </w:tc>
              <w:tc>
                <w:tcPr>
                  <w:tcW w:w="685" w:type="pct"/>
                  <w:vAlign w:val="center"/>
                </w:tcPr>
                <w:p w14:paraId="1A1F1919">
                  <w:pPr>
                    <w:pStyle w:val="83"/>
                    <w:rPr>
                      <w:rFonts w:hint="default"/>
                    </w:rPr>
                  </w:pPr>
                  <w:r>
                    <w:t>1</w:t>
                  </w:r>
                </w:p>
              </w:tc>
              <w:tc>
                <w:tcPr>
                  <w:tcW w:w="866" w:type="pct"/>
                  <w:vMerge w:val="continue"/>
                  <w:vAlign w:val="center"/>
                </w:tcPr>
                <w:p w14:paraId="361299B1">
                  <w:pPr>
                    <w:pStyle w:val="83"/>
                    <w:rPr>
                      <w:rFonts w:hint="default"/>
                    </w:rPr>
                  </w:pPr>
                </w:p>
              </w:tc>
            </w:tr>
            <w:tr w14:paraId="192012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5B6A8B2">
                  <w:pPr>
                    <w:pStyle w:val="83"/>
                    <w:rPr>
                      <w:rFonts w:hint="default"/>
                    </w:rPr>
                  </w:pPr>
                  <w:r>
                    <w:t>79</w:t>
                  </w:r>
                </w:p>
              </w:tc>
              <w:tc>
                <w:tcPr>
                  <w:tcW w:w="1896" w:type="pct"/>
                  <w:vMerge w:val="continue"/>
                  <w:vAlign w:val="center"/>
                </w:tcPr>
                <w:p w14:paraId="6B726A76">
                  <w:pPr>
                    <w:pStyle w:val="83"/>
                    <w:rPr>
                      <w:rFonts w:hint="default"/>
                    </w:rPr>
                  </w:pPr>
                </w:p>
              </w:tc>
              <w:tc>
                <w:tcPr>
                  <w:tcW w:w="1171" w:type="pct"/>
                  <w:vAlign w:val="center"/>
                </w:tcPr>
                <w:p w14:paraId="1F6B31BF">
                  <w:pPr>
                    <w:pStyle w:val="83"/>
                    <w:rPr>
                      <w:rFonts w:hint="default"/>
                    </w:rPr>
                  </w:pPr>
                  <w:r>
                    <w:t>NX-S26E</w:t>
                  </w:r>
                </w:p>
              </w:tc>
              <w:tc>
                <w:tcPr>
                  <w:tcW w:w="685" w:type="pct"/>
                  <w:vAlign w:val="center"/>
                </w:tcPr>
                <w:p w14:paraId="6E60300B">
                  <w:pPr>
                    <w:pStyle w:val="83"/>
                    <w:rPr>
                      <w:rFonts w:hint="default"/>
                    </w:rPr>
                  </w:pPr>
                  <w:r>
                    <w:t>1</w:t>
                  </w:r>
                </w:p>
              </w:tc>
              <w:tc>
                <w:tcPr>
                  <w:tcW w:w="866" w:type="pct"/>
                  <w:vMerge w:val="continue"/>
                  <w:vAlign w:val="center"/>
                </w:tcPr>
                <w:p w14:paraId="7B201705">
                  <w:pPr>
                    <w:pStyle w:val="83"/>
                    <w:rPr>
                      <w:rFonts w:hint="default"/>
                    </w:rPr>
                  </w:pPr>
                </w:p>
              </w:tc>
            </w:tr>
            <w:tr w14:paraId="1FD736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E82EE87">
                  <w:pPr>
                    <w:pStyle w:val="83"/>
                    <w:rPr>
                      <w:rFonts w:hint="default"/>
                    </w:rPr>
                  </w:pPr>
                  <w:r>
                    <w:t>80</w:t>
                  </w:r>
                </w:p>
              </w:tc>
              <w:tc>
                <w:tcPr>
                  <w:tcW w:w="1896" w:type="pct"/>
                  <w:vAlign w:val="center"/>
                </w:tcPr>
                <w:p w14:paraId="0005A87C">
                  <w:pPr>
                    <w:pStyle w:val="83"/>
                    <w:rPr>
                      <w:rFonts w:hint="default"/>
                    </w:rPr>
                  </w:pPr>
                  <w:r>
                    <w:t>多段式转轮除湿机</w:t>
                  </w:r>
                </w:p>
              </w:tc>
              <w:tc>
                <w:tcPr>
                  <w:tcW w:w="1171" w:type="pct"/>
                  <w:vAlign w:val="center"/>
                </w:tcPr>
                <w:p w14:paraId="741D3ED6">
                  <w:pPr>
                    <w:pStyle w:val="83"/>
                    <w:rPr>
                      <w:rFonts w:hint="default"/>
                    </w:rPr>
                  </w:pPr>
                  <w:r>
                    <w:t>RD1500</w:t>
                  </w:r>
                </w:p>
              </w:tc>
              <w:tc>
                <w:tcPr>
                  <w:tcW w:w="685" w:type="pct"/>
                  <w:vAlign w:val="center"/>
                </w:tcPr>
                <w:p w14:paraId="210094E0">
                  <w:pPr>
                    <w:pStyle w:val="83"/>
                    <w:rPr>
                      <w:rFonts w:hint="default"/>
                    </w:rPr>
                  </w:pPr>
                  <w:r>
                    <w:t>2</w:t>
                  </w:r>
                </w:p>
              </w:tc>
              <w:tc>
                <w:tcPr>
                  <w:tcW w:w="866" w:type="pct"/>
                  <w:vMerge w:val="continue"/>
                  <w:vAlign w:val="center"/>
                </w:tcPr>
                <w:p w14:paraId="2E5C23D4">
                  <w:pPr>
                    <w:pStyle w:val="83"/>
                    <w:rPr>
                      <w:rFonts w:hint="default"/>
                    </w:rPr>
                  </w:pPr>
                </w:p>
              </w:tc>
            </w:tr>
            <w:tr w14:paraId="734359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E4B5AAE">
                  <w:pPr>
                    <w:pStyle w:val="83"/>
                    <w:rPr>
                      <w:rFonts w:hint="default"/>
                    </w:rPr>
                  </w:pPr>
                  <w:r>
                    <w:t>81</w:t>
                  </w:r>
                </w:p>
              </w:tc>
              <w:tc>
                <w:tcPr>
                  <w:tcW w:w="1896" w:type="pct"/>
                  <w:vAlign w:val="center"/>
                </w:tcPr>
                <w:p w14:paraId="4BE280DA">
                  <w:pPr>
                    <w:pStyle w:val="83"/>
                    <w:rPr>
                      <w:rFonts w:hint="default"/>
                    </w:rPr>
                  </w:pPr>
                  <w:r>
                    <w:t>欧化双层不锈钢干燥机</w:t>
                  </w:r>
                </w:p>
              </w:tc>
              <w:tc>
                <w:tcPr>
                  <w:tcW w:w="1171" w:type="pct"/>
                  <w:vAlign w:val="center"/>
                </w:tcPr>
                <w:p w14:paraId="4B761B83">
                  <w:pPr>
                    <w:pStyle w:val="83"/>
                    <w:rPr>
                      <w:rFonts w:hint="default"/>
                    </w:rPr>
                  </w:pPr>
                  <w:r>
                    <w:t>RHD-2000L</w:t>
                  </w:r>
                </w:p>
              </w:tc>
              <w:tc>
                <w:tcPr>
                  <w:tcW w:w="685" w:type="pct"/>
                  <w:vAlign w:val="center"/>
                </w:tcPr>
                <w:p w14:paraId="0D0A5526">
                  <w:pPr>
                    <w:pStyle w:val="83"/>
                    <w:rPr>
                      <w:rFonts w:hint="default"/>
                    </w:rPr>
                  </w:pPr>
                  <w:r>
                    <w:t>2</w:t>
                  </w:r>
                </w:p>
              </w:tc>
              <w:tc>
                <w:tcPr>
                  <w:tcW w:w="866" w:type="pct"/>
                  <w:vMerge w:val="continue"/>
                  <w:vAlign w:val="center"/>
                </w:tcPr>
                <w:p w14:paraId="60713D23">
                  <w:pPr>
                    <w:pStyle w:val="83"/>
                    <w:rPr>
                      <w:rFonts w:hint="default"/>
                    </w:rPr>
                  </w:pPr>
                </w:p>
              </w:tc>
            </w:tr>
            <w:tr w14:paraId="16A932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9D16CBE">
                  <w:pPr>
                    <w:pStyle w:val="83"/>
                    <w:rPr>
                      <w:rFonts w:hint="default"/>
                    </w:rPr>
                  </w:pPr>
                  <w:r>
                    <w:t>82</w:t>
                  </w:r>
                </w:p>
              </w:tc>
              <w:tc>
                <w:tcPr>
                  <w:tcW w:w="1896" w:type="pct"/>
                  <w:vAlign w:val="center"/>
                </w:tcPr>
                <w:p w14:paraId="7245A257">
                  <w:pPr>
                    <w:pStyle w:val="83"/>
                    <w:rPr>
                      <w:rFonts w:hint="default"/>
                    </w:rPr>
                  </w:pPr>
                  <w:r>
                    <w:t>小型纺丝机（前纺+加弹机）</w:t>
                  </w:r>
                </w:p>
              </w:tc>
              <w:tc>
                <w:tcPr>
                  <w:tcW w:w="1171" w:type="pct"/>
                  <w:vAlign w:val="center"/>
                </w:tcPr>
                <w:p w14:paraId="7471E468">
                  <w:pPr>
                    <w:pStyle w:val="83"/>
                    <w:rPr>
                      <w:rFonts w:hint="default"/>
                    </w:rPr>
                  </w:pPr>
                  <w:r>
                    <w:t>FCF-8A/FCF-10</w:t>
                  </w:r>
                </w:p>
              </w:tc>
              <w:tc>
                <w:tcPr>
                  <w:tcW w:w="685" w:type="pct"/>
                  <w:vAlign w:val="center"/>
                </w:tcPr>
                <w:p w14:paraId="50544CE9">
                  <w:pPr>
                    <w:pStyle w:val="83"/>
                    <w:rPr>
                      <w:rFonts w:hint="default"/>
                    </w:rPr>
                  </w:pPr>
                  <w:r>
                    <w:t>1</w:t>
                  </w:r>
                </w:p>
              </w:tc>
              <w:tc>
                <w:tcPr>
                  <w:tcW w:w="866" w:type="pct"/>
                  <w:vMerge w:val="continue"/>
                  <w:vAlign w:val="center"/>
                </w:tcPr>
                <w:p w14:paraId="4D176C79">
                  <w:pPr>
                    <w:pStyle w:val="83"/>
                    <w:rPr>
                      <w:rFonts w:hint="default"/>
                    </w:rPr>
                  </w:pPr>
                </w:p>
              </w:tc>
            </w:tr>
            <w:tr w14:paraId="6926AB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3F108BD">
                  <w:pPr>
                    <w:pStyle w:val="83"/>
                    <w:rPr>
                      <w:rFonts w:hint="default"/>
                    </w:rPr>
                  </w:pPr>
                  <w:r>
                    <w:t>83</w:t>
                  </w:r>
                </w:p>
              </w:tc>
              <w:tc>
                <w:tcPr>
                  <w:tcW w:w="1896" w:type="pct"/>
                  <w:vAlign w:val="center"/>
                </w:tcPr>
                <w:p w14:paraId="00E91E78">
                  <w:pPr>
                    <w:pStyle w:val="83"/>
                    <w:rPr>
                      <w:rFonts w:hint="default"/>
                    </w:rPr>
                  </w:pPr>
                  <w:r>
                    <w:t>打包机</w:t>
                  </w:r>
                </w:p>
              </w:tc>
              <w:tc>
                <w:tcPr>
                  <w:tcW w:w="1171" w:type="pct"/>
                  <w:vAlign w:val="center"/>
                </w:tcPr>
                <w:p w14:paraId="0A4292FA">
                  <w:pPr>
                    <w:pStyle w:val="83"/>
                    <w:rPr>
                      <w:rFonts w:hint="default"/>
                    </w:rPr>
                  </w:pPr>
                  <w:r>
                    <w:t>YS80-4</w:t>
                  </w:r>
                </w:p>
              </w:tc>
              <w:tc>
                <w:tcPr>
                  <w:tcW w:w="685" w:type="pct"/>
                  <w:vAlign w:val="center"/>
                </w:tcPr>
                <w:p w14:paraId="370D28D6">
                  <w:pPr>
                    <w:pStyle w:val="83"/>
                    <w:rPr>
                      <w:rFonts w:hint="default"/>
                    </w:rPr>
                  </w:pPr>
                  <w:r>
                    <w:t>1</w:t>
                  </w:r>
                </w:p>
              </w:tc>
              <w:tc>
                <w:tcPr>
                  <w:tcW w:w="866" w:type="pct"/>
                  <w:vMerge w:val="continue"/>
                  <w:vAlign w:val="center"/>
                </w:tcPr>
                <w:p w14:paraId="0EE45893">
                  <w:pPr>
                    <w:pStyle w:val="83"/>
                    <w:rPr>
                      <w:rFonts w:hint="default"/>
                    </w:rPr>
                  </w:pPr>
                </w:p>
              </w:tc>
            </w:tr>
            <w:tr w14:paraId="03D000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B8CA038">
                  <w:pPr>
                    <w:pStyle w:val="83"/>
                    <w:rPr>
                      <w:rFonts w:hint="default"/>
                    </w:rPr>
                  </w:pPr>
                  <w:r>
                    <w:t>84</w:t>
                  </w:r>
                </w:p>
              </w:tc>
              <w:tc>
                <w:tcPr>
                  <w:tcW w:w="1896" w:type="pct"/>
                  <w:vAlign w:val="center"/>
                </w:tcPr>
                <w:p w14:paraId="2CEB295C">
                  <w:pPr>
                    <w:pStyle w:val="83"/>
                    <w:rPr>
                      <w:rFonts w:hint="default"/>
                    </w:rPr>
                  </w:pPr>
                  <w:r>
                    <w:t>裁布机</w:t>
                  </w:r>
                </w:p>
              </w:tc>
              <w:tc>
                <w:tcPr>
                  <w:tcW w:w="1171" w:type="pct"/>
                  <w:vAlign w:val="center"/>
                </w:tcPr>
                <w:p w14:paraId="549E7DEB">
                  <w:pPr>
                    <w:pStyle w:val="83"/>
                    <w:rPr>
                      <w:rFonts w:hint="default"/>
                    </w:rPr>
                  </w:pPr>
                  <w:r>
                    <w:t>/</w:t>
                  </w:r>
                </w:p>
              </w:tc>
              <w:tc>
                <w:tcPr>
                  <w:tcW w:w="685" w:type="pct"/>
                  <w:vAlign w:val="center"/>
                </w:tcPr>
                <w:p w14:paraId="5F5195DB">
                  <w:pPr>
                    <w:pStyle w:val="83"/>
                    <w:rPr>
                      <w:rFonts w:hint="default"/>
                    </w:rPr>
                  </w:pPr>
                  <w:r>
                    <w:t>1</w:t>
                  </w:r>
                </w:p>
              </w:tc>
              <w:tc>
                <w:tcPr>
                  <w:tcW w:w="866" w:type="pct"/>
                  <w:vMerge w:val="continue"/>
                  <w:vAlign w:val="center"/>
                </w:tcPr>
                <w:p w14:paraId="57EEEB91">
                  <w:pPr>
                    <w:pStyle w:val="83"/>
                    <w:rPr>
                      <w:rFonts w:hint="default"/>
                    </w:rPr>
                  </w:pPr>
                </w:p>
              </w:tc>
            </w:tr>
            <w:tr w14:paraId="44136B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DC06979">
                  <w:pPr>
                    <w:pStyle w:val="83"/>
                    <w:rPr>
                      <w:rFonts w:hint="default"/>
                    </w:rPr>
                  </w:pPr>
                  <w:r>
                    <w:t>85</w:t>
                  </w:r>
                </w:p>
              </w:tc>
              <w:tc>
                <w:tcPr>
                  <w:tcW w:w="1896" w:type="pct"/>
                  <w:vAlign w:val="center"/>
                </w:tcPr>
                <w:p w14:paraId="399B3DF2">
                  <w:pPr>
                    <w:pStyle w:val="83"/>
                    <w:rPr>
                      <w:rFonts w:hint="default"/>
                    </w:rPr>
                  </w:pPr>
                  <w:r>
                    <w:t>织布机</w:t>
                  </w:r>
                </w:p>
              </w:tc>
              <w:tc>
                <w:tcPr>
                  <w:tcW w:w="1171" w:type="pct"/>
                  <w:vAlign w:val="center"/>
                </w:tcPr>
                <w:p w14:paraId="13A4317A">
                  <w:pPr>
                    <w:pStyle w:val="83"/>
                    <w:rPr>
                      <w:rFonts w:hint="default"/>
                    </w:rPr>
                  </w:pPr>
                  <w:r>
                    <w:t>/</w:t>
                  </w:r>
                </w:p>
              </w:tc>
              <w:tc>
                <w:tcPr>
                  <w:tcW w:w="685" w:type="pct"/>
                  <w:vAlign w:val="center"/>
                </w:tcPr>
                <w:p w14:paraId="1D0AD084">
                  <w:pPr>
                    <w:pStyle w:val="83"/>
                    <w:rPr>
                      <w:rFonts w:hint="default"/>
                    </w:rPr>
                  </w:pPr>
                  <w:r>
                    <w:t>1</w:t>
                  </w:r>
                </w:p>
              </w:tc>
              <w:tc>
                <w:tcPr>
                  <w:tcW w:w="866" w:type="pct"/>
                  <w:vMerge w:val="continue"/>
                  <w:vAlign w:val="center"/>
                </w:tcPr>
                <w:p w14:paraId="42EE1E76">
                  <w:pPr>
                    <w:pStyle w:val="83"/>
                    <w:rPr>
                      <w:rFonts w:hint="default"/>
                    </w:rPr>
                  </w:pPr>
                </w:p>
              </w:tc>
            </w:tr>
            <w:tr w14:paraId="09D20B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81ACC78">
                  <w:pPr>
                    <w:pStyle w:val="83"/>
                    <w:rPr>
                      <w:rFonts w:hint="default"/>
                    </w:rPr>
                  </w:pPr>
                  <w:r>
                    <w:t>86</w:t>
                  </w:r>
                </w:p>
              </w:tc>
              <w:tc>
                <w:tcPr>
                  <w:tcW w:w="1896" w:type="pct"/>
                  <w:vAlign w:val="center"/>
                </w:tcPr>
                <w:p w14:paraId="7722F840">
                  <w:pPr>
                    <w:pStyle w:val="83"/>
                    <w:rPr>
                      <w:rFonts w:hint="default"/>
                    </w:rPr>
                  </w:pPr>
                  <w:r>
                    <w:t>拌料机</w:t>
                  </w:r>
                </w:p>
              </w:tc>
              <w:tc>
                <w:tcPr>
                  <w:tcW w:w="1171" w:type="pct"/>
                  <w:vAlign w:val="center"/>
                </w:tcPr>
                <w:p w14:paraId="139A953B">
                  <w:pPr>
                    <w:pStyle w:val="83"/>
                    <w:rPr>
                      <w:rFonts w:hint="default"/>
                    </w:rPr>
                  </w:pPr>
                  <w:r>
                    <w:t>/</w:t>
                  </w:r>
                </w:p>
              </w:tc>
              <w:tc>
                <w:tcPr>
                  <w:tcW w:w="685" w:type="pct"/>
                  <w:vAlign w:val="center"/>
                </w:tcPr>
                <w:p w14:paraId="2C5BB427">
                  <w:pPr>
                    <w:pStyle w:val="83"/>
                    <w:rPr>
                      <w:rFonts w:hint="default"/>
                    </w:rPr>
                  </w:pPr>
                  <w:r>
                    <w:t>2</w:t>
                  </w:r>
                </w:p>
              </w:tc>
              <w:tc>
                <w:tcPr>
                  <w:tcW w:w="866" w:type="pct"/>
                  <w:vMerge w:val="continue"/>
                  <w:vAlign w:val="center"/>
                </w:tcPr>
                <w:p w14:paraId="551B0D17">
                  <w:pPr>
                    <w:pStyle w:val="83"/>
                    <w:rPr>
                      <w:rFonts w:hint="default"/>
                    </w:rPr>
                  </w:pPr>
                </w:p>
              </w:tc>
            </w:tr>
            <w:tr w14:paraId="1FAA37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A1B1574">
                  <w:pPr>
                    <w:pStyle w:val="83"/>
                    <w:rPr>
                      <w:rFonts w:hint="default"/>
                    </w:rPr>
                  </w:pPr>
                  <w:r>
                    <w:t>87</w:t>
                  </w:r>
                </w:p>
              </w:tc>
              <w:tc>
                <w:tcPr>
                  <w:tcW w:w="1896" w:type="pct"/>
                  <w:vAlign w:val="center"/>
                </w:tcPr>
                <w:p w14:paraId="5C12F182">
                  <w:pPr>
                    <w:pStyle w:val="83"/>
                    <w:rPr>
                      <w:rFonts w:hint="default"/>
                    </w:rPr>
                  </w:pPr>
                  <w:r>
                    <w:t>测色仪</w:t>
                  </w:r>
                </w:p>
              </w:tc>
              <w:tc>
                <w:tcPr>
                  <w:tcW w:w="1171" w:type="pct"/>
                  <w:vAlign w:val="center"/>
                </w:tcPr>
                <w:p w14:paraId="5DC7F76B">
                  <w:pPr>
                    <w:pStyle w:val="83"/>
                    <w:rPr>
                      <w:rFonts w:hint="default"/>
                    </w:rPr>
                  </w:pPr>
                  <w:r>
                    <w:t>Datarcolor800</w:t>
                  </w:r>
                </w:p>
              </w:tc>
              <w:tc>
                <w:tcPr>
                  <w:tcW w:w="685" w:type="pct"/>
                  <w:vAlign w:val="center"/>
                </w:tcPr>
                <w:p w14:paraId="5B6BB2FD">
                  <w:pPr>
                    <w:pStyle w:val="83"/>
                    <w:rPr>
                      <w:rFonts w:hint="default"/>
                    </w:rPr>
                  </w:pPr>
                  <w:r>
                    <w:t>1</w:t>
                  </w:r>
                </w:p>
              </w:tc>
              <w:tc>
                <w:tcPr>
                  <w:tcW w:w="866" w:type="pct"/>
                  <w:vMerge w:val="continue"/>
                  <w:vAlign w:val="center"/>
                </w:tcPr>
                <w:p w14:paraId="4DBE7C0F">
                  <w:pPr>
                    <w:pStyle w:val="83"/>
                    <w:rPr>
                      <w:rFonts w:hint="default"/>
                    </w:rPr>
                  </w:pPr>
                </w:p>
              </w:tc>
            </w:tr>
            <w:tr w14:paraId="1F1F72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02879BD">
                  <w:pPr>
                    <w:pStyle w:val="83"/>
                    <w:rPr>
                      <w:rFonts w:hint="default"/>
                    </w:rPr>
                  </w:pPr>
                  <w:r>
                    <w:t>88</w:t>
                  </w:r>
                </w:p>
              </w:tc>
              <w:tc>
                <w:tcPr>
                  <w:tcW w:w="1896" w:type="pct"/>
                  <w:vAlign w:val="center"/>
                </w:tcPr>
                <w:p w14:paraId="0BD33715">
                  <w:pPr>
                    <w:pStyle w:val="83"/>
                    <w:rPr>
                      <w:rFonts w:hint="default"/>
                    </w:rPr>
                  </w:pPr>
                  <w:r>
                    <w:t>型数控纱线色卡绕线机</w:t>
                  </w:r>
                </w:p>
              </w:tc>
              <w:tc>
                <w:tcPr>
                  <w:tcW w:w="1171" w:type="pct"/>
                  <w:vAlign w:val="center"/>
                </w:tcPr>
                <w:p w14:paraId="40F4D7ED">
                  <w:pPr>
                    <w:pStyle w:val="83"/>
                    <w:rPr>
                      <w:rFonts w:hint="default"/>
                    </w:rPr>
                  </w:pPr>
                  <w:r>
                    <w:t>/</w:t>
                  </w:r>
                </w:p>
              </w:tc>
              <w:tc>
                <w:tcPr>
                  <w:tcW w:w="685" w:type="pct"/>
                  <w:vAlign w:val="center"/>
                </w:tcPr>
                <w:p w14:paraId="0C0C7AE3">
                  <w:pPr>
                    <w:pStyle w:val="83"/>
                    <w:rPr>
                      <w:rFonts w:hint="default"/>
                    </w:rPr>
                  </w:pPr>
                  <w:r>
                    <w:t>1</w:t>
                  </w:r>
                </w:p>
              </w:tc>
              <w:tc>
                <w:tcPr>
                  <w:tcW w:w="866" w:type="pct"/>
                  <w:vMerge w:val="continue"/>
                  <w:vAlign w:val="center"/>
                </w:tcPr>
                <w:p w14:paraId="55D31D7F">
                  <w:pPr>
                    <w:pStyle w:val="83"/>
                    <w:rPr>
                      <w:rFonts w:hint="default"/>
                    </w:rPr>
                  </w:pPr>
                </w:p>
              </w:tc>
            </w:tr>
            <w:tr w14:paraId="1CCCAA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4773D90">
                  <w:pPr>
                    <w:pStyle w:val="83"/>
                    <w:rPr>
                      <w:rFonts w:hint="default"/>
                    </w:rPr>
                  </w:pPr>
                  <w:r>
                    <w:t>89</w:t>
                  </w:r>
                </w:p>
              </w:tc>
              <w:tc>
                <w:tcPr>
                  <w:tcW w:w="1896" w:type="pct"/>
                  <w:vAlign w:val="center"/>
                </w:tcPr>
                <w:p w14:paraId="3D817A3B">
                  <w:pPr>
                    <w:pStyle w:val="83"/>
                    <w:rPr>
                      <w:rFonts w:hint="default"/>
                    </w:rPr>
                  </w:pPr>
                  <w:r>
                    <w:t>对色灯箱</w:t>
                  </w:r>
                </w:p>
              </w:tc>
              <w:tc>
                <w:tcPr>
                  <w:tcW w:w="1171" w:type="pct"/>
                  <w:vAlign w:val="center"/>
                </w:tcPr>
                <w:p w14:paraId="2B3AF6C3">
                  <w:pPr>
                    <w:pStyle w:val="83"/>
                    <w:rPr>
                      <w:rFonts w:hint="default"/>
                    </w:rPr>
                  </w:pPr>
                  <w:r>
                    <w:t>/</w:t>
                  </w:r>
                </w:p>
              </w:tc>
              <w:tc>
                <w:tcPr>
                  <w:tcW w:w="685" w:type="pct"/>
                  <w:vAlign w:val="center"/>
                </w:tcPr>
                <w:p w14:paraId="10195BB4">
                  <w:pPr>
                    <w:pStyle w:val="83"/>
                    <w:rPr>
                      <w:rFonts w:hint="default"/>
                    </w:rPr>
                  </w:pPr>
                  <w:r>
                    <w:t>1</w:t>
                  </w:r>
                </w:p>
              </w:tc>
              <w:tc>
                <w:tcPr>
                  <w:tcW w:w="866" w:type="pct"/>
                  <w:vMerge w:val="continue"/>
                  <w:vAlign w:val="center"/>
                </w:tcPr>
                <w:p w14:paraId="37DFB918">
                  <w:pPr>
                    <w:pStyle w:val="83"/>
                    <w:rPr>
                      <w:rFonts w:hint="default"/>
                    </w:rPr>
                  </w:pPr>
                </w:p>
              </w:tc>
            </w:tr>
            <w:tr w14:paraId="0F92D4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2A6A639">
                  <w:pPr>
                    <w:pStyle w:val="83"/>
                    <w:rPr>
                      <w:rFonts w:hint="default"/>
                    </w:rPr>
                  </w:pPr>
                  <w:r>
                    <w:t>90</w:t>
                  </w:r>
                </w:p>
              </w:tc>
              <w:tc>
                <w:tcPr>
                  <w:tcW w:w="1896" w:type="pct"/>
                  <w:vAlign w:val="center"/>
                </w:tcPr>
                <w:p w14:paraId="7E43BF6E">
                  <w:pPr>
                    <w:pStyle w:val="83"/>
                    <w:rPr>
                      <w:rFonts w:hint="default"/>
                    </w:rPr>
                  </w:pPr>
                  <w:r>
                    <w:t>恒温数显加热台</w:t>
                  </w:r>
                </w:p>
              </w:tc>
              <w:tc>
                <w:tcPr>
                  <w:tcW w:w="1171" w:type="pct"/>
                  <w:vAlign w:val="center"/>
                </w:tcPr>
                <w:p w14:paraId="0813E05E">
                  <w:pPr>
                    <w:pStyle w:val="83"/>
                    <w:rPr>
                      <w:rFonts w:hint="default"/>
                    </w:rPr>
                  </w:pPr>
                  <w:r>
                    <w:t>/</w:t>
                  </w:r>
                </w:p>
              </w:tc>
              <w:tc>
                <w:tcPr>
                  <w:tcW w:w="685" w:type="pct"/>
                  <w:vAlign w:val="center"/>
                </w:tcPr>
                <w:p w14:paraId="7D931DEF">
                  <w:pPr>
                    <w:pStyle w:val="83"/>
                    <w:rPr>
                      <w:rFonts w:hint="default"/>
                    </w:rPr>
                  </w:pPr>
                  <w:r>
                    <w:t>1</w:t>
                  </w:r>
                </w:p>
              </w:tc>
              <w:tc>
                <w:tcPr>
                  <w:tcW w:w="866" w:type="pct"/>
                  <w:vMerge w:val="continue"/>
                  <w:vAlign w:val="center"/>
                </w:tcPr>
                <w:p w14:paraId="0FF044FA">
                  <w:pPr>
                    <w:pStyle w:val="83"/>
                    <w:rPr>
                      <w:rFonts w:hint="default"/>
                    </w:rPr>
                  </w:pPr>
                </w:p>
              </w:tc>
            </w:tr>
            <w:tr w14:paraId="08E469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EF6EBD7">
                  <w:pPr>
                    <w:pStyle w:val="83"/>
                    <w:rPr>
                      <w:rFonts w:hint="default"/>
                    </w:rPr>
                  </w:pPr>
                  <w:r>
                    <w:t>91</w:t>
                  </w:r>
                </w:p>
              </w:tc>
              <w:tc>
                <w:tcPr>
                  <w:tcW w:w="1896" w:type="pct"/>
                  <w:vAlign w:val="center"/>
                </w:tcPr>
                <w:p w14:paraId="31C2408B">
                  <w:pPr>
                    <w:pStyle w:val="83"/>
                    <w:rPr>
                      <w:rFonts w:hint="default"/>
                    </w:rPr>
                  </w:pPr>
                  <w:r>
                    <w:t>织物扫描仪</w:t>
                  </w:r>
                </w:p>
              </w:tc>
              <w:tc>
                <w:tcPr>
                  <w:tcW w:w="1171" w:type="pct"/>
                  <w:vAlign w:val="center"/>
                </w:tcPr>
                <w:p w14:paraId="0432D922">
                  <w:pPr>
                    <w:pStyle w:val="83"/>
                    <w:rPr>
                      <w:rFonts w:hint="default"/>
                    </w:rPr>
                  </w:pPr>
                  <w:r>
                    <w:t>/</w:t>
                  </w:r>
                </w:p>
              </w:tc>
              <w:tc>
                <w:tcPr>
                  <w:tcW w:w="685" w:type="pct"/>
                  <w:vAlign w:val="center"/>
                </w:tcPr>
                <w:p w14:paraId="2DC0AF84">
                  <w:pPr>
                    <w:pStyle w:val="83"/>
                    <w:rPr>
                      <w:rFonts w:hint="default"/>
                    </w:rPr>
                  </w:pPr>
                  <w:r>
                    <w:t>1</w:t>
                  </w:r>
                </w:p>
              </w:tc>
              <w:tc>
                <w:tcPr>
                  <w:tcW w:w="866" w:type="pct"/>
                  <w:vMerge w:val="continue"/>
                  <w:vAlign w:val="center"/>
                </w:tcPr>
                <w:p w14:paraId="541A1D57">
                  <w:pPr>
                    <w:pStyle w:val="83"/>
                    <w:rPr>
                      <w:rFonts w:hint="default"/>
                    </w:rPr>
                  </w:pPr>
                </w:p>
              </w:tc>
            </w:tr>
            <w:tr w14:paraId="55438D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DBF677C">
                  <w:pPr>
                    <w:pStyle w:val="83"/>
                    <w:rPr>
                      <w:rFonts w:hint="default"/>
                    </w:rPr>
                  </w:pPr>
                  <w:r>
                    <w:t>92</w:t>
                  </w:r>
                </w:p>
              </w:tc>
              <w:tc>
                <w:tcPr>
                  <w:tcW w:w="1896" w:type="pct"/>
                  <w:vAlign w:val="center"/>
                </w:tcPr>
                <w:p w14:paraId="72F1CC19">
                  <w:pPr>
                    <w:pStyle w:val="83"/>
                    <w:rPr>
                      <w:rFonts w:hint="default"/>
                    </w:rPr>
                  </w:pPr>
                  <w:r>
                    <w:t>数位眼色相仪</w:t>
                  </w:r>
                </w:p>
              </w:tc>
              <w:tc>
                <w:tcPr>
                  <w:tcW w:w="1171" w:type="pct"/>
                  <w:vAlign w:val="center"/>
                </w:tcPr>
                <w:p w14:paraId="412FC2EF">
                  <w:pPr>
                    <w:pStyle w:val="83"/>
                    <w:rPr>
                      <w:rFonts w:hint="default"/>
                    </w:rPr>
                  </w:pPr>
                  <w:r>
                    <w:t>/</w:t>
                  </w:r>
                </w:p>
              </w:tc>
              <w:tc>
                <w:tcPr>
                  <w:tcW w:w="685" w:type="pct"/>
                  <w:vAlign w:val="center"/>
                </w:tcPr>
                <w:p w14:paraId="60561B5F">
                  <w:pPr>
                    <w:pStyle w:val="83"/>
                    <w:rPr>
                      <w:rFonts w:hint="default"/>
                    </w:rPr>
                  </w:pPr>
                  <w:r>
                    <w:t>1</w:t>
                  </w:r>
                </w:p>
              </w:tc>
              <w:tc>
                <w:tcPr>
                  <w:tcW w:w="866" w:type="pct"/>
                  <w:vMerge w:val="continue"/>
                  <w:vAlign w:val="center"/>
                </w:tcPr>
                <w:p w14:paraId="6264EF77">
                  <w:pPr>
                    <w:pStyle w:val="83"/>
                    <w:rPr>
                      <w:rFonts w:hint="default"/>
                    </w:rPr>
                  </w:pPr>
                </w:p>
              </w:tc>
            </w:tr>
            <w:tr w14:paraId="3B41F4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BA7E9C8">
                  <w:pPr>
                    <w:pStyle w:val="83"/>
                    <w:rPr>
                      <w:rFonts w:hint="default"/>
                    </w:rPr>
                  </w:pPr>
                  <w:r>
                    <w:t>93</w:t>
                  </w:r>
                </w:p>
              </w:tc>
              <w:tc>
                <w:tcPr>
                  <w:tcW w:w="1896" w:type="pct"/>
                  <w:vAlign w:val="center"/>
                </w:tcPr>
                <w:p w14:paraId="13C051BC">
                  <w:pPr>
                    <w:pStyle w:val="83"/>
                    <w:rPr>
                      <w:rFonts w:hint="default"/>
                    </w:rPr>
                  </w:pPr>
                  <w:r>
                    <w:t>单轴撕碎机</w:t>
                  </w:r>
                </w:p>
              </w:tc>
              <w:tc>
                <w:tcPr>
                  <w:tcW w:w="1171" w:type="pct"/>
                  <w:vAlign w:val="center"/>
                </w:tcPr>
                <w:p w14:paraId="540C55FD">
                  <w:pPr>
                    <w:pStyle w:val="83"/>
                    <w:rPr>
                      <w:rFonts w:hint="default"/>
                    </w:rPr>
                  </w:pPr>
                  <w:r>
                    <w:t>XB-L42120</w:t>
                  </w:r>
                </w:p>
              </w:tc>
              <w:tc>
                <w:tcPr>
                  <w:tcW w:w="685" w:type="pct"/>
                  <w:vAlign w:val="center"/>
                </w:tcPr>
                <w:p w14:paraId="784BA9B1">
                  <w:pPr>
                    <w:pStyle w:val="83"/>
                    <w:rPr>
                      <w:rFonts w:hint="default"/>
                    </w:rPr>
                  </w:pPr>
                  <w:r>
                    <w:t>1</w:t>
                  </w:r>
                </w:p>
              </w:tc>
              <w:tc>
                <w:tcPr>
                  <w:tcW w:w="866" w:type="pct"/>
                  <w:vMerge w:val="continue"/>
                  <w:vAlign w:val="center"/>
                </w:tcPr>
                <w:p w14:paraId="09B9E2E4">
                  <w:pPr>
                    <w:pStyle w:val="83"/>
                    <w:rPr>
                      <w:rFonts w:hint="default"/>
                    </w:rPr>
                  </w:pPr>
                </w:p>
              </w:tc>
            </w:tr>
            <w:tr w14:paraId="28E559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C4A20BB">
                  <w:pPr>
                    <w:pStyle w:val="83"/>
                    <w:rPr>
                      <w:rFonts w:hint="default"/>
                    </w:rPr>
                  </w:pPr>
                  <w:r>
                    <w:t>94</w:t>
                  </w:r>
                </w:p>
              </w:tc>
              <w:tc>
                <w:tcPr>
                  <w:tcW w:w="1896" w:type="pct"/>
                  <w:vAlign w:val="center"/>
                </w:tcPr>
                <w:p w14:paraId="72D695CC">
                  <w:pPr>
                    <w:pStyle w:val="83"/>
                    <w:rPr>
                      <w:rFonts w:hint="default"/>
                    </w:rPr>
                  </w:pPr>
                  <w:r>
                    <w:t>真空干燥机</w:t>
                  </w:r>
                </w:p>
              </w:tc>
              <w:tc>
                <w:tcPr>
                  <w:tcW w:w="1171" w:type="pct"/>
                  <w:vAlign w:val="center"/>
                </w:tcPr>
                <w:p w14:paraId="2D3DBAA8">
                  <w:pPr>
                    <w:pStyle w:val="83"/>
                    <w:rPr>
                      <w:rFonts w:hint="default"/>
                    </w:rPr>
                  </w:pPr>
                  <w:r>
                    <w:t>ZKG-2000</w:t>
                  </w:r>
                </w:p>
              </w:tc>
              <w:tc>
                <w:tcPr>
                  <w:tcW w:w="685" w:type="pct"/>
                  <w:vAlign w:val="center"/>
                </w:tcPr>
                <w:p w14:paraId="342E8923">
                  <w:pPr>
                    <w:pStyle w:val="83"/>
                    <w:rPr>
                      <w:rFonts w:hint="default"/>
                    </w:rPr>
                  </w:pPr>
                  <w:r>
                    <w:t>1</w:t>
                  </w:r>
                </w:p>
              </w:tc>
              <w:tc>
                <w:tcPr>
                  <w:tcW w:w="866" w:type="pct"/>
                  <w:vMerge w:val="continue"/>
                  <w:vAlign w:val="center"/>
                </w:tcPr>
                <w:p w14:paraId="784FCFD7">
                  <w:pPr>
                    <w:pStyle w:val="83"/>
                    <w:rPr>
                      <w:rFonts w:hint="default"/>
                    </w:rPr>
                  </w:pPr>
                </w:p>
              </w:tc>
            </w:tr>
            <w:tr w14:paraId="4181AE5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01B7A574">
                  <w:pPr>
                    <w:pStyle w:val="83"/>
                    <w:rPr>
                      <w:rFonts w:hint="default"/>
                    </w:rPr>
                  </w:pPr>
                  <w:r>
                    <w:t>95</w:t>
                  </w:r>
                </w:p>
              </w:tc>
              <w:tc>
                <w:tcPr>
                  <w:tcW w:w="1896" w:type="pct"/>
                  <w:vAlign w:val="center"/>
                </w:tcPr>
                <w:p w14:paraId="7D530A22">
                  <w:pPr>
                    <w:pStyle w:val="83"/>
                    <w:rPr>
                      <w:rFonts w:hint="default"/>
                    </w:rPr>
                  </w:pPr>
                  <w:r>
                    <w:t>开放式振动筛</w:t>
                  </w:r>
                </w:p>
              </w:tc>
              <w:tc>
                <w:tcPr>
                  <w:tcW w:w="1171" w:type="pct"/>
                  <w:vAlign w:val="center"/>
                </w:tcPr>
                <w:p w14:paraId="75B8C6FE">
                  <w:pPr>
                    <w:pStyle w:val="83"/>
                    <w:rPr>
                      <w:rFonts w:hint="default"/>
                    </w:rPr>
                  </w:pPr>
                  <w:r>
                    <w:t>380V50HZ-2.2kW/304不锈钢</w:t>
                  </w:r>
                </w:p>
              </w:tc>
              <w:tc>
                <w:tcPr>
                  <w:tcW w:w="685" w:type="pct"/>
                  <w:vAlign w:val="center"/>
                </w:tcPr>
                <w:p w14:paraId="4CB6ECCB">
                  <w:pPr>
                    <w:pStyle w:val="83"/>
                    <w:rPr>
                      <w:rFonts w:hint="default"/>
                    </w:rPr>
                  </w:pPr>
                  <w:r>
                    <w:t>1</w:t>
                  </w:r>
                </w:p>
              </w:tc>
              <w:tc>
                <w:tcPr>
                  <w:tcW w:w="866" w:type="pct"/>
                  <w:vMerge w:val="continue"/>
                  <w:vAlign w:val="center"/>
                </w:tcPr>
                <w:p w14:paraId="20A6FE97">
                  <w:pPr>
                    <w:pStyle w:val="83"/>
                    <w:rPr>
                      <w:rFonts w:hint="default"/>
                    </w:rPr>
                  </w:pPr>
                </w:p>
              </w:tc>
            </w:tr>
            <w:tr w14:paraId="27B353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709FE06">
                  <w:pPr>
                    <w:pStyle w:val="83"/>
                    <w:rPr>
                      <w:rFonts w:hint="default"/>
                    </w:rPr>
                  </w:pPr>
                  <w:r>
                    <w:t>96</w:t>
                  </w:r>
                </w:p>
              </w:tc>
              <w:tc>
                <w:tcPr>
                  <w:tcW w:w="1896" w:type="pct"/>
                  <w:vAlign w:val="center"/>
                </w:tcPr>
                <w:p w14:paraId="4562EB6B">
                  <w:pPr>
                    <w:pStyle w:val="83"/>
                    <w:rPr>
                      <w:rFonts w:hint="default"/>
                    </w:rPr>
                  </w:pPr>
                  <w:r>
                    <w:t>悬臂梁冲击试验机</w:t>
                  </w:r>
                </w:p>
              </w:tc>
              <w:tc>
                <w:tcPr>
                  <w:tcW w:w="1171" w:type="pct"/>
                  <w:vAlign w:val="center"/>
                </w:tcPr>
                <w:p w14:paraId="7EEE4D65">
                  <w:pPr>
                    <w:pStyle w:val="83"/>
                    <w:rPr>
                      <w:rFonts w:hint="default"/>
                    </w:rPr>
                  </w:pPr>
                  <w:r>
                    <w:t>XJJ-50</w:t>
                  </w:r>
                </w:p>
              </w:tc>
              <w:tc>
                <w:tcPr>
                  <w:tcW w:w="685" w:type="pct"/>
                  <w:vAlign w:val="center"/>
                </w:tcPr>
                <w:p w14:paraId="171C209E">
                  <w:pPr>
                    <w:pStyle w:val="83"/>
                    <w:rPr>
                      <w:rFonts w:hint="default"/>
                    </w:rPr>
                  </w:pPr>
                  <w:r>
                    <w:t>1</w:t>
                  </w:r>
                </w:p>
              </w:tc>
              <w:tc>
                <w:tcPr>
                  <w:tcW w:w="866" w:type="pct"/>
                  <w:vMerge w:val="continue"/>
                  <w:vAlign w:val="center"/>
                </w:tcPr>
                <w:p w14:paraId="2D1C09DE">
                  <w:pPr>
                    <w:pStyle w:val="83"/>
                    <w:rPr>
                      <w:rFonts w:hint="default"/>
                    </w:rPr>
                  </w:pPr>
                </w:p>
              </w:tc>
            </w:tr>
            <w:tr w14:paraId="30DA6E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5983FA1">
                  <w:pPr>
                    <w:pStyle w:val="83"/>
                    <w:rPr>
                      <w:rFonts w:hint="default"/>
                    </w:rPr>
                  </w:pPr>
                  <w:r>
                    <w:t>97</w:t>
                  </w:r>
                </w:p>
              </w:tc>
              <w:tc>
                <w:tcPr>
                  <w:tcW w:w="1896" w:type="pct"/>
                  <w:vAlign w:val="center"/>
                </w:tcPr>
                <w:p w14:paraId="5CCDD84E">
                  <w:pPr>
                    <w:pStyle w:val="83"/>
                    <w:rPr>
                      <w:rFonts w:hint="default"/>
                    </w:rPr>
                  </w:pPr>
                  <w:r>
                    <w:t>热变形温度测定仪</w:t>
                  </w:r>
                </w:p>
              </w:tc>
              <w:tc>
                <w:tcPr>
                  <w:tcW w:w="1171" w:type="pct"/>
                  <w:vAlign w:val="center"/>
                </w:tcPr>
                <w:p w14:paraId="5FF019DA">
                  <w:pPr>
                    <w:pStyle w:val="83"/>
                    <w:rPr>
                      <w:rFonts w:hint="default"/>
                    </w:rPr>
                  </w:pPr>
                  <w:r>
                    <w:t>XWB-300C</w:t>
                  </w:r>
                </w:p>
              </w:tc>
              <w:tc>
                <w:tcPr>
                  <w:tcW w:w="685" w:type="pct"/>
                  <w:vAlign w:val="center"/>
                </w:tcPr>
                <w:p w14:paraId="191CA128">
                  <w:pPr>
                    <w:pStyle w:val="83"/>
                    <w:rPr>
                      <w:rFonts w:hint="default"/>
                    </w:rPr>
                  </w:pPr>
                  <w:r>
                    <w:t>1</w:t>
                  </w:r>
                </w:p>
              </w:tc>
              <w:tc>
                <w:tcPr>
                  <w:tcW w:w="866" w:type="pct"/>
                  <w:vMerge w:val="continue"/>
                  <w:vAlign w:val="center"/>
                </w:tcPr>
                <w:p w14:paraId="7A5F30A7">
                  <w:pPr>
                    <w:pStyle w:val="83"/>
                    <w:rPr>
                      <w:rFonts w:hint="default"/>
                    </w:rPr>
                  </w:pPr>
                </w:p>
              </w:tc>
            </w:tr>
            <w:tr w14:paraId="099982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6D0090A">
                  <w:pPr>
                    <w:pStyle w:val="83"/>
                    <w:rPr>
                      <w:rFonts w:hint="default"/>
                    </w:rPr>
                  </w:pPr>
                  <w:r>
                    <w:t>98</w:t>
                  </w:r>
                </w:p>
              </w:tc>
              <w:tc>
                <w:tcPr>
                  <w:tcW w:w="1896" w:type="pct"/>
                  <w:vAlign w:val="center"/>
                </w:tcPr>
                <w:p w14:paraId="35F79B1A">
                  <w:pPr>
                    <w:pStyle w:val="83"/>
                    <w:rPr>
                      <w:rFonts w:hint="default"/>
                    </w:rPr>
                  </w:pPr>
                  <w:r>
                    <w:t>毛细管/旋转流变仪</w:t>
                  </w:r>
                </w:p>
              </w:tc>
              <w:tc>
                <w:tcPr>
                  <w:tcW w:w="1171" w:type="pct"/>
                  <w:vAlign w:val="center"/>
                </w:tcPr>
                <w:p w14:paraId="7705FF72">
                  <w:pPr>
                    <w:pStyle w:val="83"/>
                    <w:rPr>
                      <w:rFonts w:hint="default"/>
                    </w:rPr>
                  </w:pPr>
                  <w:r>
                    <w:t>BML-400-B</w:t>
                  </w:r>
                </w:p>
              </w:tc>
              <w:tc>
                <w:tcPr>
                  <w:tcW w:w="685" w:type="pct"/>
                  <w:vAlign w:val="center"/>
                </w:tcPr>
                <w:p w14:paraId="3C25B1CC">
                  <w:pPr>
                    <w:pStyle w:val="83"/>
                    <w:rPr>
                      <w:rFonts w:hint="default"/>
                    </w:rPr>
                  </w:pPr>
                  <w:r>
                    <w:t>1</w:t>
                  </w:r>
                </w:p>
              </w:tc>
              <w:tc>
                <w:tcPr>
                  <w:tcW w:w="866" w:type="pct"/>
                  <w:vMerge w:val="continue"/>
                  <w:vAlign w:val="center"/>
                </w:tcPr>
                <w:p w14:paraId="0D22C2D8">
                  <w:pPr>
                    <w:pStyle w:val="83"/>
                    <w:rPr>
                      <w:rFonts w:hint="default"/>
                    </w:rPr>
                  </w:pPr>
                </w:p>
              </w:tc>
            </w:tr>
            <w:tr w14:paraId="3D7180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13EC43C">
                  <w:pPr>
                    <w:pStyle w:val="83"/>
                    <w:rPr>
                      <w:rFonts w:hint="default"/>
                    </w:rPr>
                  </w:pPr>
                  <w:r>
                    <w:t>99</w:t>
                  </w:r>
                </w:p>
              </w:tc>
              <w:tc>
                <w:tcPr>
                  <w:tcW w:w="1896" w:type="pct"/>
                  <w:vAlign w:val="center"/>
                </w:tcPr>
                <w:p w14:paraId="3FFB0B1D">
                  <w:pPr>
                    <w:pStyle w:val="83"/>
                    <w:rPr>
                      <w:rFonts w:hint="default"/>
                    </w:rPr>
                  </w:pPr>
                  <w:r>
                    <w:t>恒温恒湿箱</w:t>
                  </w:r>
                </w:p>
              </w:tc>
              <w:tc>
                <w:tcPr>
                  <w:tcW w:w="1171" w:type="pct"/>
                  <w:vAlign w:val="center"/>
                </w:tcPr>
                <w:p w14:paraId="1CE61ECB">
                  <w:pPr>
                    <w:pStyle w:val="83"/>
                    <w:rPr>
                      <w:rFonts w:hint="default"/>
                    </w:rPr>
                  </w:pPr>
                  <w:r>
                    <w:t>PC340</w:t>
                  </w:r>
                </w:p>
              </w:tc>
              <w:tc>
                <w:tcPr>
                  <w:tcW w:w="685" w:type="pct"/>
                  <w:vAlign w:val="center"/>
                </w:tcPr>
                <w:p w14:paraId="4338219F">
                  <w:pPr>
                    <w:pStyle w:val="83"/>
                    <w:rPr>
                      <w:rFonts w:hint="default"/>
                    </w:rPr>
                  </w:pPr>
                  <w:r>
                    <w:t>1</w:t>
                  </w:r>
                </w:p>
              </w:tc>
              <w:tc>
                <w:tcPr>
                  <w:tcW w:w="866" w:type="pct"/>
                  <w:vMerge w:val="continue"/>
                  <w:vAlign w:val="center"/>
                </w:tcPr>
                <w:p w14:paraId="5B6E9C5D">
                  <w:pPr>
                    <w:pStyle w:val="83"/>
                    <w:rPr>
                      <w:rFonts w:hint="default"/>
                    </w:rPr>
                  </w:pPr>
                </w:p>
              </w:tc>
            </w:tr>
            <w:tr w14:paraId="3050A4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64F9A90">
                  <w:pPr>
                    <w:pStyle w:val="83"/>
                    <w:rPr>
                      <w:rFonts w:hint="default"/>
                    </w:rPr>
                  </w:pPr>
                  <w:r>
                    <w:t>100</w:t>
                  </w:r>
                </w:p>
              </w:tc>
              <w:tc>
                <w:tcPr>
                  <w:tcW w:w="1896" w:type="pct"/>
                  <w:vAlign w:val="center"/>
                </w:tcPr>
                <w:p w14:paraId="76E95A14">
                  <w:pPr>
                    <w:pStyle w:val="83"/>
                    <w:rPr>
                      <w:rFonts w:hint="default"/>
                    </w:rPr>
                  </w:pPr>
                  <w:r>
                    <w:t>熔融指数仪（MFI）</w:t>
                  </w:r>
                </w:p>
              </w:tc>
              <w:tc>
                <w:tcPr>
                  <w:tcW w:w="1171" w:type="pct"/>
                  <w:vAlign w:val="center"/>
                </w:tcPr>
                <w:p w14:paraId="7131B450">
                  <w:pPr>
                    <w:pStyle w:val="83"/>
                    <w:rPr>
                      <w:rFonts w:hint="default"/>
                    </w:rPr>
                  </w:pPr>
                  <w:r>
                    <w:t>LD-RZg</w:t>
                  </w:r>
                </w:p>
              </w:tc>
              <w:tc>
                <w:tcPr>
                  <w:tcW w:w="685" w:type="pct"/>
                  <w:vAlign w:val="center"/>
                </w:tcPr>
                <w:p w14:paraId="1ADF556E">
                  <w:pPr>
                    <w:pStyle w:val="83"/>
                    <w:rPr>
                      <w:rFonts w:hint="default"/>
                    </w:rPr>
                  </w:pPr>
                  <w:r>
                    <w:t>1</w:t>
                  </w:r>
                </w:p>
              </w:tc>
              <w:tc>
                <w:tcPr>
                  <w:tcW w:w="866" w:type="pct"/>
                  <w:vMerge w:val="continue"/>
                  <w:vAlign w:val="center"/>
                </w:tcPr>
                <w:p w14:paraId="04DD13E3">
                  <w:pPr>
                    <w:pStyle w:val="83"/>
                    <w:rPr>
                      <w:rFonts w:hint="default"/>
                    </w:rPr>
                  </w:pPr>
                </w:p>
              </w:tc>
            </w:tr>
            <w:tr w14:paraId="1CF634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0C02BC9">
                  <w:pPr>
                    <w:pStyle w:val="83"/>
                    <w:rPr>
                      <w:rFonts w:hint="default"/>
                    </w:rPr>
                  </w:pPr>
                  <w:r>
                    <w:t>101</w:t>
                  </w:r>
                </w:p>
              </w:tc>
              <w:tc>
                <w:tcPr>
                  <w:tcW w:w="1896" w:type="pct"/>
                  <w:vAlign w:val="center"/>
                </w:tcPr>
                <w:p w14:paraId="075C771E">
                  <w:pPr>
                    <w:pStyle w:val="83"/>
                    <w:rPr>
                      <w:rFonts w:hint="default"/>
                    </w:rPr>
                  </w:pPr>
                  <w:r>
                    <w:t>纤维拉伸试验机</w:t>
                  </w:r>
                </w:p>
              </w:tc>
              <w:tc>
                <w:tcPr>
                  <w:tcW w:w="1171" w:type="pct"/>
                  <w:vAlign w:val="center"/>
                </w:tcPr>
                <w:p w14:paraId="01527D1D">
                  <w:pPr>
                    <w:pStyle w:val="83"/>
                    <w:rPr>
                      <w:rFonts w:hint="default"/>
                    </w:rPr>
                  </w:pPr>
                  <w:r>
                    <w:t>YG004E</w:t>
                  </w:r>
                </w:p>
              </w:tc>
              <w:tc>
                <w:tcPr>
                  <w:tcW w:w="685" w:type="pct"/>
                  <w:vAlign w:val="center"/>
                </w:tcPr>
                <w:p w14:paraId="54967263">
                  <w:pPr>
                    <w:pStyle w:val="83"/>
                    <w:rPr>
                      <w:rFonts w:hint="default"/>
                    </w:rPr>
                  </w:pPr>
                  <w:r>
                    <w:t>1</w:t>
                  </w:r>
                </w:p>
              </w:tc>
              <w:tc>
                <w:tcPr>
                  <w:tcW w:w="866" w:type="pct"/>
                  <w:vMerge w:val="continue"/>
                  <w:vAlign w:val="center"/>
                </w:tcPr>
                <w:p w14:paraId="2AAF2A4A">
                  <w:pPr>
                    <w:pStyle w:val="83"/>
                    <w:rPr>
                      <w:rFonts w:hint="default"/>
                    </w:rPr>
                  </w:pPr>
                </w:p>
              </w:tc>
            </w:tr>
            <w:tr w14:paraId="592350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C49B1C7">
                  <w:pPr>
                    <w:pStyle w:val="83"/>
                    <w:rPr>
                      <w:rFonts w:hint="default"/>
                    </w:rPr>
                  </w:pPr>
                  <w:r>
                    <w:t>102</w:t>
                  </w:r>
                </w:p>
              </w:tc>
              <w:tc>
                <w:tcPr>
                  <w:tcW w:w="1896" w:type="pct"/>
                  <w:vAlign w:val="center"/>
                </w:tcPr>
                <w:p w14:paraId="2235E281">
                  <w:pPr>
                    <w:pStyle w:val="83"/>
                    <w:rPr>
                      <w:rFonts w:hint="default"/>
                    </w:rPr>
                  </w:pPr>
                  <w:r>
                    <w:t>智能数显磁力搅拌器加热锅</w:t>
                  </w:r>
                </w:p>
              </w:tc>
              <w:tc>
                <w:tcPr>
                  <w:tcW w:w="1171" w:type="pct"/>
                  <w:vAlign w:val="center"/>
                </w:tcPr>
                <w:p w14:paraId="083F4615">
                  <w:pPr>
                    <w:pStyle w:val="83"/>
                    <w:rPr>
                      <w:rFonts w:hint="default"/>
                    </w:rPr>
                  </w:pPr>
                  <w:r>
                    <w:t>ZNCL-GS</w:t>
                  </w:r>
                </w:p>
              </w:tc>
              <w:tc>
                <w:tcPr>
                  <w:tcW w:w="685" w:type="pct"/>
                  <w:vAlign w:val="center"/>
                </w:tcPr>
                <w:p w14:paraId="7E705796">
                  <w:pPr>
                    <w:pStyle w:val="83"/>
                    <w:rPr>
                      <w:rFonts w:hint="default"/>
                    </w:rPr>
                  </w:pPr>
                  <w:r>
                    <w:t>1</w:t>
                  </w:r>
                </w:p>
              </w:tc>
              <w:tc>
                <w:tcPr>
                  <w:tcW w:w="866" w:type="pct"/>
                  <w:vMerge w:val="continue"/>
                  <w:vAlign w:val="center"/>
                </w:tcPr>
                <w:p w14:paraId="36DD0C08">
                  <w:pPr>
                    <w:pStyle w:val="83"/>
                    <w:rPr>
                      <w:rFonts w:hint="default"/>
                    </w:rPr>
                  </w:pPr>
                </w:p>
              </w:tc>
            </w:tr>
            <w:tr w14:paraId="120840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AC7637A">
                  <w:pPr>
                    <w:pStyle w:val="83"/>
                    <w:rPr>
                      <w:rFonts w:hint="default"/>
                    </w:rPr>
                  </w:pPr>
                  <w:r>
                    <w:t>103</w:t>
                  </w:r>
                </w:p>
              </w:tc>
              <w:tc>
                <w:tcPr>
                  <w:tcW w:w="1896" w:type="pct"/>
                  <w:vAlign w:val="center"/>
                </w:tcPr>
                <w:p w14:paraId="0E4021B4">
                  <w:pPr>
                    <w:pStyle w:val="83"/>
                    <w:rPr>
                      <w:rFonts w:hint="default"/>
                    </w:rPr>
                  </w:pPr>
                  <w:r>
                    <w:t>循环水式多用真空泵</w:t>
                  </w:r>
                </w:p>
              </w:tc>
              <w:tc>
                <w:tcPr>
                  <w:tcW w:w="1171" w:type="pct"/>
                  <w:vAlign w:val="center"/>
                </w:tcPr>
                <w:p w14:paraId="4D59BCD3">
                  <w:pPr>
                    <w:pStyle w:val="83"/>
                    <w:rPr>
                      <w:rFonts w:hint="default"/>
                    </w:rPr>
                  </w:pPr>
                  <w:r>
                    <w:t>SHB-Ⅲ</w:t>
                  </w:r>
                </w:p>
              </w:tc>
              <w:tc>
                <w:tcPr>
                  <w:tcW w:w="685" w:type="pct"/>
                  <w:vAlign w:val="center"/>
                </w:tcPr>
                <w:p w14:paraId="06ADBA9B">
                  <w:pPr>
                    <w:pStyle w:val="83"/>
                    <w:rPr>
                      <w:rFonts w:hint="default"/>
                    </w:rPr>
                  </w:pPr>
                  <w:r>
                    <w:t>1</w:t>
                  </w:r>
                </w:p>
              </w:tc>
              <w:tc>
                <w:tcPr>
                  <w:tcW w:w="866" w:type="pct"/>
                  <w:vMerge w:val="continue"/>
                  <w:vAlign w:val="center"/>
                </w:tcPr>
                <w:p w14:paraId="51DC7884">
                  <w:pPr>
                    <w:pStyle w:val="83"/>
                    <w:rPr>
                      <w:rFonts w:hint="default"/>
                    </w:rPr>
                  </w:pPr>
                </w:p>
              </w:tc>
            </w:tr>
            <w:tr w14:paraId="41052A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195274B">
                  <w:pPr>
                    <w:pStyle w:val="83"/>
                    <w:rPr>
                      <w:rFonts w:hint="default"/>
                    </w:rPr>
                  </w:pPr>
                  <w:r>
                    <w:t>104</w:t>
                  </w:r>
                </w:p>
              </w:tc>
              <w:tc>
                <w:tcPr>
                  <w:tcW w:w="1896" w:type="pct"/>
                  <w:vAlign w:val="center"/>
                </w:tcPr>
                <w:p w14:paraId="32115EDC">
                  <w:pPr>
                    <w:pStyle w:val="83"/>
                    <w:rPr>
                      <w:rFonts w:hint="default"/>
                    </w:rPr>
                  </w:pPr>
                  <w:r>
                    <w:t>电热恒温鼓风干燥箱</w:t>
                  </w:r>
                </w:p>
              </w:tc>
              <w:tc>
                <w:tcPr>
                  <w:tcW w:w="1171" w:type="pct"/>
                  <w:vAlign w:val="center"/>
                </w:tcPr>
                <w:p w14:paraId="5F70E600">
                  <w:pPr>
                    <w:pStyle w:val="83"/>
                    <w:rPr>
                      <w:rFonts w:hint="default"/>
                    </w:rPr>
                  </w:pPr>
                  <w:r>
                    <w:t>DHG-9053A</w:t>
                  </w:r>
                </w:p>
              </w:tc>
              <w:tc>
                <w:tcPr>
                  <w:tcW w:w="685" w:type="pct"/>
                  <w:vAlign w:val="center"/>
                </w:tcPr>
                <w:p w14:paraId="0934842A">
                  <w:pPr>
                    <w:pStyle w:val="83"/>
                    <w:rPr>
                      <w:rFonts w:hint="default"/>
                    </w:rPr>
                  </w:pPr>
                  <w:r>
                    <w:t>1</w:t>
                  </w:r>
                </w:p>
              </w:tc>
              <w:tc>
                <w:tcPr>
                  <w:tcW w:w="866" w:type="pct"/>
                  <w:vMerge w:val="continue"/>
                  <w:vAlign w:val="center"/>
                </w:tcPr>
                <w:p w14:paraId="3EBF03E4">
                  <w:pPr>
                    <w:pStyle w:val="83"/>
                    <w:rPr>
                      <w:rFonts w:hint="default"/>
                    </w:rPr>
                  </w:pPr>
                </w:p>
              </w:tc>
            </w:tr>
            <w:tr w14:paraId="0ED41A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E36A771">
                  <w:pPr>
                    <w:pStyle w:val="83"/>
                    <w:rPr>
                      <w:rFonts w:hint="default"/>
                    </w:rPr>
                  </w:pPr>
                  <w:r>
                    <w:t>105</w:t>
                  </w:r>
                </w:p>
              </w:tc>
              <w:tc>
                <w:tcPr>
                  <w:tcW w:w="1896" w:type="pct"/>
                  <w:vAlign w:val="center"/>
                </w:tcPr>
                <w:p w14:paraId="11C297B5">
                  <w:pPr>
                    <w:pStyle w:val="83"/>
                    <w:rPr>
                      <w:rFonts w:hint="default"/>
                    </w:rPr>
                  </w:pPr>
                  <w:r>
                    <w:t>水热合成釜</w:t>
                  </w:r>
                </w:p>
              </w:tc>
              <w:tc>
                <w:tcPr>
                  <w:tcW w:w="1171" w:type="pct"/>
                  <w:vAlign w:val="center"/>
                </w:tcPr>
                <w:p w14:paraId="7142C5C1">
                  <w:pPr>
                    <w:pStyle w:val="83"/>
                    <w:rPr>
                      <w:rFonts w:hint="default"/>
                    </w:rPr>
                  </w:pPr>
                  <w:r>
                    <w:t>25ml</w:t>
                  </w:r>
                </w:p>
              </w:tc>
              <w:tc>
                <w:tcPr>
                  <w:tcW w:w="685" w:type="pct"/>
                  <w:vAlign w:val="center"/>
                </w:tcPr>
                <w:p w14:paraId="29A97680">
                  <w:pPr>
                    <w:pStyle w:val="83"/>
                    <w:rPr>
                      <w:rFonts w:hint="default"/>
                    </w:rPr>
                  </w:pPr>
                  <w:r>
                    <w:t>1</w:t>
                  </w:r>
                </w:p>
              </w:tc>
              <w:tc>
                <w:tcPr>
                  <w:tcW w:w="866" w:type="pct"/>
                  <w:vMerge w:val="continue"/>
                  <w:vAlign w:val="center"/>
                </w:tcPr>
                <w:p w14:paraId="6533C9DD">
                  <w:pPr>
                    <w:pStyle w:val="83"/>
                    <w:rPr>
                      <w:rFonts w:hint="default"/>
                    </w:rPr>
                  </w:pPr>
                </w:p>
              </w:tc>
            </w:tr>
            <w:tr w14:paraId="5A823C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A0673BA">
                  <w:pPr>
                    <w:pStyle w:val="83"/>
                    <w:rPr>
                      <w:rFonts w:hint="default"/>
                    </w:rPr>
                  </w:pPr>
                  <w:r>
                    <w:t>106</w:t>
                  </w:r>
                </w:p>
              </w:tc>
              <w:tc>
                <w:tcPr>
                  <w:tcW w:w="1896" w:type="pct"/>
                  <w:vAlign w:val="center"/>
                </w:tcPr>
                <w:p w14:paraId="6492A63F">
                  <w:pPr>
                    <w:pStyle w:val="83"/>
                    <w:rPr>
                      <w:rFonts w:hint="default"/>
                    </w:rPr>
                  </w:pPr>
                  <w:r>
                    <w:t>旋转蒸发仪</w:t>
                  </w:r>
                </w:p>
              </w:tc>
              <w:tc>
                <w:tcPr>
                  <w:tcW w:w="1171" w:type="pct"/>
                  <w:vAlign w:val="center"/>
                </w:tcPr>
                <w:p w14:paraId="6900AC81">
                  <w:pPr>
                    <w:pStyle w:val="83"/>
                    <w:rPr>
                      <w:rFonts w:hint="default"/>
                    </w:rPr>
                  </w:pPr>
                  <w:r>
                    <w:t>R-3001</w:t>
                  </w:r>
                </w:p>
              </w:tc>
              <w:tc>
                <w:tcPr>
                  <w:tcW w:w="685" w:type="pct"/>
                  <w:vAlign w:val="center"/>
                </w:tcPr>
                <w:p w14:paraId="59E6C719">
                  <w:pPr>
                    <w:pStyle w:val="83"/>
                    <w:rPr>
                      <w:rFonts w:hint="default"/>
                    </w:rPr>
                  </w:pPr>
                  <w:r>
                    <w:t>1</w:t>
                  </w:r>
                </w:p>
              </w:tc>
              <w:tc>
                <w:tcPr>
                  <w:tcW w:w="866" w:type="pct"/>
                  <w:vMerge w:val="continue"/>
                  <w:vAlign w:val="center"/>
                </w:tcPr>
                <w:p w14:paraId="0570FC0D">
                  <w:pPr>
                    <w:pStyle w:val="83"/>
                    <w:rPr>
                      <w:rFonts w:hint="default"/>
                    </w:rPr>
                  </w:pPr>
                </w:p>
              </w:tc>
            </w:tr>
            <w:tr w14:paraId="4E4035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161EDF7">
                  <w:pPr>
                    <w:pStyle w:val="83"/>
                    <w:rPr>
                      <w:rFonts w:hint="default"/>
                    </w:rPr>
                  </w:pPr>
                  <w:r>
                    <w:t>107</w:t>
                  </w:r>
                </w:p>
              </w:tc>
              <w:tc>
                <w:tcPr>
                  <w:tcW w:w="1896" w:type="pct"/>
                  <w:vAlign w:val="center"/>
                </w:tcPr>
                <w:p w14:paraId="34F2F080">
                  <w:pPr>
                    <w:pStyle w:val="83"/>
                    <w:rPr>
                      <w:rFonts w:hint="default"/>
                    </w:rPr>
                  </w:pPr>
                  <w:r>
                    <w:t>低温冷却循环器</w:t>
                  </w:r>
                </w:p>
              </w:tc>
              <w:tc>
                <w:tcPr>
                  <w:tcW w:w="1171" w:type="pct"/>
                  <w:vAlign w:val="center"/>
                </w:tcPr>
                <w:p w14:paraId="67013B2F">
                  <w:pPr>
                    <w:pStyle w:val="83"/>
                    <w:rPr>
                      <w:rFonts w:hint="default"/>
                    </w:rPr>
                  </w:pPr>
                  <w:r>
                    <w:t>DL-400</w:t>
                  </w:r>
                </w:p>
              </w:tc>
              <w:tc>
                <w:tcPr>
                  <w:tcW w:w="685" w:type="pct"/>
                  <w:vAlign w:val="center"/>
                </w:tcPr>
                <w:p w14:paraId="35486E5D">
                  <w:pPr>
                    <w:pStyle w:val="83"/>
                    <w:rPr>
                      <w:rFonts w:hint="default"/>
                    </w:rPr>
                  </w:pPr>
                  <w:r>
                    <w:t>1</w:t>
                  </w:r>
                </w:p>
              </w:tc>
              <w:tc>
                <w:tcPr>
                  <w:tcW w:w="866" w:type="pct"/>
                  <w:vMerge w:val="continue"/>
                  <w:vAlign w:val="center"/>
                </w:tcPr>
                <w:p w14:paraId="36BEBC07">
                  <w:pPr>
                    <w:pStyle w:val="83"/>
                    <w:rPr>
                      <w:rFonts w:hint="default"/>
                    </w:rPr>
                  </w:pPr>
                </w:p>
              </w:tc>
            </w:tr>
            <w:tr w14:paraId="11C7D9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03E46C0">
                  <w:pPr>
                    <w:pStyle w:val="83"/>
                    <w:rPr>
                      <w:rFonts w:hint="default"/>
                    </w:rPr>
                  </w:pPr>
                  <w:r>
                    <w:t>108</w:t>
                  </w:r>
                </w:p>
              </w:tc>
              <w:tc>
                <w:tcPr>
                  <w:tcW w:w="1896" w:type="pct"/>
                  <w:vAlign w:val="center"/>
                </w:tcPr>
                <w:p w14:paraId="402CEFFE">
                  <w:pPr>
                    <w:pStyle w:val="83"/>
                    <w:rPr>
                      <w:rFonts w:hint="default"/>
                    </w:rPr>
                  </w:pPr>
                  <w:r>
                    <w:t>超声波清洗器</w:t>
                  </w:r>
                </w:p>
              </w:tc>
              <w:tc>
                <w:tcPr>
                  <w:tcW w:w="1171" w:type="pct"/>
                  <w:vAlign w:val="center"/>
                </w:tcPr>
                <w:p w14:paraId="16FFBE9D">
                  <w:pPr>
                    <w:pStyle w:val="83"/>
                    <w:rPr>
                      <w:rFonts w:hint="default"/>
                    </w:rPr>
                  </w:pPr>
                  <w:r>
                    <w:t>KQ3200DE</w:t>
                  </w:r>
                </w:p>
              </w:tc>
              <w:tc>
                <w:tcPr>
                  <w:tcW w:w="685" w:type="pct"/>
                  <w:vAlign w:val="center"/>
                </w:tcPr>
                <w:p w14:paraId="6C40509E">
                  <w:pPr>
                    <w:pStyle w:val="83"/>
                    <w:rPr>
                      <w:rFonts w:hint="default"/>
                    </w:rPr>
                  </w:pPr>
                  <w:r>
                    <w:t>1</w:t>
                  </w:r>
                </w:p>
              </w:tc>
              <w:tc>
                <w:tcPr>
                  <w:tcW w:w="866" w:type="pct"/>
                  <w:vMerge w:val="continue"/>
                  <w:vAlign w:val="center"/>
                </w:tcPr>
                <w:p w14:paraId="7A61B774">
                  <w:pPr>
                    <w:pStyle w:val="83"/>
                    <w:rPr>
                      <w:rFonts w:hint="default"/>
                    </w:rPr>
                  </w:pPr>
                </w:p>
              </w:tc>
            </w:tr>
            <w:tr w14:paraId="2B334A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AE811B3">
                  <w:pPr>
                    <w:pStyle w:val="83"/>
                    <w:rPr>
                      <w:rFonts w:hint="default"/>
                    </w:rPr>
                  </w:pPr>
                  <w:r>
                    <w:t>109</w:t>
                  </w:r>
                </w:p>
              </w:tc>
              <w:tc>
                <w:tcPr>
                  <w:tcW w:w="1896" w:type="pct"/>
                  <w:vAlign w:val="center"/>
                </w:tcPr>
                <w:p w14:paraId="73FBD8BD">
                  <w:pPr>
                    <w:pStyle w:val="83"/>
                    <w:rPr>
                      <w:rFonts w:hint="default"/>
                    </w:rPr>
                  </w:pPr>
                  <w:r>
                    <w:t>多工位磁力搅拌器</w:t>
                  </w:r>
                </w:p>
              </w:tc>
              <w:tc>
                <w:tcPr>
                  <w:tcW w:w="1171" w:type="pct"/>
                  <w:vAlign w:val="center"/>
                </w:tcPr>
                <w:p w14:paraId="1FB6CD43">
                  <w:pPr>
                    <w:pStyle w:val="83"/>
                    <w:rPr>
                      <w:rFonts w:hint="default"/>
                    </w:rPr>
                  </w:pPr>
                  <w:r>
                    <w:t>KMS-8D</w:t>
                  </w:r>
                </w:p>
              </w:tc>
              <w:tc>
                <w:tcPr>
                  <w:tcW w:w="685" w:type="pct"/>
                  <w:vAlign w:val="center"/>
                </w:tcPr>
                <w:p w14:paraId="42ED4DE5">
                  <w:pPr>
                    <w:pStyle w:val="83"/>
                    <w:rPr>
                      <w:rFonts w:hint="default"/>
                    </w:rPr>
                  </w:pPr>
                  <w:r>
                    <w:t>1</w:t>
                  </w:r>
                </w:p>
              </w:tc>
              <w:tc>
                <w:tcPr>
                  <w:tcW w:w="866" w:type="pct"/>
                  <w:vMerge w:val="continue"/>
                  <w:vAlign w:val="center"/>
                </w:tcPr>
                <w:p w14:paraId="24D219C4">
                  <w:pPr>
                    <w:pStyle w:val="83"/>
                    <w:rPr>
                      <w:rFonts w:hint="default"/>
                    </w:rPr>
                  </w:pPr>
                </w:p>
              </w:tc>
            </w:tr>
            <w:tr w14:paraId="58EAEF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9B61422">
                  <w:pPr>
                    <w:pStyle w:val="83"/>
                    <w:rPr>
                      <w:rFonts w:hint="default"/>
                    </w:rPr>
                  </w:pPr>
                  <w:r>
                    <w:t>110</w:t>
                  </w:r>
                </w:p>
              </w:tc>
              <w:tc>
                <w:tcPr>
                  <w:tcW w:w="1896" w:type="pct"/>
                  <w:vAlign w:val="center"/>
                </w:tcPr>
                <w:p w14:paraId="092F43FB">
                  <w:pPr>
                    <w:pStyle w:val="83"/>
                    <w:rPr>
                      <w:rFonts w:hint="default"/>
                    </w:rPr>
                  </w:pPr>
                  <w:r>
                    <w:t>废油提纯槽</w:t>
                  </w:r>
                </w:p>
              </w:tc>
              <w:tc>
                <w:tcPr>
                  <w:tcW w:w="1171" w:type="pct"/>
                  <w:vAlign w:val="center"/>
                </w:tcPr>
                <w:p w14:paraId="754FAFAC">
                  <w:pPr>
                    <w:pStyle w:val="83"/>
                    <w:rPr>
                      <w:rFonts w:hint="default"/>
                    </w:rPr>
                  </w:pPr>
                  <w:r>
                    <w:t>650L</w:t>
                  </w:r>
                </w:p>
              </w:tc>
              <w:tc>
                <w:tcPr>
                  <w:tcW w:w="685" w:type="pct"/>
                  <w:vAlign w:val="center"/>
                </w:tcPr>
                <w:p w14:paraId="0D13623B">
                  <w:pPr>
                    <w:pStyle w:val="83"/>
                    <w:rPr>
                      <w:rFonts w:hint="default"/>
                    </w:rPr>
                  </w:pPr>
                  <w:r>
                    <w:t>1</w:t>
                  </w:r>
                </w:p>
              </w:tc>
              <w:tc>
                <w:tcPr>
                  <w:tcW w:w="866" w:type="pct"/>
                  <w:vMerge w:val="continue"/>
                  <w:vAlign w:val="center"/>
                </w:tcPr>
                <w:p w14:paraId="3BAC37F1">
                  <w:pPr>
                    <w:pStyle w:val="83"/>
                    <w:rPr>
                      <w:rFonts w:hint="default"/>
                    </w:rPr>
                  </w:pPr>
                </w:p>
              </w:tc>
            </w:tr>
            <w:tr w14:paraId="1D80AD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7F19D0B">
                  <w:pPr>
                    <w:pStyle w:val="83"/>
                    <w:rPr>
                      <w:rFonts w:hint="default"/>
                    </w:rPr>
                  </w:pPr>
                  <w:r>
                    <w:t>111</w:t>
                  </w:r>
                </w:p>
              </w:tc>
              <w:tc>
                <w:tcPr>
                  <w:tcW w:w="1896" w:type="pct"/>
                  <w:vAlign w:val="center"/>
                </w:tcPr>
                <w:p w14:paraId="1B228FA8">
                  <w:pPr>
                    <w:pStyle w:val="83"/>
                    <w:rPr>
                      <w:rFonts w:hint="default"/>
                    </w:rPr>
                  </w:pPr>
                  <w:r>
                    <w:t>超声微流体纳米合成仪</w:t>
                  </w:r>
                </w:p>
              </w:tc>
              <w:tc>
                <w:tcPr>
                  <w:tcW w:w="1171" w:type="pct"/>
                  <w:vAlign w:val="center"/>
                </w:tcPr>
                <w:p w14:paraId="17EDDFA6">
                  <w:pPr>
                    <w:pStyle w:val="83"/>
                    <w:rPr>
                      <w:rFonts w:hint="default"/>
                    </w:rPr>
                  </w:pPr>
                  <w:r>
                    <w:t>巨子一号</w:t>
                  </w:r>
                </w:p>
              </w:tc>
              <w:tc>
                <w:tcPr>
                  <w:tcW w:w="685" w:type="pct"/>
                  <w:vAlign w:val="center"/>
                </w:tcPr>
                <w:p w14:paraId="1BA99EF3">
                  <w:pPr>
                    <w:pStyle w:val="83"/>
                    <w:rPr>
                      <w:rFonts w:hint="default"/>
                    </w:rPr>
                  </w:pPr>
                  <w:r>
                    <w:t>1</w:t>
                  </w:r>
                </w:p>
              </w:tc>
              <w:tc>
                <w:tcPr>
                  <w:tcW w:w="866" w:type="pct"/>
                  <w:vMerge w:val="continue"/>
                  <w:vAlign w:val="center"/>
                </w:tcPr>
                <w:p w14:paraId="55439A3B">
                  <w:pPr>
                    <w:pStyle w:val="83"/>
                    <w:rPr>
                      <w:rFonts w:hint="default"/>
                    </w:rPr>
                  </w:pPr>
                </w:p>
              </w:tc>
            </w:tr>
            <w:tr w14:paraId="6E0130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C9F939B">
                  <w:pPr>
                    <w:pStyle w:val="83"/>
                    <w:rPr>
                      <w:rFonts w:hint="default"/>
                    </w:rPr>
                  </w:pPr>
                  <w:r>
                    <w:t>112</w:t>
                  </w:r>
                </w:p>
              </w:tc>
              <w:tc>
                <w:tcPr>
                  <w:tcW w:w="1896" w:type="pct"/>
                  <w:vAlign w:val="center"/>
                </w:tcPr>
                <w:p w14:paraId="40EE9333">
                  <w:pPr>
                    <w:pStyle w:val="83"/>
                    <w:rPr>
                      <w:rFonts w:hint="default"/>
                    </w:rPr>
                  </w:pPr>
                  <w:r>
                    <w:t>超声微流体纳米分散机</w:t>
                  </w:r>
                </w:p>
              </w:tc>
              <w:tc>
                <w:tcPr>
                  <w:tcW w:w="1171" w:type="pct"/>
                  <w:vAlign w:val="center"/>
                </w:tcPr>
                <w:p w14:paraId="1B91E8F7">
                  <w:pPr>
                    <w:pStyle w:val="83"/>
                    <w:rPr>
                      <w:rFonts w:hint="default"/>
                    </w:rPr>
                  </w:pPr>
                  <w:r>
                    <w:t>umFlow1000/umFlowY20-200</w:t>
                  </w:r>
                </w:p>
              </w:tc>
              <w:tc>
                <w:tcPr>
                  <w:tcW w:w="685" w:type="pct"/>
                  <w:vAlign w:val="center"/>
                </w:tcPr>
                <w:p w14:paraId="47A3129D">
                  <w:pPr>
                    <w:pStyle w:val="83"/>
                    <w:rPr>
                      <w:rFonts w:hint="default"/>
                    </w:rPr>
                  </w:pPr>
                  <w:r>
                    <w:t>1</w:t>
                  </w:r>
                </w:p>
              </w:tc>
              <w:tc>
                <w:tcPr>
                  <w:tcW w:w="866" w:type="pct"/>
                  <w:vMerge w:val="continue"/>
                  <w:vAlign w:val="center"/>
                </w:tcPr>
                <w:p w14:paraId="560DE46E">
                  <w:pPr>
                    <w:pStyle w:val="83"/>
                    <w:rPr>
                      <w:rFonts w:hint="default"/>
                    </w:rPr>
                  </w:pPr>
                </w:p>
              </w:tc>
            </w:tr>
          </w:tbl>
          <w:p w14:paraId="3EA1C427">
            <w:pPr>
              <w:pStyle w:val="4"/>
              <w:spacing w:before="120" w:after="0" w:afterLines="0"/>
            </w:pPr>
            <w:r>
              <w:rPr>
                <w:rFonts w:hint="eastAsia"/>
              </w:rPr>
              <w:t>2.1.6 主要原辅材料及能源消耗</w:t>
            </w:r>
          </w:p>
          <w:p w14:paraId="5EEEE09C">
            <w:pPr>
              <w:ind w:firstLine="480"/>
            </w:pPr>
            <w:r>
              <w:rPr>
                <w:rFonts w:hint="eastAsia"/>
              </w:rPr>
              <w:t>本次项目主要原辅材料及能源消耗见表2.1-4～表2.1-5。</w:t>
            </w:r>
          </w:p>
          <w:p w14:paraId="0D2BB5B7">
            <w:pPr>
              <w:pStyle w:val="13"/>
            </w:pPr>
            <w:r>
              <w:rPr>
                <w:rFonts w:hint="eastAsia"/>
              </w:rPr>
              <w:t>表2.1-4  主要原辅材料及能源消耗一览表</w:t>
            </w:r>
          </w:p>
          <w:tbl>
            <w:tblPr>
              <w:tblStyle w:val="17"/>
              <w:tblpPr w:leftFromText="180" w:rightFromText="180" w:vertAnchor="text" w:tblpXSpec="center" w:tblpY="1"/>
              <w:tblOverlap w:val="never"/>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44"/>
              <w:gridCol w:w="1806"/>
              <w:gridCol w:w="1122"/>
              <w:gridCol w:w="1144"/>
              <w:gridCol w:w="1122"/>
              <w:gridCol w:w="1122"/>
              <w:gridCol w:w="1528"/>
            </w:tblGrid>
            <w:tr w14:paraId="09B27F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0E6D651">
                  <w:pPr>
                    <w:pStyle w:val="83"/>
                    <w:rPr>
                      <w:rFonts w:hint="default"/>
                    </w:rPr>
                  </w:pPr>
                  <w:r>
                    <w:t>序号</w:t>
                  </w:r>
                </w:p>
              </w:tc>
              <w:tc>
                <w:tcPr>
                  <w:tcW w:w="1063" w:type="pct"/>
                  <w:vAlign w:val="center"/>
                </w:tcPr>
                <w:p w14:paraId="12B8BB0B">
                  <w:pPr>
                    <w:pStyle w:val="83"/>
                    <w:rPr>
                      <w:rFonts w:hint="default"/>
                    </w:rPr>
                  </w:pPr>
                  <w:r>
                    <w:t>名称</w:t>
                  </w:r>
                </w:p>
              </w:tc>
              <w:tc>
                <w:tcPr>
                  <w:tcW w:w="660" w:type="pct"/>
                  <w:vAlign w:val="center"/>
                </w:tcPr>
                <w:p w14:paraId="53EC51C3">
                  <w:pPr>
                    <w:pStyle w:val="83"/>
                    <w:rPr>
                      <w:rFonts w:hint="default"/>
                    </w:rPr>
                  </w:pPr>
                  <w:r>
                    <w:t>单位</w:t>
                  </w:r>
                </w:p>
              </w:tc>
              <w:tc>
                <w:tcPr>
                  <w:tcW w:w="673" w:type="pct"/>
                  <w:vAlign w:val="center"/>
                </w:tcPr>
                <w:p w14:paraId="2C098B98">
                  <w:pPr>
                    <w:pStyle w:val="83"/>
                    <w:rPr>
                      <w:rFonts w:hint="default"/>
                    </w:rPr>
                  </w:pPr>
                  <w:r>
                    <w:t>现有项目</w:t>
                  </w:r>
                </w:p>
                <w:p w14:paraId="053D1353">
                  <w:pPr>
                    <w:pStyle w:val="83"/>
                    <w:rPr>
                      <w:rFonts w:hint="default"/>
                    </w:rPr>
                  </w:pPr>
                  <w:r>
                    <w:t>用量</w:t>
                  </w:r>
                </w:p>
              </w:tc>
              <w:tc>
                <w:tcPr>
                  <w:tcW w:w="660" w:type="pct"/>
                  <w:shd w:val="clear" w:color="auto" w:fill="E7E6E6"/>
                  <w:vAlign w:val="center"/>
                </w:tcPr>
                <w:p w14:paraId="131B071C">
                  <w:pPr>
                    <w:pStyle w:val="83"/>
                    <w:rPr>
                      <w:rFonts w:hint="default"/>
                    </w:rPr>
                  </w:pPr>
                  <w:r>
                    <w:t>扩建项目用量</w:t>
                  </w:r>
                </w:p>
              </w:tc>
              <w:tc>
                <w:tcPr>
                  <w:tcW w:w="660" w:type="pct"/>
                  <w:vAlign w:val="center"/>
                </w:tcPr>
                <w:p w14:paraId="0EEC7A3E">
                  <w:pPr>
                    <w:pStyle w:val="83"/>
                    <w:rPr>
                      <w:rFonts w:hint="default"/>
                    </w:rPr>
                  </w:pPr>
                  <w:r>
                    <w:t>全厂用量</w:t>
                  </w:r>
                </w:p>
              </w:tc>
              <w:tc>
                <w:tcPr>
                  <w:tcW w:w="899" w:type="pct"/>
                  <w:vAlign w:val="center"/>
                </w:tcPr>
                <w:p w14:paraId="211A516D">
                  <w:pPr>
                    <w:pStyle w:val="83"/>
                    <w:rPr>
                      <w:rFonts w:hint="default"/>
                    </w:rPr>
                  </w:pPr>
                  <w:r>
                    <w:t>来源</w:t>
                  </w:r>
                </w:p>
              </w:tc>
            </w:tr>
            <w:tr w14:paraId="10CA71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FC738CC">
                  <w:pPr>
                    <w:pStyle w:val="83"/>
                    <w:rPr>
                      <w:rFonts w:hint="default"/>
                    </w:rPr>
                  </w:pPr>
                  <w:r>
                    <w:t>1</w:t>
                  </w:r>
                </w:p>
              </w:tc>
              <w:tc>
                <w:tcPr>
                  <w:tcW w:w="1063" w:type="pct"/>
                  <w:vAlign w:val="center"/>
                </w:tcPr>
                <w:p w14:paraId="38DABF74">
                  <w:pPr>
                    <w:pStyle w:val="83"/>
                    <w:rPr>
                      <w:rFonts w:hint="default"/>
                    </w:rPr>
                  </w:pPr>
                  <w:r>
                    <w:t>PA6切片</w:t>
                  </w:r>
                </w:p>
              </w:tc>
              <w:tc>
                <w:tcPr>
                  <w:tcW w:w="660" w:type="pct"/>
                  <w:vAlign w:val="center"/>
                </w:tcPr>
                <w:p w14:paraId="3AEF9AB6">
                  <w:pPr>
                    <w:pStyle w:val="83"/>
                    <w:rPr>
                      <w:rFonts w:hint="default"/>
                    </w:rPr>
                  </w:pPr>
                  <w:r>
                    <w:t>t/a</w:t>
                  </w:r>
                </w:p>
              </w:tc>
              <w:tc>
                <w:tcPr>
                  <w:tcW w:w="1144" w:type="dxa"/>
                  <w:vAlign w:val="center"/>
                </w:tcPr>
                <w:p w14:paraId="150EFC3B">
                  <w:pPr>
                    <w:pStyle w:val="83"/>
                    <w:rPr>
                      <w:rFonts w:hint="default"/>
                    </w:rPr>
                  </w:pPr>
                  <w:r>
                    <w:t>348250</w:t>
                  </w:r>
                </w:p>
              </w:tc>
              <w:tc>
                <w:tcPr>
                  <w:tcW w:w="660" w:type="pct"/>
                  <w:shd w:val="clear" w:color="auto" w:fill="E7E6E6"/>
                  <w:vAlign w:val="center"/>
                </w:tcPr>
                <w:p w14:paraId="7AEF1B2D">
                  <w:pPr>
                    <w:pStyle w:val="83"/>
                    <w:rPr>
                      <w:rFonts w:hint="default"/>
                    </w:rPr>
                  </w:pPr>
                  <w:r>
                    <w:t>9100</w:t>
                  </w:r>
                </w:p>
              </w:tc>
              <w:tc>
                <w:tcPr>
                  <w:tcW w:w="1122" w:type="dxa"/>
                  <w:vAlign w:val="center"/>
                </w:tcPr>
                <w:p w14:paraId="41F292F2">
                  <w:pPr>
                    <w:pStyle w:val="83"/>
                    <w:rPr>
                      <w:rFonts w:hint="default"/>
                    </w:rPr>
                  </w:pPr>
                  <w:r>
                    <w:t>357350</w:t>
                  </w:r>
                </w:p>
              </w:tc>
              <w:tc>
                <w:tcPr>
                  <w:tcW w:w="899" w:type="pct"/>
                  <w:vAlign w:val="center"/>
                </w:tcPr>
                <w:p w14:paraId="11FC22A9">
                  <w:pPr>
                    <w:pStyle w:val="83"/>
                    <w:rPr>
                      <w:rFonts w:hint="default"/>
                    </w:rPr>
                  </w:pPr>
                  <w:r>
                    <w:t>聚合工程</w:t>
                  </w:r>
                </w:p>
              </w:tc>
            </w:tr>
            <w:tr w14:paraId="1B6010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1741FD8">
                  <w:pPr>
                    <w:pStyle w:val="83"/>
                    <w:rPr>
                      <w:rFonts w:hint="default"/>
                    </w:rPr>
                  </w:pPr>
                  <w:r>
                    <w:t>2</w:t>
                  </w:r>
                </w:p>
              </w:tc>
              <w:tc>
                <w:tcPr>
                  <w:tcW w:w="1063" w:type="pct"/>
                  <w:vAlign w:val="center"/>
                </w:tcPr>
                <w:p w14:paraId="1EF67C95">
                  <w:pPr>
                    <w:pStyle w:val="83"/>
                    <w:rPr>
                      <w:rFonts w:hint="default"/>
                    </w:rPr>
                  </w:pPr>
                  <w:r>
                    <w:t>PA66切片</w:t>
                  </w:r>
                </w:p>
              </w:tc>
              <w:tc>
                <w:tcPr>
                  <w:tcW w:w="660" w:type="pct"/>
                  <w:vAlign w:val="center"/>
                </w:tcPr>
                <w:p w14:paraId="7116352B">
                  <w:pPr>
                    <w:pStyle w:val="83"/>
                    <w:rPr>
                      <w:rFonts w:hint="default"/>
                    </w:rPr>
                  </w:pPr>
                  <w:r>
                    <w:t>t/a</w:t>
                  </w:r>
                </w:p>
              </w:tc>
              <w:tc>
                <w:tcPr>
                  <w:tcW w:w="1144" w:type="dxa"/>
                  <w:vAlign w:val="center"/>
                </w:tcPr>
                <w:p w14:paraId="7C02B90A">
                  <w:pPr>
                    <w:pStyle w:val="83"/>
                    <w:rPr>
                      <w:rFonts w:hint="default"/>
                    </w:rPr>
                  </w:pPr>
                  <w:r>
                    <w:t>15000</w:t>
                  </w:r>
                </w:p>
              </w:tc>
              <w:tc>
                <w:tcPr>
                  <w:tcW w:w="660" w:type="pct"/>
                  <w:shd w:val="clear" w:color="auto" w:fill="E7E6E6"/>
                  <w:vAlign w:val="center"/>
                </w:tcPr>
                <w:p w14:paraId="0F81AFBE">
                  <w:pPr>
                    <w:pStyle w:val="83"/>
                    <w:rPr>
                      <w:rFonts w:hint="default"/>
                    </w:rPr>
                  </w:pPr>
                  <w:r>
                    <w:t>-</w:t>
                  </w:r>
                </w:p>
              </w:tc>
              <w:tc>
                <w:tcPr>
                  <w:tcW w:w="1122" w:type="dxa"/>
                  <w:vAlign w:val="center"/>
                </w:tcPr>
                <w:p w14:paraId="7D3FD048">
                  <w:pPr>
                    <w:pStyle w:val="83"/>
                    <w:rPr>
                      <w:rFonts w:hint="default"/>
                    </w:rPr>
                  </w:pPr>
                  <w:r>
                    <w:t>15000</w:t>
                  </w:r>
                </w:p>
              </w:tc>
              <w:tc>
                <w:tcPr>
                  <w:tcW w:w="899" w:type="pct"/>
                  <w:vAlign w:val="center"/>
                </w:tcPr>
                <w:p w14:paraId="14264635">
                  <w:pPr>
                    <w:pStyle w:val="83"/>
                    <w:rPr>
                      <w:rFonts w:hint="default"/>
                    </w:rPr>
                  </w:pPr>
                  <w:r>
                    <w:t>聚合工程</w:t>
                  </w:r>
                </w:p>
              </w:tc>
            </w:tr>
            <w:tr w14:paraId="4CC3D7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F53E643">
                  <w:pPr>
                    <w:pStyle w:val="83"/>
                    <w:rPr>
                      <w:rFonts w:hint="default"/>
                    </w:rPr>
                  </w:pPr>
                  <w:r>
                    <w:t>3</w:t>
                  </w:r>
                </w:p>
              </w:tc>
              <w:tc>
                <w:tcPr>
                  <w:tcW w:w="1063" w:type="pct"/>
                  <w:vAlign w:val="center"/>
                </w:tcPr>
                <w:p w14:paraId="60B56CA2">
                  <w:pPr>
                    <w:pStyle w:val="83"/>
                    <w:rPr>
                      <w:rFonts w:hint="default"/>
                    </w:rPr>
                  </w:pPr>
                  <w:r>
                    <w:t>纺丝油剂</w:t>
                  </w:r>
                </w:p>
              </w:tc>
              <w:tc>
                <w:tcPr>
                  <w:tcW w:w="660" w:type="pct"/>
                  <w:vAlign w:val="center"/>
                </w:tcPr>
                <w:p w14:paraId="2B1569F4">
                  <w:pPr>
                    <w:pStyle w:val="83"/>
                    <w:rPr>
                      <w:rFonts w:hint="default"/>
                    </w:rPr>
                  </w:pPr>
                  <w:r>
                    <w:t>t/a</w:t>
                  </w:r>
                </w:p>
              </w:tc>
              <w:tc>
                <w:tcPr>
                  <w:tcW w:w="1144" w:type="dxa"/>
                  <w:vAlign w:val="center"/>
                </w:tcPr>
                <w:p w14:paraId="6F8E8D14">
                  <w:pPr>
                    <w:pStyle w:val="83"/>
                    <w:rPr>
                      <w:rFonts w:hint="default"/>
                    </w:rPr>
                  </w:pPr>
                  <w:r>
                    <w:t>7710</w:t>
                  </w:r>
                </w:p>
              </w:tc>
              <w:tc>
                <w:tcPr>
                  <w:tcW w:w="660" w:type="pct"/>
                  <w:shd w:val="clear" w:color="auto" w:fill="E7E6E6"/>
                  <w:vAlign w:val="center"/>
                </w:tcPr>
                <w:p w14:paraId="4AC7377E">
                  <w:pPr>
                    <w:pStyle w:val="83"/>
                    <w:rPr>
                      <w:rFonts w:hint="default"/>
                    </w:rPr>
                  </w:pPr>
                  <w:r>
                    <w:t>90</w:t>
                  </w:r>
                </w:p>
              </w:tc>
              <w:tc>
                <w:tcPr>
                  <w:tcW w:w="1122" w:type="dxa"/>
                  <w:vAlign w:val="center"/>
                </w:tcPr>
                <w:p w14:paraId="57A8C718">
                  <w:pPr>
                    <w:pStyle w:val="83"/>
                    <w:rPr>
                      <w:rFonts w:hint="default"/>
                    </w:rPr>
                  </w:pPr>
                  <w:r>
                    <w:t>7800</w:t>
                  </w:r>
                </w:p>
              </w:tc>
              <w:tc>
                <w:tcPr>
                  <w:tcW w:w="899" w:type="pct"/>
                  <w:vAlign w:val="center"/>
                </w:tcPr>
                <w:p w14:paraId="00EADA42">
                  <w:pPr>
                    <w:pStyle w:val="83"/>
                    <w:rPr>
                      <w:rFonts w:hint="default"/>
                    </w:rPr>
                  </w:pPr>
                  <w:r>
                    <w:t>外购</w:t>
                  </w:r>
                </w:p>
              </w:tc>
            </w:tr>
            <w:tr w14:paraId="4C32F7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01F6148">
                  <w:pPr>
                    <w:pStyle w:val="83"/>
                    <w:rPr>
                      <w:rFonts w:hint="default"/>
                    </w:rPr>
                  </w:pPr>
                  <w:r>
                    <w:t>4</w:t>
                  </w:r>
                </w:p>
              </w:tc>
              <w:tc>
                <w:tcPr>
                  <w:tcW w:w="1063" w:type="pct"/>
                  <w:vAlign w:val="center"/>
                </w:tcPr>
                <w:p w14:paraId="1EE3B085">
                  <w:pPr>
                    <w:pStyle w:val="83"/>
                    <w:rPr>
                      <w:rFonts w:hint="default"/>
                    </w:rPr>
                  </w:pPr>
                  <w:r>
                    <w:t>己内酰胺</w:t>
                  </w:r>
                </w:p>
              </w:tc>
              <w:tc>
                <w:tcPr>
                  <w:tcW w:w="660" w:type="pct"/>
                  <w:vAlign w:val="center"/>
                </w:tcPr>
                <w:p w14:paraId="1FF79BFC">
                  <w:pPr>
                    <w:pStyle w:val="83"/>
                    <w:rPr>
                      <w:rFonts w:hint="default"/>
                    </w:rPr>
                  </w:pPr>
                  <w:r>
                    <w:t>t/a</w:t>
                  </w:r>
                </w:p>
              </w:tc>
              <w:tc>
                <w:tcPr>
                  <w:tcW w:w="1144" w:type="dxa"/>
                  <w:vAlign w:val="center"/>
                </w:tcPr>
                <w:p w14:paraId="7927D8D4">
                  <w:pPr>
                    <w:pStyle w:val="83"/>
                    <w:rPr>
                      <w:rFonts w:hint="default"/>
                    </w:rPr>
                  </w:pPr>
                  <w:r>
                    <w:t>330330</w:t>
                  </w:r>
                </w:p>
              </w:tc>
              <w:tc>
                <w:tcPr>
                  <w:tcW w:w="660" w:type="pct"/>
                  <w:shd w:val="clear" w:color="auto" w:fill="E7E6E6"/>
                  <w:vAlign w:val="center"/>
                </w:tcPr>
                <w:p w14:paraId="08B62565">
                  <w:pPr>
                    <w:pStyle w:val="83"/>
                    <w:rPr>
                      <w:rFonts w:hint="default"/>
                    </w:rPr>
                  </w:pPr>
                  <w:r>
                    <w:t>-</w:t>
                  </w:r>
                </w:p>
              </w:tc>
              <w:tc>
                <w:tcPr>
                  <w:tcW w:w="1122" w:type="dxa"/>
                  <w:vAlign w:val="center"/>
                </w:tcPr>
                <w:p w14:paraId="4EC54837">
                  <w:pPr>
                    <w:pStyle w:val="83"/>
                    <w:rPr>
                      <w:rFonts w:hint="default"/>
                    </w:rPr>
                  </w:pPr>
                  <w:r>
                    <w:t>330330</w:t>
                  </w:r>
                </w:p>
              </w:tc>
              <w:tc>
                <w:tcPr>
                  <w:tcW w:w="899" w:type="pct"/>
                  <w:vAlign w:val="center"/>
                </w:tcPr>
                <w:p w14:paraId="01704C7D">
                  <w:pPr>
                    <w:pStyle w:val="83"/>
                    <w:rPr>
                      <w:rFonts w:hint="default"/>
                    </w:rPr>
                  </w:pPr>
                  <w:r>
                    <w:t>外购</w:t>
                  </w:r>
                </w:p>
              </w:tc>
            </w:tr>
            <w:tr w14:paraId="20D902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A3E9A47">
                  <w:pPr>
                    <w:pStyle w:val="83"/>
                    <w:rPr>
                      <w:rFonts w:hint="default"/>
                    </w:rPr>
                  </w:pPr>
                  <w:r>
                    <w:t>5</w:t>
                  </w:r>
                </w:p>
              </w:tc>
              <w:tc>
                <w:tcPr>
                  <w:tcW w:w="1063" w:type="pct"/>
                  <w:vAlign w:val="center"/>
                </w:tcPr>
                <w:p w14:paraId="2EB1886F">
                  <w:pPr>
                    <w:pStyle w:val="83"/>
                    <w:rPr>
                      <w:rFonts w:hint="default"/>
                    </w:rPr>
                  </w:pPr>
                  <w:r>
                    <w:t>二氧化钛</w:t>
                  </w:r>
                </w:p>
              </w:tc>
              <w:tc>
                <w:tcPr>
                  <w:tcW w:w="660" w:type="pct"/>
                  <w:vAlign w:val="center"/>
                </w:tcPr>
                <w:p w14:paraId="6BCBE0B7">
                  <w:pPr>
                    <w:pStyle w:val="83"/>
                    <w:rPr>
                      <w:rFonts w:hint="default"/>
                    </w:rPr>
                  </w:pPr>
                  <w:r>
                    <w:t>t/a</w:t>
                  </w:r>
                </w:p>
              </w:tc>
              <w:tc>
                <w:tcPr>
                  <w:tcW w:w="1144" w:type="dxa"/>
                  <w:vAlign w:val="center"/>
                </w:tcPr>
                <w:p w14:paraId="0778B6E2">
                  <w:pPr>
                    <w:pStyle w:val="83"/>
                    <w:rPr>
                      <w:rFonts w:hint="default"/>
                    </w:rPr>
                  </w:pPr>
                  <w:r>
                    <w:t>990</w:t>
                  </w:r>
                </w:p>
              </w:tc>
              <w:tc>
                <w:tcPr>
                  <w:tcW w:w="660" w:type="pct"/>
                  <w:shd w:val="clear" w:color="auto" w:fill="E7E6E6"/>
                  <w:vAlign w:val="center"/>
                </w:tcPr>
                <w:p w14:paraId="3D0CACE1">
                  <w:pPr>
                    <w:pStyle w:val="83"/>
                    <w:rPr>
                      <w:rFonts w:hint="default"/>
                    </w:rPr>
                  </w:pPr>
                  <w:r>
                    <w:t>-</w:t>
                  </w:r>
                </w:p>
              </w:tc>
              <w:tc>
                <w:tcPr>
                  <w:tcW w:w="1122" w:type="dxa"/>
                  <w:vAlign w:val="center"/>
                </w:tcPr>
                <w:p w14:paraId="2A511718">
                  <w:pPr>
                    <w:pStyle w:val="83"/>
                    <w:rPr>
                      <w:rFonts w:hint="default"/>
                    </w:rPr>
                  </w:pPr>
                  <w:r>
                    <w:t>990</w:t>
                  </w:r>
                </w:p>
              </w:tc>
              <w:tc>
                <w:tcPr>
                  <w:tcW w:w="899" w:type="pct"/>
                  <w:vAlign w:val="center"/>
                </w:tcPr>
                <w:p w14:paraId="03EFC804">
                  <w:pPr>
                    <w:pStyle w:val="83"/>
                    <w:rPr>
                      <w:rFonts w:hint="default"/>
                    </w:rPr>
                  </w:pPr>
                  <w:r>
                    <w:t>外购</w:t>
                  </w:r>
                </w:p>
              </w:tc>
            </w:tr>
            <w:tr w14:paraId="7CBF57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035E93E">
                  <w:pPr>
                    <w:pStyle w:val="83"/>
                    <w:rPr>
                      <w:rFonts w:hint="default"/>
                    </w:rPr>
                  </w:pPr>
                  <w:r>
                    <w:t>6</w:t>
                  </w:r>
                </w:p>
              </w:tc>
              <w:tc>
                <w:tcPr>
                  <w:tcW w:w="1063" w:type="pct"/>
                  <w:vAlign w:val="center"/>
                </w:tcPr>
                <w:p w14:paraId="6F41C863">
                  <w:pPr>
                    <w:pStyle w:val="83"/>
                    <w:rPr>
                      <w:rFonts w:hint="default"/>
                    </w:rPr>
                  </w:pPr>
                  <w:r>
                    <w:t>稳定剂/改性剂</w:t>
                  </w:r>
                </w:p>
              </w:tc>
              <w:tc>
                <w:tcPr>
                  <w:tcW w:w="660" w:type="pct"/>
                  <w:vAlign w:val="center"/>
                </w:tcPr>
                <w:p w14:paraId="49B16823">
                  <w:pPr>
                    <w:pStyle w:val="83"/>
                    <w:rPr>
                      <w:rFonts w:hint="default"/>
                    </w:rPr>
                  </w:pPr>
                  <w:r>
                    <w:t>t/a</w:t>
                  </w:r>
                </w:p>
              </w:tc>
              <w:tc>
                <w:tcPr>
                  <w:tcW w:w="1144" w:type="dxa"/>
                  <w:vAlign w:val="center"/>
                </w:tcPr>
                <w:p w14:paraId="35F4EF64">
                  <w:pPr>
                    <w:pStyle w:val="83"/>
                    <w:rPr>
                      <w:rFonts w:hint="default"/>
                    </w:rPr>
                  </w:pPr>
                  <w:r>
                    <w:t>1935</w:t>
                  </w:r>
                </w:p>
              </w:tc>
              <w:tc>
                <w:tcPr>
                  <w:tcW w:w="660" w:type="pct"/>
                  <w:shd w:val="clear" w:color="auto" w:fill="E7E6E6"/>
                  <w:vAlign w:val="center"/>
                </w:tcPr>
                <w:p w14:paraId="10909FA8">
                  <w:pPr>
                    <w:pStyle w:val="83"/>
                    <w:rPr>
                      <w:rFonts w:hint="default"/>
                    </w:rPr>
                  </w:pPr>
                  <w:r>
                    <w:t>-</w:t>
                  </w:r>
                </w:p>
              </w:tc>
              <w:tc>
                <w:tcPr>
                  <w:tcW w:w="1122" w:type="dxa"/>
                  <w:vAlign w:val="center"/>
                </w:tcPr>
                <w:p w14:paraId="174998B8">
                  <w:pPr>
                    <w:pStyle w:val="83"/>
                    <w:rPr>
                      <w:rFonts w:hint="default"/>
                    </w:rPr>
                  </w:pPr>
                  <w:r>
                    <w:t>1935</w:t>
                  </w:r>
                </w:p>
              </w:tc>
              <w:tc>
                <w:tcPr>
                  <w:tcW w:w="899" w:type="pct"/>
                  <w:vAlign w:val="center"/>
                </w:tcPr>
                <w:p w14:paraId="7D749685">
                  <w:pPr>
                    <w:pStyle w:val="83"/>
                    <w:rPr>
                      <w:rFonts w:hint="default"/>
                    </w:rPr>
                  </w:pPr>
                  <w:r>
                    <w:t>外购</w:t>
                  </w:r>
                </w:p>
              </w:tc>
            </w:tr>
            <w:tr w14:paraId="0C7E1D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393E004">
                  <w:pPr>
                    <w:pStyle w:val="83"/>
                    <w:rPr>
                      <w:rFonts w:hint="default"/>
                    </w:rPr>
                  </w:pPr>
                  <w:r>
                    <w:t>7</w:t>
                  </w:r>
                </w:p>
              </w:tc>
              <w:tc>
                <w:tcPr>
                  <w:tcW w:w="1063" w:type="pct"/>
                  <w:vAlign w:val="center"/>
                </w:tcPr>
                <w:p w14:paraId="6B05D4A3">
                  <w:pPr>
                    <w:pStyle w:val="83"/>
                    <w:rPr>
                      <w:rFonts w:hint="default"/>
                    </w:rPr>
                  </w:pPr>
                  <w:r>
                    <w:t>氢气</w:t>
                  </w:r>
                </w:p>
              </w:tc>
              <w:tc>
                <w:tcPr>
                  <w:tcW w:w="660" w:type="pct"/>
                  <w:vAlign w:val="center"/>
                </w:tcPr>
                <w:p w14:paraId="59BB7397">
                  <w:pPr>
                    <w:pStyle w:val="83"/>
                    <w:rPr>
                      <w:rFonts w:hint="default"/>
                    </w:rPr>
                  </w:pPr>
                  <w:r>
                    <w:t>Nm3</w:t>
                  </w:r>
                </w:p>
              </w:tc>
              <w:tc>
                <w:tcPr>
                  <w:tcW w:w="1144" w:type="dxa"/>
                  <w:vAlign w:val="center"/>
                </w:tcPr>
                <w:p w14:paraId="074E43CC">
                  <w:pPr>
                    <w:pStyle w:val="83"/>
                    <w:rPr>
                      <w:rFonts w:hint="default"/>
                    </w:rPr>
                  </w:pPr>
                  <w:r>
                    <w:t>7.2</w:t>
                  </w:r>
                </w:p>
              </w:tc>
              <w:tc>
                <w:tcPr>
                  <w:tcW w:w="660" w:type="pct"/>
                  <w:shd w:val="clear" w:color="auto" w:fill="E7E6E6"/>
                  <w:vAlign w:val="center"/>
                </w:tcPr>
                <w:p w14:paraId="608B97B7">
                  <w:pPr>
                    <w:pStyle w:val="83"/>
                    <w:rPr>
                      <w:rFonts w:hint="default"/>
                    </w:rPr>
                  </w:pPr>
                  <w:r>
                    <w:t>-</w:t>
                  </w:r>
                </w:p>
              </w:tc>
              <w:tc>
                <w:tcPr>
                  <w:tcW w:w="1122" w:type="dxa"/>
                  <w:vAlign w:val="center"/>
                </w:tcPr>
                <w:p w14:paraId="66482091">
                  <w:pPr>
                    <w:pStyle w:val="83"/>
                    <w:rPr>
                      <w:rFonts w:hint="default"/>
                    </w:rPr>
                  </w:pPr>
                  <w:r>
                    <w:t>7.2</w:t>
                  </w:r>
                </w:p>
              </w:tc>
              <w:tc>
                <w:tcPr>
                  <w:tcW w:w="899" w:type="pct"/>
                  <w:vAlign w:val="center"/>
                </w:tcPr>
                <w:p w14:paraId="781659C0">
                  <w:pPr>
                    <w:pStyle w:val="83"/>
                    <w:rPr>
                      <w:rFonts w:hint="default"/>
                    </w:rPr>
                  </w:pPr>
                  <w:r>
                    <w:t>外购</w:t>
                  </w:r>
                </w:p>
              </w:tc>
            </w:tr>
            <w:tr w14:paraId="7197FE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5D38D03F">
                  <w:pPr>
                    <w:pStyle w:val="83"/>
                    <w:rPr>
                      <w:rFonts w:hint="default"/>
                    </w:rPr>
                  </w:pPr>
                  <w:r>
                    <w:t>8</w:t>
                  </w:r>
                </w:p>
              </w:tc>
              <w:tc>
                <w:tcPr>
                  <w:tcW w:w="1063" w:type="pct"/>
                  <w:vAlign w:val="center"/>
                </w:tcPr>
                <w:p w14:paraId="6799F6D2">
                  <w:pPr>
                    <w:pStyle w:val="83"/>
                    <w:rPr>
                      <w:rFonts w:hint="default"/>
                    </w:rPr>
                  </w:pPr>
                  <w:r>
                    <w:t>氮气</w:t>
                  </w:r>
                </w:p>
              </w:tc>
              <w:tc>
                <w:tcPr>
                  <w:tcW w:w="660" w:type="pct"/>
                  <w:vAlign w:val="center"/>
                </w:tcPr>
                <w:p w14:paraId="189ED2BF">
                  <w:pPr>
                    <w:pStyle w:val="83"/>
                    <w:rPr>
                      <w:rFonts w:hint="default"/>
                    </w:rPr>
                  </w:pPr>
                  <w:r>
                    <w:t>万Nm3</w:t>
                  </w:r>
                </w:p>
              </w:tc>
              <w:tc>
                <w:tcPr>
                  <w:tcW w:w="1144" w:type="dxa"/>
                  <w:vAlign w:val="center"/>
                </w:tcPr>
                <w:p w14:paraId="2007B7EA">
                  <w:pPr>
                    <w:pStyle w:val="83"/>
                    <w:rPr>
                      <w:rFonts w:hint="default"/>
                    </w:rPr>
                  </w:pPr>
                  <w:r>
                    <w:t>2450</w:t>
                  </w:r>
                </w:p>
              </w:tc>
              <w:tc>
                <w:tcPr>
                  <w:tcW w:w="660" w:type="pct"/>
                  <w:shd w:val="clear" w:color="auto" w:fill="E7E6E6"/>
                  <w:vAlign w:val="center"/>
                </w:tcPr>
                <w:p w14:paraId="63274D45">
                  <w:pPr>
                    <w:pStyle w:val="83"/>
                    <w:rPr>
                      <w:rFonts w:hint="default"/>
                    </w:rPr>
                  </w:pPr>
                  <w:r>
                    <w:t>15</w:t>
                  </w:r>
                </w:p>
              </w:tc>
              <w:tc>
                <w:tcPr>
                  <w:tcW w:w="1122" w:type="dxa"/>
                  <w:vAlign w:val="center"/>
                </w:tcPr>
                <w:p w14:paraId="75CC31EB">
                  <w:pPr>
                    <w:pStyle w:val="83"/>
                    <w:rPr>
                      <w:rFonts w:hint="default"/>
                    </w:rPr>
                  </w:pPr>
                  <w:r>
                    <w:t>2465</w:t>
                  </w:r>
                </w:p>
              </w:tc>
              <w:tc>
                <w:tcPr>
                  <w:tcW w:w="899" w:type="pct"/>
                  <w:vAlign w:val="center"/>
                </w:tcPr>
                <w:p w14:paraId="35A40D1E">
                  <w:pPr>
                    <w:pStyle w:val="83"/>
                    <w:rPr>
                      <w:rFonts w:hint="default"/>
                    </w:rPr>
                  </w:pPr>
                  <w:r>
                    <w:t>制氮气站</w:t>
                  </w:r>
                </w:p>
              </w:tc>
            </w:tr>
            <w:tr w14:paraId="76210F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F07B2B2">
                  <w:pPr>
                    <w:pStyle w:val="83"/>
                    <w:rPr>
                      <w:rFonts w:hint="default"/>
                    </w:rPr>
                  </w:pPr>
                  <w:r>
                    <w:t>9</w:t>
                  </w:r>
                </w:p>
              </w:tc>
              <w:tc>
                <w:tcPr>
                  <w:tcW w:w="1063" w:type="pct"/>
                  <w:vAlign w:val="center"/>
                </w:tcPr>
                <w:p w14:paraId="155F4B7B">
                  <w:pPr>
                    <w:pStyle w:val="83"/>
                    <w:rPr>
                      <w:rFonts w:hint="default"/>
                    </w:rPr>
                  </w:pPr>
                  <w:r>
                    <w:t>PA6废切片</w:t>
                  </w:r>
                </w:p>
              </w:tc>
              <w:tc>
                <w:tcPr>
                  <w:tcW w:w="660" w:type="pct"/>
                  <w:vAlign w:val="center"/>
                </w:tcPr>
                <w:p w14:paraId="03DF680F">
                  <w:pPr>
                    <w:pStyle w:val="83"/>
                    <w:rPr>
                      <w:rFonts w:hint="default"/>
                    </w:rPr>
                  </w:pPr>
                  <w:r>
                    <w:t>t/a</w:t>
                  </w:r>
                </w:p>
              </w:tc>
              <w:tc>
                <w:tcPr>
                  <w:tcW w:w="1144" w:type="dxa"/>
                  <w:vAlign w:val="center"/>
                </w:tcPr>
                <w:p w14:paraId="2CA7A7AB">
                  <w:pPr>
                    <w:pStyle w:val="83"/>
                    <w:rPr>
                      <w:rFonts w:hint="default"/>
                    </w:rPr>
                  </w:pPr>
                  <w:r>
                    <w:t>1832</w:t>
                  </w:r>
                </w:p>
              </w:tc>
              <w:tc>
                <w:tcPr>
                  <w:tcW w:w="660" w:type="pct"/>
                  <w:shd w:val="clear" w:color="auto" w:fill="E7E6E6"/>
                  <w:vAlign w:val="center"/>
                </w:tcPr>
                <w:p w14:paraId="36D82902">
                  <w:pPr>
                    <w:pStyle w:val="83"/>
                    <w:rPr>
                      <w:rFonts w:hint="default"/>
                    </w:rPr>
                  </w:pPr>
                  <w:r>
                    <w:t>1832</w:t>
                  </w:r>
                </w:p>
              </w:tc>
              <w:tc>
                <w:tcPr>
                  <w:tcW w:w="1122" w:type="dxa"/>
                  <w:vAlign w:val="center"/>
                </w:tcPr>
                <w:p w14:paraId="1DA9FC0F">
                  <w:pPr>
                    <w:pStyle w:val="83"/>
                    <w:rPr>
                      <w:rFonts w:hint="default"/>
                    </w:rPr>
                  </w:pPr>
                  <w:r>
                    <w:t>3664</w:t>
                  </w:r>
                </w:p>
              </w:tc>
              <w:tc>
                <w:tcPr>
                  <w:tcW w:w="899" w:type="pct"/>
                  <w:vAlign w:val="center"/>
                </w:tcPr>
                <w:p w14:paraId="1D37861F">
                  <w:pPr>
                    <w:pStyle w:val="83"/>
                    <w:rPr>
                      <w:rFonts w:hint="default"/>
                    </w:rPr>
                  </w:pPr>
                  <w:r>
                    <w:t>聚合工程</w:t>
                  </w:r>
                </w:p>
              </w:tc>
            </w:tr>
            <w:tr w14:paraId="066AB7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D56E375">
                  <w:pPr>
                    <w:pStyle w:val="83"/>
                    <w:rPr>
                      <w:rFonts w:hint="default"/>
                    </w:rPr>
                  </w:pPr>
                  <w:r>
                    <w:t>10</w:t>
                  </w:r>
                </w:p>
              </w:tc>
              <w:tc>
                <w:tcPr>
                  <w:tcW w:w="1063" w:type="pct"/>
                  <w:vAlign w:val="center"/>
                </w:tcPr>
                <w:p w14:paraId="3960F1C5">
                  <w:pPr>
                    <w:pStyle w:val="83"/>
                    <w:rPr>
                      <w:rFonts w:hint="default"/>
                    </w:rPr>
                  </w:pPr>
                  <w:r>
                    <w:t>废锦纶丝</w:t>
                  </w:r>
                </w:p>
              </w:tc>
              <w:tc>
                <w:tcPr>
                  <w:tcW w:w="660" w:type="pct"/>
                  <w:vAlign w:val="center"/>
                </w:tcPr>
                <w:p w14:paraId="5727EC8E">
                  <w:pPr>
                    <w:pStyle w:val="83"/>
                    <w:rPr>
                      <w:rFonts w:hint="default"/>
                    </w:rPr>
                  </w:pPr>
                  <w:r>
                    <w:t>t/a</w:t>
                  </w:r>
                </w:p>
              </w:tc>
              <w:tc>
                <w:tcPr>
                  <w:tcW w:w="1144" w:type="dxa"/>
                  <w:vAlign w:val="center"/>
                </w:tcPr>
                <w:p w14:paraId="31AAE332">
                  <w:pPr>
                    <w:pStyle w:val="83"/>
                    <w:rPr>
                      <w:rFonts w:hint="default"/>
                    </w:rPr>
                  </w:pPr>
                  <w:r>
                    <w:t>8560</w:t>
                  </w:r>
                </w:p>
              </w:tc>
              <w:tc>
                <w:tcPr>
                  <w:tcW w:w="660" w:type="pct"/>
                  <w:shd w:val="clear" w:color="auto" w:fill="E7E6E6"/>
                  <w:vAlign w:val="center"/>
                </w:tcPr>
                <w:p w14:paraId="03DAC651">
                  <w:pPr>
                    <w:pStyle w:val="83"/>
                    <w:rPr>
                      <w:rFonts w:hint="default"/>
                    </w:rPr>
                  </w:pPr>
                  <w:r>
                    <w:t>8500</w:t>
                  </w:r>
                </w:p>
              </w:tc>
              <w:tc>
                <w:tcPr>
                  <w:tcW w:w="1122" w:type="dxa"/>
                  <w:vAlign w:val="center"/>
                </w:tcPr>
                <w:p w14:paraId="7AF6BA09">
                  <w:pPr>
                    <w:pStyle w:val="83"/>
                    <w:rPr>
                      <w:rFonts w:hint="default"/>
                    </w:rPr>
                  </w:pPr>
                  <w:r>
                    <w:t>17060</w:t>
                  </w:r>
                </w:p>
              </w:tc>
              <w:tc>
                <w:tcPr>
                  <w:tcW w:w="899" w:type="pct"/>
                  <w:vAlign w:val="center"/>
                </w:tcPr>
                <w:p w14:paraId="664BD657">
                  <w:pPr>
                    <w:pStyle w:val="83"/>
                    <w:rPr>
                      <w:rFonts w:hint="default"/>
                    </w:rPr>
                  </w:pPr>
                  <w:r>
                    <w:t>纺丝工程</w:t>
                  </w:r>
                </w:p>
              </w:tc>
            </w:tr>
            <w:tr w14:paraId="7730CE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4701FE95">
                  <w:pPr>
                    <w:pStyle w:val="83"/>
                    <w:rPr>
                      <w:rFonts w:hint="default"/>
                    </w:rPr>
                  </w:pPr>
                  <w:r>
                    <w:t>11</w:t>
                  </w:r>
                </w:p>
              </w:tc>
              <w:tc>
                <w:tcPr>
                  <w:tcW w:w="1063" w:type="pct"/>
                  <w:vAlign w:val="center"/>
                </w:tcPr>
                <w:p w14:paraId="32906DAD">
                  <w:pPr>
                    <w:pStyle w:val="83"/>
                    <w:rPr>
                      <w:rFonts w:hint="default"/>
                    </w:rPr>
                  </w:pPr>
                  <w:r>
                    <w:t>抗氧剂</w:t>
                  </w:r>
                </w:p>
              </w:tc>
              <w:tc>
                <w:tcPr>
                  <w:tcW w:w="660" w:type="pct"/>
                  <w:vAlign w:val="center"/>
                </w:tcPr>
                <w:p w14:paraId="69CC4DA0">
                  <w:pPr>
                    <w:pStyle w:val="83"/>
                    <w:rPr>
                      <w:rFonts w:hint="default"/>
                    </w:rPr>
                  </w:pPr>
                  <w:r>
                    <w:t>t/a</w:t>
                  </w:r>
                </w:p>
              </w:tc>
              <w:tc>
                <w:tcPr>
                  <w:tcW w:w="1144" w:type="dxa"/>
                  <w:vAlign w:val="center"/>
                </w:tcPr>
                <w:p w14:paraId="5DCAF3C6">
                  <w:pPr>
                    <w:pStyle w:val="83"/>
                    <w:rPr>
                      <w:rFonts w:hint="default"/>
                    </w:rPr>
                  </w:pPr>
                  <w:r>
                    <w:t>8</w:t>
                  </w:r>
                </w:p>
              </w:tc>
              <w:tc>
                <w:tcPr>
                  <w:tcW w:w="660" w:type="pct"/>
                  <w:shd w:val="clear" w:color="auto" w:fill="E7E6E6"/>
                  <w:vAlign w:val="center"/>
                </w:tcPr>
                <w:p w14:paraId="4DF6EE69">
                  <w:pPr>
                    <w:pStyle w:val="83"/>
                    <w:rPr>
                      <w:rFonts w:hint="default"/>
                    </w:rPr>
                  </w:pPr>
                  <w:r>
                    <w:t>8</w:t>
                  </w:r>
                </w:p>
              </w:tc>
              <w:tc>
                <w:tcPr>
                  <w:tcW w:w="1122" w:type="dxa"/>
                  <w:vAlign w:val="center"/>
                </w:tcPr>
                <w:p w14:paraId="1525192D">
                  <w:pPr>
                    <w:pStyle w:val="83"/>
                    <w:rPr>
                      <w:rFonts w:hint="default"/>
                    </w:rPr>
                  </w:pPr>
                  <w:r>
                    <w:t>16</w:t>
                  </w:r>
                </w:p>
              </w:tc>
              <w:tc>
                <w:tcPr>
                  <w:tcW w:w="899" w:type="pct"/>
                  <w:vAlign w:val="center"/>
                </w:tcPr>
                <w:p w14:paraId="4B437D75">
                  <w:pPr>
                    <w:pStyle w:val="83"/>
                    <w:rPr>
                      <w:rFonts w:hint="default"/>
                    </w:rPr>
                  </w:pPr>
                  <w:r>
                    <w:t>外购</w:t>
                  </w:r>
                </w:p>
              </w:tc>
            </w:tr>
            <w:tr w14:paraId="51F3FC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266E7B36">
                  <w:pPr>
                    <w:pStyle w:val="83"/>
                    <w:rPr>
                      <w:rFonts w:hint="default"/>
                    </w:rPr>
                  </w:pPr>
                  <w:r>
                    <w:t>12</w:t>
                  </w:r>
                </w:p>
              </w:tc>
              <w:tc>
                <w:tcPr>
                  <w:tcW w:w="1063" w:type="pct"/>
                  <w:vAlign w:val="center"/>
                </w:tcPr>
                <w:p w14:paraId="77798C5F">
                  <w:pPr>
                    <w:pStyle w:val="83"/>
                    <w:rPr>
                      <w:rFonts w:hint="default"/>
                    </w:rPr>
                  </w:pPr>
                  <w:r>
                    <w:t>酰胺蜡</w:t>
                  </w:r>
                </w:p>
              </w:tc>
              <w:tc>
                <w:tcPr>
                  <w:tcW w:w="660" w:type="pct"/>
                  <w:vAlign w:val="center"/>
                </w:tcPr>
                <w:p w14:paraId="0D0B1CD7">
                  <w:pPr>
                    <w:pStyle w:val="83"/>
                    <w:rPr>
                      <w:rFonts w:hint="default"/>
                    </w:rPr>
                  </w:pPr>
                  <w:r>
                    <w:t>t/a</w:t>
                  </w:r>
                </w:p>
              </w:tc>
              <w:tc>
                <w:tcPr>
                  <w:tcW w:w="1144" w:type="dxa"/>
                  <w:vAlign w:val="center"/>
                </w:tcPr>
                <w:p w14:paraId="7E5E0F30">
                  <w:pPr>
                    <w:pStyle w:val="83"/>
                    <w:rPr>
                      <w:rFonts w:hint="default"/>
                    </w:rPr>
                  </w:pPr>
                  <w:r>
                    <w:t>20</w:t>
                  </w:r>
                </w:p>
              </w:tc>
              <w:tc>
                <w:tcPr>
                  <w:tcW w:w="660" w:type="pct"/>
                  <w:shd w:val="clear" w:color="auto" w:fill="E7E6E6"/>
                  <w:vAlign w:val="center"/>
                </w:tcPr>
                <w:p w14:paraId="79798F48">
                  <w:pPr>
                    <w:pStyle w:val="83"/>
                    <w:rPr>
                      <w:rFonts w:hint="default"/>
                    </w:rPr>
                  </w:pPr>
                  <w:r>
                    <w:t>20</w:t>
                  </w:r>
                </w:p>
              </w:tc>
              <w:tc>
                <w:tcPr>
                  <w:tcW w:w="1122" w:type="dxa"/>
                  <w:vAlign w:val="center"/>
                </w:tcPr>
                <w:p w14:paraId="477ABE42">
                  <w:pPr>
                    <w:pStyle w:val="83"/>
                    <w:rPr>
                      <w:rFonts w:hint="default"/>
                    </w:rPr>
                  </w:pPr>
                  <w:r>
                    <w:t>40</w:t>
                  </w:r>
                </w:p>
              </w:tc>
              <w:tc>
                <w:tcPr>
                  <w:tcW w:w="899" w:type="pct"/>
                  <w:vAlign w:val="center"/>
                </w:tcPr>
                <w:p w14:paraId="4AE1C29E">
                  <w:pPr>
                    <w:pStyle w:val="83"/>
                    <w:rPr>
                      <w:rFonts w:hint="default"/>
                    </w:rPr>
                  </w:pPr>
                  <w:r>
                    <w:t>外购</w:t>
                  </w:r>
                </w:p>
              </w:tc>
            </w:tr>
            <w:tr w14:paraId="5C9D4D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830FAB9">
                  <w:pPr>
                    <w:pStyle w:val="83"/>
                    <w:rPr>
                      <w:rFonts w:hint="default"/>
                    </w:rPr>
                  </w:pPr>
                  <w:r>
                    <w:t>13</w:t>
                  </w:r>
                </w:p>
              </w:tc>
              <w:tc>
                <w:tcPr>
                  <w:tcW w:w="1063" w:type="pct"/>
                  <w:vAlign w:val="center"/>
                </w:tcPr>
                <w:p w14:paraId="2A0F5371">
                  <w:pPr>
                    <w:pStyle w:val="83"/>
                    <w:rPr>
                      <w:rFonts w:hint="default"/>
                    </w:rPr>
                  </w:pPr>
                  <w:r>
                    <w:t>硬脂酸盐</w:t>
                  </w:r>
                </w:p>
              </w:tc>
              <w:tc>
                <w:tcPr>
                  <w:tcW w:w="660" w:type="pct"/>
                  <w:vAlign w:val="center"/>
                </w:tcPr>
                <w:p w14:paraId="2900CD6D">
                  <w:pPr>
                    <w:pStyle w:val="83"/>
                    <w:rPr>
                      <w:rFonts w:hint="default"/>
                    </w:rPr>
                  </w:pPr>
                  <w:r>
                    <w:t>t/a</w:t>
                  </w:r>
                </w:p>
              </w:tc>
              <w:tc>
                <w:tcPr>
                  <w:tcW w:w="1144" w:type="dxa"/>
                  <w:vAlign w:val="center"/>
                </w:tcPr>
                <w:p w14:paraId="1ED58AFE">
                  <w:pPr>
                    <w:pStyle w:val="83"/>
                    <w:rPr>
                      <w:rFonts w:hint="default"/>
                    </w:rPr>
                  </w:pPr>
                  <w:r>
                    <w:t>80</w:t>
                  </w:r>
                </w:p>
              </w:tc>
              <w:tc>
                <w:tcPr>
                  <w:tcW w:w="660" w:type="pct"/>
                  <w:shd w:val="clear" w:color="auto" w:fill="E7E6E6"/>
                  <w:vAlign w:val="center"/>
                </w:tcPr>
                <w:p w14:paraId="0141F530">
                  <w:pPr>
                    <w:pStyle w:val="83"/>
                    <w:rPr>
                      <w:rFonts w:hint="default"/>
                    </w:rPr>
                  </w:pPr>
                  <w:r>
                    <w:t>80</w:t>
                  </w:r>
                </w:p>
              </w:tc>
              <w:tc>
                <w:tcPr>
                  <w:tcW w:w="1122" w:type="dxa"/>
                  <w:vAlign w:val="center"/>
                </w:tcPr>
                <w:p w14:paraId="5A67EDC8">
                  <w:pPr>
                    <w:pStyle w:val="83"/>
                    <w:rPr>
                      <w:rFonts w:hint="default"/>
                    </w:rPr>
                  </w:pPr>
                  <w:r>
                    <w:t>160</w:t>
                  </w:r>
                </w:p>
              </w:tc>
              <w:tc>
                <w:tcPr>
                  <w:tcW w:w="899" w:type="pct"/>
                  <w:vAlign w:val="center"/>
                </w:tcPr>
                <w:p w14:paraId="6019E61A">
                  <w:pPr>
                    <w:pStyle w:val="83"/>
                    <w:rPr>
                      <w:rFonts w:hint="default"/>
                    </w:rPr>
                  </w:pPr>
                  <w:r>
                    <w:t>外购</w:t>
                  </w:r>
                </w:p>
              </w:tc>
            </w:tr>
            <w:tr w14:paraId="7D028E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19B63AAD">
                  <w:pPr>
                    <w:pStyle w:val="83"/>
                    <w:rPr>
                      <w:rFonts w:hint="default"/>
                    </w:rPr>
                  </w:pPr>
                  <w:r>
                    <w:t>14</w:t>
                  </w:r>
                </w:p>
              </w:tc>
              <w:tc>
                <w:tcPr>
                  <w:tcW w:w="1063" w:type="pct"/>
                  <w:vAlign w:val="center"/>
                </w:tcPr>
                <w:p w14:paraId="7EF5C7C0">
                  <w:pPr>
                    <w:pStyle w:val="83"/>
                    <w:rPr>
                      <w:rFonts w:hint="default"/>
                    </w:rPr>
                  </w:pPr>
                  <w:r>
                    <w:t>二氧化硅</w:t>
                  </w:r>
                </w:p>
              </w:tc>
              <w:tc>
                <w:tcPr>
                  <w:tcW w:w="660" w:type="pct"/>
                  <w:vAlign w:val="center"/>
                </w:tcPr>
                <w:p w14:paraId="35FD06D7">
                  <w:pPr>
                    <w:pStyle w:val="83"/>
                    <w:rPr>
                      <w:rFonts w:hint="default"/>
                    </w:rPr>
                  </w:pPr>
                  <w:r>
                    <w:t>t/a</w:t>
                  </w:r>
                </w:p>
              </w:tc>
              <w:tc>
                <w:tcPr>
                  <w:tcW w:w="1144" w:type="dxa"/>
                  <w:vAlign w:val="center"/>
                </w:tcPr>
                <w:p w14:paraId="46FC23C5">
                  <w:pPr>
                    <w:pStyle w:val="83"/>
                    <w:rPr>
                      <w:rFonts w:hint="default"/>
                    </w:rPr>
                  </w:pPr>
                  <w:r>
                    <w:t>60</w:t>
                  </w:r>
                </w:p>
              </w:tc>
              <w:tc>
                <w:tcPr>
                  <w:tcW w:w="660" w:type="pct"/>
                  <w:shd w:val="clear" w:color="auto" w:fill="E7E6E6"/>
                  <w:vAlign w:val="center"/>
                </w:tcPr>
                <w:p w14:paraId="51F52936">
                  <w:pPr>
                    <w:pStyle w:val="83"/>
                    <w:rPr>
                      <w:rFonts w:hint="default"/>
                    </w:rPr>
                  </w:pPr>
                  <w:r>
                    <w:t>60</w:t>
                  </w:r>
                </w:p>
              </w:tc>
              <w:tc>
                <w:tcPr>
                  <w:tcW w:w="1122" w:type="dxa"/>
                  <w:vAlign w:val="center"/>
                </w:tcPr>
                <w:p w14:paraId="453AE4FE">
                  <w:pPr>
                    <w:pStyle w:val="83"/>
                    <w:rPr>
                      <w:rFonts w:hint="default"/>
                    </w:rPr>
                  </w:pPr>
                  <w:r>
                    <w:t>120</w:t>
                  </w:r>
                </w:p>
              </w:tc>
              <w:tc>
                <w:tcPr>
                  <w:tcW w:w="899" w:type="pct"/>
                  <w:vAlign w:val="center"/>
                </w:tcPr>
                <w:p w14:paraId="7F6FBF15">
                  <w:pPr>
                    <w:pStyle w:val="83"/>
                    <w:rPr>
                      <w:rFonts w:hint="default"/>
                    </w:rPr>
                  </w:pPr>
                  <w:r>
                    <w:t>外购</w:t>
                  </w:r>
                </w:p>
              </w:tc>
            </w:tr>
            <w:tr w14:paraId="122880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66229B4B">
                  <w:pPr>
                    <w:pStyle w:val="83"/>
                    <w:rPr>
                      <w:rFonts w:hint="default"/>
                    </w:rPr>
                  </w:pPr>
                  <w:r>
                    <w:t>15</w:t>
                  </w:r>
                </w:p>
              </w:tc>
              <w:tc>
                <w:tcPr>
                  <w:tcW w:w="1063" w:type="pct"/>
                  <w:vAlign w:val="center"/>
                </w:tcPr>
                <w:p w14:paraId="58AC8CBF">
                  <w:pPr>
                    <w:pStyle w:val="83"/>
                    <w:rPr>
                      <w:rFonts w:hint="default"/>
                    </w:rPr>
                  </w:pPr>
                  <w:r>
                    <w:t>新鲜水</w:t>
                  </w:r>
                </w:p>
              </w:tc>
              <w:tc>
                <w:tcPr>
                  <w:tcW w:w="660" w:type="pct"/>
                  <w:vAlign w:val="center"/>
                </w:tcPr>
                <w:p w14:paraId="6EA068EE">
                  <w:pPr>
                    <w:pStyle w:val="83"/>
                    <w:rPr>
                      <w:rFonts w:hint="default"/>
                    </w:rPr>
                  </w:pPr>
                  <w:r>
                    <w:t>万t/a</w:t>
                  </w:r>
                </w:p>
              </w:tc>
              <w:tc>
                <w:tcPr>
                  <w:tcW w:w="1144" w:type="dxa"/>
                  <w:vAlign w:val="center"/>
                </w:tcPr>
                <w:p w14:paraId="1AE661BB">
                  <w:pPr>
                    <w:pStyle w:val="83"/>
                    <w:rPr>
                      <w:rFonts w:hint="default"/>
                    </w:rPr>
                  </w:pPr>
                  <w:r>
                    <w:t>123.02</w:t>
                  </w:r>
                </w:p>
              </w:tc>
              <w:tc>
                <w:tcPr>
                  <w:tcW w:w="660" w:type="pct"/>
                  <w:shd w:val="clear" w:color="auto" w:fill="E7E6E6"/>
                  <w:vAlign w:val="center"/>
                </w:tcPr>
                <w:p w14:paraId="134012BC">
                  <w:pPr>
                    <w:pStyle w:val="83"/>
                    <w:rPr>
                      <w:rFonts w:hint="default"/>
                    </w:rPr>
                  </w:pPr>
                  <w:r>
                    <w:t>2.5</w:t>
                  </w:r>
                </w:p>
              </w:tc>
              <w:tc>
                <w:tcPr>
                  <w:tcW w:w="1122" w:type="dxa"/>
                  <w:vAlign w:val="center"/>
                </w:tcPr>
                <w:p w14:paraId="1C1B7AEF">
                  <w:pPr>
                    <w:pStyle w:val="83"/>
                    <w:rPr>
                      <w:rFonts w:hint="default"/>
                    </w:rPr>
                  </w:pPr>
                  <w:r>
                    <w:t>125.52</w:t>
                  </w:r>
                </w:p>
              </w:tc>
              <w:tc>
                <w:tcPr>
                  <w:tcW w:w="899" w:type="pct"/>
                  <w:vAlign w:val="center"/>
                </w:tcPr>
                <w:p w14:paraId="6547E4FC">
                  <w:pPr>
                    <w:pStyle w:val="83"/>
                    <w:rPr>
                      <w:rFonts w:hint="default"/>
                    </w:rPr>
                  </w:pPr>
                  <w:r>
                    <w:t>市政供水管网</w:t>
                  </w:r>
                </w:p>
              </w:tc>
            </w:tr>
            <w:tr w14:paraId="585FDD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36CEBAE7">
                  <w:pPr>
                    <w:pStyle w:val="83"/>
                    <w:rPr>
                      <w:rFonts w:hint="default"/>
                    </w:rPr>
                  </w:pPr>
                  <w:r>
                    <w:t>16</w:t>
                  </w:r>
                </w:p>
              </w:tc>
              <w:tc>
                <w:tcPr>
                  <w:tcW w:w="1063" w:type="pct"/>
                  <w:vAlign w:val="center"/>
                </w:tcPr>
                <w:p w14:paraId="33E4FAD9">
                  <w:pPr>
                    <w:pStyle w:val="83"/>
                    <w:rPr>
                      <w:rFonts w:hint="default"/>
                    </w:rPr>
                  </w:pPr>
                  <w:r>
                    <w:t>电</w:t>
                  </w:r>
                </w:p>
              </w:tc>
              <w:tc>
                <w:tcPr>
                  <w:tcW w:w="660" w:type="pct"/>
                  <w:vAlign w:val="center"/>
                </w:tcPr>
                <w:p w14:paraId="727822E2">
                  <w:pPr>
                    <w:pStyle w:val="83"/>
                    <w:rPr>
                      <w:rFonts w:hint="default"/>
                    </w:rPr>
                  </w:pPr>
                  <w:r>
                    <w:t>万kWh/a</w:t>
                  </w:r>
                </w:p>
              </w:tc>
              <w:tc>
                <w:tcPr>
                  <w:tcW w:w="1144" w:type="dxa"/>
                  <w:vAlign w:val="center"/>
                </w:tcPr>
                <w:p w14:paraId="05DF1FF5">
                  <w:pPr>
                    <w:pStyle w:val="83"/>
                    <w:rPr>
                      <w:rFonts w:hint="default"/>
                    </w:rPr>
                  </w:pPr>
                  <w:r>
                    <w:t>86378.86</w:t>
                  </w:r>
                </w:p>
              </w:tc>
              <w:tc>
                <w:tcPr>
                  <w:tcW w:w="660" w:type="pct"/>
                  <w:shd w:val="clear" w:color="auto" w:fill="E7E6E6"/>
                  <w:vAlign w:val="center"/>
                </w:tcPr>
                <w:p w14:paraId="5BD9A430">
                  <w:pPr>
                    <w:pStyle w:val="83"/>
                    <w:rPr>
                      <w:rFonts w:hint="default"/>
                    </w:rPr>
                  </w:pPr>
                  <w:r>
                    <w:t>869.41</w:t>
                  </w:r>
                </w:p>
              </w:tc>
              <w:tc>
                <w:tcPr>
                  <w:tcW w:w="1122" w:type="dxa"/>
                  <w:vAlign w:val="center"/>
                </w:tcPr>
                <w:p w14:paraId="477CA964">
                  <w:pPr>
                    <w:pStyle w:val="83"/>
                    <w:rPr>
                      <w:rFonts w:hint="default"/>
                    </w:rPr>
                  </w:pPr>
                  <w:r>
                    <w:t>87248.27</w:t>
                  </w:r>
                </w:p>
              </w:tc>
              <w:tc>
                <w:tcPr>
                  <w:tcW w:w="899" w:type="pct"/>
                  <w:vAlign w:val="center"/>
                </w:tcPr>
                <w:p w14:paraId="147B4702">
                  <w:pPr>
                    <w:pStyle w:val="83"/>
                    <w:rPr>
                      <w:rFonts w:hint="default"/>
                    </w:rPr>
                  </w:pPr>
                  <w:r>
                    <w:t>市政电网</w:t>
                  </w:r>
                </w:p>
              </w:tc>
            </w:tr>
            <w:tr w14:paraId="09F979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9" w:type="pct"/>
                  <w:vAlign w:val="center"/>
                </w:tcPr>
                <w:p w14:paraId="70CF1B5C">
                  <w:pPr>
                    <w:pStyle w:val="83"/>
                    <w:rPr>
                      <w:rFonts w:hint="default"/>
                    </w:rPr>
                  </w:pPr>
                  <w:r>
                    <w:t>17</w:t>
                  </w:r>
                </w:p>
              </w:tc>
              <w:tc>
                <w:tcPr>
                  <w:tcW w:w="1063" w:type="pct"/>
                  <w:vAlign w:val="center"/>
                </w:tcPr>
                <w:p w14:paraId="54597B7A">
                  <w:pPr>
                    <w:pStyle w:val="83"/>
                    <w:rPr>
                      <w:rFonts w:hint="default"/>
                    </w:rPr>
                  </w:pPr>
                  <w:r>
                    <w:t>液氮</w:t>
                  </w:r>
                </w:p>
              </w:tc>
              <w:tc>
                <w:tcPr>
                  <w:tcW w:w="660" w:type="pct"/>
                  <w:vAlign w:val="center"/>
                </w:tcPr>
                <w:p w14:paraId="07E2D642">
                  <w:pPr>
                    <w:pStyle w:val="83"/>
                    <w:rPr>
                      <w:rFonts w:hint="default"/>
                    </w:rPr>
                  </w:pPr>
                  <w:r>
                    <w:t>t/a</w:t>
                  </w:r>
                </w:p>
              </w:tc>
              <w:tc>
                <w:tcPr>
                  <w:tcW w:w="1144" w:type="dxa"/>
                  <w:vAlign w:val="center"/>
                </w:tcPr>
                <w:p w14:paraId="24425AC6">
                  <w:pPr>
                    <w:pStyle w:val="83"/>
                    <w:rPr>
                      <w:rFonts w:hint="default"/>
                    </w:rPr>
                  </w:pPr>
                  <w:r>
                    <w:t>578</w:t>
                  </w:r>
                </w:p>
              </w:tc>
              <w:tc>
                <w:tcPr>
                  <w:tcW w:w="660" w:type="pct"/>
                  <w:shd w:val="clear" w:color="auto" w:fill="E7E6E6"/>
                  <w:vAlign w:val="center"/>
                </w:tcPr>
                <w:p w14:paraId="20A12BA2">
                  <w:pPr>
                    <w:pStyle w:val="83"/>
                    <w:rPr>
                      <w:rFonts w:hint="default"/>
                    </w:rPr>
                  </w:pPr>
                  <w:r>
                    <w:t>-</w:t>
                  </w:r>
                </w:p>
              </w:tc>
              <w:tc>
                <w:tcPr>
                  <w:tcW w:w="1122" w:type="dxa"/>
                  <w:vAlign w:val="center"/>
                </w:tcPr>
                <w:p w14:paraId="6213A730">
                  <w:pPr>
                    <w:pStyle w:val="83"/>
                    <w:rPr>
                      <w:rFonts w:hint="default"/>
                    </w:rPr>
                  </w:pPr>
                  <w:r>
                    <w:t>578</w:t>
                  </w:r>
                </w:p>
              </w:tc>
              <w:tc>
                <w:tcPr>
                  <w:tcW w:w="899" w:type="pct"/>
                  <w:vAlign w:val="center"/>
                </w:tcPr>
                <w:p w14:paraId="2701C544">
                  <w:pPr>
                    <w:pStyle w:val="83"/>
                    <w:rPr>
                      <w:rFonts w:hint="default"/>
                    </w:rPr>
                  </w:pPr>
                  <w:r>
                    <w:t>外购</w:t>
                  </w:r>
                </w:p>
              </w:tc>
            </w:tr>
          </w:tbl>
          <w:p w14:paraId="42BACFC1">
            <w:pPr>
              <w:pStyle w:val="13"/>
            </w:pPr>
            <w:r>
              <w:rPr>
                <w:rFonts w:hint="eastAsia"/>
              </w:rPr>
              <w:t>表2.1-5  实验室主要化学品一览表</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14"/>
              <w:gridCol w:w="2237"/>
              <w:gridCol w:w="2159"/>
              <w:gridCol w:w="1638"/>
              <w:gridCol w:w="1638"/>
            </w:tblGrid>
            <w:tr w14:paraId="44B9AA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13C0EB8B">
                  <w:pPr>
                    <w:pStyle w:val="83"/>
                    <w:rPr>
                      <w:rFonts w:hint="default"/>
                    </w:rPr>
                  </w:pPr>
                  <w:r>
                    <w:t>序号</w:t>
                  </w:r>
                </w:p>
              </w:tc>
              <w:tc>
                <w:tcPr>
                  <w:tcW w:w="1317" w:type="pct"/>
                  <w:vAlign w:val="center"/>
                </w:tcPr>
                <w:p w14:paraId="6B18F176">
                  <w:pPr>
                    <w:pStyle w:val="83"/>
                    <w:rPr>
                      <w:rFonts w:hint="default"/>
                    </w:rPr>
                  </w:pPr>
                  <w:r>
                    <w:t>名称</w:t>
                  </w:r>
                </w:p>
              </w:tc>
              <w:tc>
                <w:tcPr>
                  <w:tcW w:w="1271" w:type="pct"/>
                  <w:vAlign w:val="center"/>
                </w:tcPr>
                <w:p w14:paraId="36F41E06">
                  <w:pPr>
                    <w:pStyle w:val="83"/>
                    <w:rPr>
                      <w:rFonts w:hint="default"/>
                    </w:rPr>
                  </w:pPr>
                  <w:r>
                    <w:t>规格</w:t>
                  </w:r>
                </w:p>
              </w:tc>
              <w:tc>
                <w:tcPr>
                  <w:tcW w:w="965" w:type="pct"/>
                  <w:vAlign w:val="center"/>
                </w:tcPr>
                <w:p w14:paraId="4E30A438">
                  <w:pPr>
                    <w:pStyle w:val="83"/>
                    <w:rPr>
                      <w:rFonts w:hint="default"/>
                    </w:rPr>
                  </w:pPr>
                  <w:r>
                    <w:t>年用量（瓶）</w:t>
                  </w:r>
                </w:p>
              </w:tc>
              <w:tc>
                <w:tcPr>
                  <w:tcW w:w="965" w:type="pct"/>
                  <w:vAlign w:val="center"/>
                </w:tcPr>
                <w:p w14:paraId="3B18E298">
                  <w:pPr>
                    <w:pStyle w:val="83"/>
                    <w:rPr>
                      <w:rFonts w:hint="default"/>
                    </w:rPr>
                  </w:pPr>
                  <w:r>
                    <w:t>贮存位置</w:t>
                  </w:r>
                </w:p>
              </w:tc>
            </w:tr>
            <w:tr w14:paraId="30BEDA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21CBDCD5">
                  <w:pPr>
                    <w:pStyle w:val="83"/>
                    <w:rPr>
                      <w:rFonts w:hint="default"/>
                    </w:rPr>
                  </w:pPr>
                  <w:r>
                    <w:t>1</w:t>
                  </w:r>
                </w:p>
              </w:tc>
              <w:tc>
                <w:tcPr>
                  <w:tcW w:w="1317" w:type="pct"/>
                  <w:vAlign w:val="center"/>
                </w:tcPr>
                <w:p w14:paraId="24E3AAED">
                  <w:pPr>
                    <w:pStyle w:val="83"/>
                    <w:rPr>
                      <w:rFonts w:hint="default"/>
                    </w:rPr>
                  </w:pPr>
                  <w:r>
                    <w:t>六氟异丙醇</w:t>
                  </w:r>
                </w:p>
              </w:tc>
              <w:tc>
                <w:tcPr>
                  <w:tcW w:w="1271" w:type="pct"/>
                  <w:vAlign w:val="center"/>
                </w:tcPr>
                <w:p w14:paraId="4D210DE1">
                  <w:pPr>
                    <w:pStyle w:val="83"/>
                    <w:rPr>
                      <w:rFonts w:hint="default"/>
                    </w:rPr>
                  </w:pPr>
                  <w:r>
                    <w:t>250g/瓶</w:t>
                  </w:r>
                </w:p>
              </w:tc>
              <w:tc>
                <w:tcPr>
                  <w:tcW w:w="965" w:type="pct"/>
                  <w:vAlign w:val="center"/>
                </w:tcPr>
                <w:p w14:paraId="081E4B08">
                  <w:pPr>
                    <w:pStyle w:val="83"/>
                    <w:rPr>
                      <w:rFonts w:hint="default"/>
                    </w:rPr>
                  </w:pPr>
                  <w:r>
                    <w:t>50</w:t>
                  </w:r>
                </w:p>
              </w:tc>
              <w:tc>
                <w:tcPr>
                  <w:tcW w:w="965" w:type="pct"/>
                  <w:vMerge w:val="restart"/>
                  <w:vAlign w:val="center"/>
                </w:tcPr>
                <w:p w14:paraId="0D3120AA">
                  <w:pPr>
                    <w:pStyle w:val="83"/>
                    <w:rPr>
                      <w:rFonts w:hint="default"/>
                    </w:rPr>
                  </w:pPr>
                  <w:r>
                    <w:t>试剂器皿仓</w:t>
                  </w:r>
                </w:p>
              </w:tc>
            </w:tr>
            <w:tr w14:paraId="03A5EE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24CE31B6">
                  <w:pPr>
                    <w:pStyle w:val="83"/>
                    <w:rPr>
                      <w:rFonts w:hint="default"/>
                    </w:rPr>
                  </w:pPr>
                  <w:r>
                    <w:t>2</w:t>
                  </w:r>
                </w:p>
              </w:tc>
              <w:tc>
                <w:tcPr>
                  <w:tcW w:w="1317" w:type="pct"/>
                  <w:vAlign w:val="center"/>
                </w:tcPr>
                <w:p w14:paraId="1555C9BE">
                  <w:pPr>
                    <w:pStyle w:val="83"/>
                    <w:rPr>
                      <w:rFonts w:hint="default"/>
                    </w:rPr>
                  </w:pPr>
                  <w:r>
                    <w:t>甲酸</w:t>
                  </w:r>
                </w:p>
              </w:tc>
              <w:tc>
                <w:tcPr>
                  <w:tcW w:w="1271" w:type="pct"/>
                  <w:vAlign w:val="center"/>
                </w:tcPr>
                <w:p w14:paraId="17294176">
                  <w:pPr>
                    <w:pStyle w:val="83"/>
                    <w:rPr>
                      <w:rFonts w:hint="default"/>
                    </w:rPr>
                  </w:pPr>
                  <w:r>
                    <w:t>色谱纯500mL/瓶</w:t>
                  </w:r>
                </w:p>
              </w:tc>
              <w:tc>
                <w:tcPr>
                  <w:tcW w:w="965" w:type="pct"/>
                  <w:vAlign w:val="center"/>
                </w:tcPr>
                <w:p w14:paraId="24C111A1">
                  <w:pPr>
                    <w:pStyle w:val="83"/>
                    <w:rPr>
                      <w:rFonts w:hint="default"/>
                    </w:rPr>
                  </w:pPr>
                  <w:r>
                    <w:t>36</w:t>
                  </w:r>
                </w:p>
              </w:tc>
              <w:tc>
                <w:tcPr>
                  <w:tcW w:w="965" w:type="pct"/>
                  <w:vMerge w:val="continue"/>
                  <w:vAlign w:val="center"/>
                </w:tcPr>
                <w:p w14:paraId="1DCE0516">
                  <w:pPr>
                    <w:pStyle w:val="83"/>
                    <w:rPr>
                      <w:rFonts w:hint="default"/>
                    </w:rPr>
                  </w:pPr>
                </w:p>
              </w:tc>
            </w:tr>
            <w:tr w14:paraId="658D75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0FB369CC">
                  <w:pPr>
                    <w:pStyle w:val="83"/>
                    <w:rPr>
                      <w:rFonts w:hint="default"/>
                    </w:rPr>
                  </w:pPr>
                  <w:r>
                    <w:t>3</w:t>
                  </w:r>
                </w:p>
              </w:tc>
              <w:tc>
                <w:tcPr>
                  <w:tcW w:w="1317" w:type="pct"/>
                  <w:vAlign w:val="center"/>
                </w:tcPr>
                <w:p w14:paraId="70EE7393">
                  <w:pPr>
                    <w:pStyle w:val="83"/>
                    <w:rPr>
                      <w:rFonts w:hint="default"/>
                    </w:rPr>
                  </w:pPr>
                  <w:r>
                    <w:t>甲醇</w:t>
                  </w:r>
                </w:p>
              </w:tc>
              <w:tc>
                <w:tcPr>
                  <w:tcW w:w="1271" w:type="pct"/>
                  <w:vAlign w:val="center"/>
                </w:tcPr>
                <w:p w14:paraId="06D4BEA6">
                  <w:pPr>
                    <w:pStyle w:val="83"/>
                    <w:rPr>
                      <w:rFonts w:hint="default"/>
                    </w:rPr>
                  </w:pPr>
                  <w:r>
                    <w:t>色谱纯500mL/瓶</w:t>
                  </w:r>
                </w:p>
              </w:tc>
              <w:tc>
                <w:tcPr>
                  <w:tcW w:w="965" w:type="pct"/>
                  <w:vAlign w:val="center"/>
                </w:tcPr>
                <w:p w14:paraId="2AA29DAE">
                  <w:pPr>
                    <w:pStyle w:val="83"/>
                    <w:rPr>
                      <w:rFonts w:hint="default"/>
                    </w:rPr>
                  </w:pPr>
                  <w:r>
                    <w:t>15</w:t>
                  </w:r>
                </w:p>
              </w:tc>
              <w:tc>
                <w:tcPr>
                  <w:tcW w:w="965" w:type="pct"/>
                  <w:vMerge w:val="continue"/>
                  <w:vAlign w:val="center"/>
                </w:tcPr>
                <w:p w14:paraId="3B87D89B">
                  <w:pPr>
                    <w:pStyle w:val="83"/>
                    <w:rPr>
                      <w:rFonts w:hint="default"/>
                    </w:rPr>
                  </w:pPr>
                </w:p>
              </w:tc>
            </w:tr>
            <w:tr w14:paraId="14C138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7ED6C70C">
                  <w:pPr>
                    <w:pStyle w:val="83"/>
                    <w:rPr>
                      <w:rFonts w:hint="default"/>
                    </w:rPr>
                  </w:pPr>
                  <w:r>
                    <w:t>4</w:t>
                  </w:r>
                </w:p>
              </w:tc>
              <w:tc>
                <w:tcPr>
                  <w:tcW w:w="1317" w:type="pct"/>
                  <w:vAlign w:val="center"/>
                </w:tcPr>
                <w:p w14:paraId="109F122C">
                  <w:pPr>
                    <w:pStyle w:val="83"/>
                    <w:rPr>
                      <w:rFonts w:hint="default"/>
                    </w:rPr>
                  </w:pPr>
                  <w:r>
                    <w:t>无水甲醇</w:t>
                  </w:r>
                </w:p>
              </w:tc>
              <w:tc>
                <w:tcPr>
                  <w:tcW w:w="1271" w:type="pct"/>
                  <w:vAlign w:val="center"/>
                </w:tcPr>
                <w:p w14:paraId="4188CA5F">
                  <w:pPr>
                    <w:pStyle w:val="83"/>
                    <w:rPr>
                      <w:rFonts w:hint="default"/>
                    </w:rPr>
                  </w:pPr>
                  <w:r>
                    <w:t>分析纯500mL/瓶</w:t>
                  </w:r>
                </w:p>
              </w:tc>
              <w:tc>
                <w:tcPr>
                  <w:tcW w:w="965" w:type="pct"/>
                  <w:vAlign w:val="center"/>
                </w:tcPr>
                <w:p w14:paraId="37C874AE">
                  <w:pPr>
                    <w:pStyle w:val="83"/>
                    <w:rPr>
                      <w:rFonts w:hint="default"/>
                    </w:rPr>
                  </w:pPr>
                  <w:r>
                    <w:t>5</w:t>
                  </w:r>
                </w:p>
              </w:tc>
              <w:tc>
                <w:tcPr>
                  <w:tcW w:w="965" w:type="pct"/>
                  <w:vMerge w:val="continue"/>
                  <w:vAlign w:val="center"/>
                </w:tcPr>
                <w:p w14:paraId="20310CB5">
                  <w:pPr>
                    <w:pStyle w:val="83"/>
                    <w:rPr>
                      <w:rFonts w:hint="default"/>
                    </w:rPr>
                  </w:pPr>
                </w:p>
              </w:tc>
            </w:tr>
            <w:tr w14:paraId="3C2C68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53B08B6C">
                  <w:pPr>
                    <w:pStyle w:val="83"/>
                    <w:rPr>
                      <w:rFonts w:hint="default"/>
                    </w:rPr>
                  </w:pPr>
                  <w:r>
                    <w:t>5</w:t>
                  </w:r>
                </w:p>
              </w:tc>
              <w:tc>
                <w:tcPr>
                  <w:tcW w:w="1317" w:type="pct"/>
                  <w:vAlign w:val="center"/>
                </w:tcPr>
                <w:p w14:paraId="36E18D18">
                  <w:pPr>
                    <w:pStyle w:val="83"/>
                    <w:rPr>
                      <w:rFonts w:hint="default"/>
                    </w:rPr>
                  </w:pPr>
                  <w:r>
                    <w:t>乙腈</w:t>
                  </w:r>
                </w:p>
              </w:tc>
              <w:tc>
                <w:tcPr>
                  <w:tcW w:w="1271" w:type="pct"/>
                  <w:vAlign w:val="center"/>
                </w:tcPr>
                <w:p w14:paraId="05EEA9EA">
                  <w:pPr>
                    <w:pStyle w:val="83"/>
                    <w:rPr>
                      <w:rFonts w:hint="default"/>
                    </w:rPr>
                  </w:pPr>
                  <w:r>
                    <w:t>色谱纯500mL/瓶</w:t>
                  </w:r>
                </w:p>
              </w:tc>
              <w:tc>
                <w:tcPr>
                  <w:tcW w:w="965" w:type="pct"/>
                  <w:vAlign w:val="center"/>
                </w:tcPr>
                <w:p w14:paraId="2FF92178">
                  <w:pPr>
                    <w:pStyle w:val="83"/>
                    <w:rPr>
                      <w:rFonts w:hint="default"/>
                    </w:rPr>
                  </w:pPr>
                  <w:r>
                    <w:t>80</w:t>
                  </w:r>
                </w:p>
              </w:tc>
              <w:tc>
                <w:tcPr>
                  <w:tcW w:w="965" w:type="pct"/>
                  <w:vMerge w:val="continue"/>
                  <w:vAlign w:val="center"/>
                </w:tcPr>
                <w:p w14:paraId="0385B990">
                  <w:pPr>
                    <w:pStyle w:val="83"/>
                    <w:rPr>
                      <w:rFonts w:hint="default"/>
                    </w:rPr>
                  </w:pPr>
                </w:p>
              </w:tc>
            </w:tr>
            <w:tr w14:paraId="16066F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0EC26554">
                  <w:pPr>
                    <w:pStyle w:val="83"/>
                    <w:rPr>
                      <w:rFonts w:hint="default"/>
                    </w:rPr>
                  </w:pPr>
                  <w:r>
                    <w:t>6</w:t>
                  </w:r>
                </w:p>
              </w:tc>
              <w:tc>
                <w:tcPr>
                  <w:tcW w:w="1317" w:type="pct"/>
                  <w:vAlign w:val="center"/>
                </w:tcPr>
                <w:p w14:paraId="52B60C73">
                  <w:pPr>
                    <w:pStyle w:val="83"/>
                    <w:rPr>
                      <w:rFonts w:hint="default"/>
                    </w:rPr>
                  </w:pPr>
                  <w:r>
                    <w:t>乙醇</w:t>
                  </w:r>
                </w:p>
              </w:tc>
              <w:tc>
                <w:tcPr>
                  <w:tcW w:w="1271" w:type="pct"/>
                  <w:vAlign w:val="center"/>
                </w:tcPr>
                <w:p w14:paraId="2D0875D0">
                  <w:pPr>
                    <w:pStyle w:val="83"/>
                    <w:rPr>
                      <w:rFonts w:hint="default"/>
                    </w:rPr>
                  </w:pPr>
                  <w:r>
                    <w:t>色谱纯500mL/瓶</w:t>
                  </w:r>
                </w:p>
              </w:tc>
              <w:tc>
                <w:tcPr>
                  <w:tcW w:w="965" w:type="pct"/>
                  <w:vAlign w:val="center"/>
                </w:tcPr>
                <w:p w14:paraId="389C84D4">
                  <w:pPr>
                    <w:pStyle w:val="83"/>
                    <w:rPr>
                      <w:rFonts w:hint="default"/>
                    </w:rPr>
                  </w:pPr>
                  <w:r>
                    <w:t>16</w:t>
                  </w:r>
                </w:p>
              </w:tc>
              <w:tc>
                <w:tcPr>
                  <w:tcW w:w="965" w:type="pct"/>
                  <w:vMerge w:val="continue"/>
                  <w:vAlign w:val="center"/>
                </w:tcPr>
                <w:p w14:paraId="67A091CE">
                  <w:pPr>
                    <w:pStyle w:val="83"/>
                    <w:rPr>
                      <w:rFonts w:hint="default"/>
                    </w:rPr>
                  </w:pPr>
                </w:p>
              </w:tc>
            </w:tr>
            <w:tr w14:paraId="3B58C3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0FDEBF5B">
                  <w:pPr>
                    <w:pStyle w:val="83"/>
                    <w:rPr>
                      <w:rFonts w:hint="default"/>
                    </w:rPr>
                  </w:pPr>
                  <w:r>
                    <w:t>7</w:t>
                  </w:r>
                </w:p>
              </w:tc>
              <w:tc>
                <w:tcPr>
                  <w:tcW w:w="1317" w:type="pct"/>
                  <w:vAlign w:val="center"/>
                </w:tcPr>
                <w:p w14:paraId="6F5FCF09">
                  <w:pPr>
                    <w:pStyle w:val="83"/>
                    <w:rPr>
                      <w:rFonts w:hint="default"/>
                    </w:rPr>
                  </w:pPr>
                  <w:r>
                    <w:t>N,N-</w:t>
                  </w:r>
                  <w:r>
                    <w:rPr>
                      <w:rFonts w:hint="default"/>
                    </w:rPr>
                    <w:t>二甲基乙酰胺</w:t>
                  </w:r>
                </w:p>
              </w:tc>
              <w:tc>
                <w:tcPr>
                  <w:tcW w:w="1271" w:type="pct"/>
                  <w:vAlign w:val="center"/>
                </w:tcPr>
                <w:p w14:paraId="49968953">
                  <w:pPr>
                    <w:pStyle w:val="83"/>
                    <w:rPr>
                      <w:rFonts w:hint="default"/>
                    </w:rPr>
                  </w:pPr>
                  <w:r>
                    <w:t>分析纯500mL/瓶</w:t>
                  </w:r>
                </w:p>
              </w:tc>
              <w:tc>
                <w:tcPr>
                  <w:tcW w:w="965" w:type="pct"/>
                  <w:vAlign w:val="center"/>
                </w:tcPr>
                <w:p w14:paraId="2F1F1523">
                  <w:pPr>
                    <w:pStyle w:val="83"/>
                    <w:rPr>
                      <w:rFonts w:hint="default"/>
                    </w:rPr>
                  </w:pPr>
                  <w:r>
                    <w:t>109</w:t>
                  </w:r>
                </w:p>
              </w:tc>
              <w:tc>
                <w:tcPr>
                  <w:tcW w:w="965" w:type="pct"/>
                  <w:vMerge w:val="continue"/>
                  <w:vAlign w:val="center"/>
                </w:tcPr>
                <w:p w14:paraId="567AAD57">
                  <w:pPr>
                    <w:pStyle w:val="83"/>
                    <w:rPr>
                      <w:rFonts w:hint="default"/>
                    </w:rPr>
                  </w:pPr>
                </w:p>
              </w:tc>
            </w:tr>
            <w:tr w14:paraId="0B491D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574AA730">
                  <w:pPr>
                    <w:pStyle w:val="83"/>
                    <w:rPr>
                      <w:rFonts w:hint="default"/>
                    </w:rPr>
                  </w:pPr>
                  <w:r>
                    <w:t>8</w:t>
                  </w:r>
                </w:p>
              </w:tc>
              <w:tc>
                <w:tcPr>
                  <w:tcW w:w="1317" w:type="pct"/>
                  <w:vAlign w:val="center"/>
                </w:tcPr>
                <w:p w14:paraId="65FCBA52">
                  <w:pPr>
                    <w:pStyle w:val="83"/>
                    <w:rPr>
                      <w:rFonts w:hint="default"/>
                    </w:rPr>
                  </w:pPr>
                  <w:r>
                    <w:t>异丙醇</w:t>
                  </w:r>
                </w:p>
              </w:tc>
              <w:tc>
                <w:tcPr>
                  <w:tcW w:w="1271" w:type="pct"/>
                  <w:vAlign w:val="center"/>
                </w:tcPr>
                <w:p w14:paraId="2B84CC7C">
                  <w:pPr>
                    <w:pStyle w:val="83"/>
                    <w:rPr>
                      <w:rFonts w:hint="default"/>
                    </w:rPr>
                  </w:pPr>
                  <w:r>
                    <w:t>色谱纯500mL/瓶</w:t>
                  </w:r>
                </w:p>
              </w:tc>
              <w:tc>
                <w:tcPr>
                  <w:tcW w:w="965" w:type="pct"/>
                  <w:vAlign w:val="center"/>
                </w:tcPr>
                <w:p w14:paraId="20A56BB8">
                  <w:pPr>
                    <w:pStyle w:val="83"/>
                    <w:rPr>
                      <w:rFonts w:hint="default"/>
                    </w:rPr>
                  </w:pPr>
                  <w:r>
                    <w:t>1</w:t>
                  </w:r>
                </w:p>
              </w:tc>
              <w:tc>
                <w:tcPr>
                  <w:tcW w:w="965" w:type="pct"/>
                  <w:vMerge w:val="continue"/>
                  <w:vAlign w:val="center"/>
                </w:tcPr>
                <w:p w14:paraId="05222DF1">
                  <w:pPr>
                    <w:pStyle w:val="83"/>
                    <w:rPr>
                      <w:rFonts w:hint="default"/>
                    </w:rPr>
                  </w:pPr>
                </w:p>
              </w:tc>
            </w:tr>
            <w:tr w14:paraId="524C39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0F00F5B0">
                  <w:pPr>
                    <w:pStyle w:val="83"/>
                    <w:rPr>
                      <w:rFonts w:hint="default"/>
                    </w:rPr>
                  </w:pPr>
                  <w:r>
                    <w:t>9</w:t>
                  </w:r>
                </w:p>
              </w:tc>
              <w:tc>
                <w:tcPr>
                  <w:tcW w:w="1317" w:type="pct"/>
                  <w:vAlign w:val="center"/>
                </w:tcPr>
                <w:p w14:paraId="32DE0D85">
                  <w:pPr>
                    <w:pStyle w:val="83"/>
                    <w:rPr>
                      <w:rFonts w:hint="default"/>
                    </w:rPr>
                  </w:pPr>
                  <w:r>
                    <w:t>磷酸</w:t>
                  </w:r>
                </w:p>
              </w:tc>
              <w:tc>
                <w:tcPr>
                  <w:tcW w:w="1271" w:type="pct"/>
                  <w:vAlign w:val="center"/>
                </w:tcPr>
                <w:p w14:paraId="0BB98415">
                  <w:pPr>
                    <w:pStyle w:val="83"/>
                    <w:rPr>
                      <w:rFonts w:hint="default"/>
                    </w:rPr>
                  </w:pPr>
                  <w:r>
                    <w:t>色谱纯500mL/瓶</w:t>
                  </w:r>
                </w:p>
              </w:tc>
              <w:tc>
                <w:tcPr>
                  <w:tcW w:w="965" w:type="pct"/>
                  <w:vAlign w:val="center"/>
                </w:tcPr>
                <w:p w14:paraId="670CC828">
                  <w:pPr>
                    <w:pStyle w:val="83"/>
                    <w:rPr>
                      <w:rFonts w:hint="default"/>
                    </w:rPr>
                  </w:pPr>
                  <w:r>
                    <w:t>1</w:t>
                  </w:r>
                </w:p>
              </w:tc>
              <w:tc>
                <w:tcPr>
                  <w:tcW w:w="965" w:type="pct"/>
                  <w:vMerge w:val="continue"/>
                  <w:vAlign w:val="center"/>
                </w:tcPr>
                <w:p w14:paraId="70679F03">
                  <w:pPr>
                    <w:pStyle w:val="83"/>
                    <w:rPr>
                      <w:rFonts w:hint="default"/>
                    </w:rPr>
                  </w:pPr>
                </w:p>
              </w:tc>
            </w:tr>
            <w:tr w14:paraId="0C42F8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513EA7D2">
                  <w:pPr>
                    <w:pStyle w:val="83"/>
                    <w:rPr>
                      <w:rFonts w:hint="default"/>
                    </w:rPr>
                  </w:pPr>
                  <w:r>
                    <w:t>10</w:t>
                  </w:r>
                </w:p>
              </w:tc>
              <w:tc>
                <w:tcPr>
                  <w:tcW w:w="1317" w:type="pct"/>
                  <w:vAlign w:val="center"/>
                </w:tcPr>
                <w:p w14:paraId="6BB8F841">
                  <w:pPr>
                    <w:pStyle w:val="83"/>
                    <w:rPr>
                      <w:rFonts w:hint="default"/>
                    </w:rPr>
                  </w:pPr>
                  <w:r>
                    <w:t>无水乙醚</w:t>
                  </w:r>
                </w:p>
              </w:tc>
              <w:tc>
                <w:tcPr>
                  <w:tcW w:w="1271" w:type="pct"/>
                  <w:vAlign w:val="center"/>
                </w:tcPr>
                <w:p w14:paraId="3218D511">
                  <w:pPr>
                    <w:pStyle w:val="83"/>
                    <w:rPr>
                      <w:rFonts w:hint="default"/>
                    </w:rPr>
                  </w:pPr>
                  <w:r>
                    <w:t>分析纯500mL/瓶</w:t>
                  </w:r>
                </w:p>
              </w:tc>
              <w:tc>
                <w:tcPr>
                  <w:tcW w:w="965" w:type="pct"/>
                  <w:vAlign w:val="center"/>
                </w:tcPr>
                <w:p w14:paraId="7DB2C5F6">
                  <w:pPr>
                    <w:pStyle w:val="83"/>
                    <w:rPr>
                      <w:rFonts w:hint="default"/>
                    </w:rPr>
                  </w:pPr>
                  <w:r>
                    <w:t>10</w:t>
                  </w:r>
                </w:p>
              </w:tc>
              <w:tc>
                <w:tcPr>
                  <w:tcW w:w="965" w:type="pct"/>
                  <w:vMerge w:val="continue"/>
                  <w:vAlign w:val="center"/>
                </w:tcPr>
                <w:p w14:paraId="4E6177EF">
                  <w:pPr>
                    <w:pStyle w:val="83"/>
                    <w:rPr>
                      <w:rFonts w:hint="default"/>
                    </w:rPr>
                  </w:pPr>
                </w:p>
              </w:tc>
            </w:tr>
            <w:tr w14:paraId="43F345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0045DBD8">
                  <w:pPr>
                    <w:pStyle w:val="83"/>
                    <w:rPr>
                      <w:rFonts w:hint="default"/>
                    </w:rPr>
                  </w:pPr>
                  <w:r>
                    <w:t>11</w:t>
                  </w:r>
                </w:p>
              </w:tc>
              <w:tc>
                <w:tcPr>
                  <w:tcW w:w="1317" w:type="pct"/>
                  <w:vAlign w:val="center"/>
                </w:tcPr>
                <w:p w14:paraId="130F9DCD">
                  <w:pPr>
                    <w:pStyle w:val="83"/>
                    <w:rPr>
                      <w:rFonts w:hint="default"/>
                    </w:rPr>
                  </w:pPr>
                  <w:r>
                    <w:t>98%硫酸</w:t>
                  </w:r>
                </w:p>
              </w:tc>
              <w:tc>
                <w:tcPr>
                  <w:tcW w:w="1271" w:type="pct"/>
                  <w:vAlign w:val="center"/>
                </w:tcPr>
                <w:p w14:paraId="59257B05">
                  <w:pPr>
                    <w:pStyle w:val="83"/>
                    <w:rPr>
                      <w:rFonts w:hint="default"/>
                    </w:rPr>
                  </w:pPr>
                  <w:r>
                    <w:t>分析纯500mL/瓶</w:t>
                  </w:r>
                </w:p>
              </w:tc>
              <w:tc>
                <w:tcPr>
                  <w:tcW w:w="965" w:type="pct"/>
                  <w:vAlign w:val="center"/>
                </w:tcPr>
                <w:p w14:paraId="0DED43D8">
                  <w:pPr>
                    <w:pStyle w:val="83"/>
                    <w:rPr>
                      <w:rFonts w:hint="default"/>
                    </w:rPr>
                  </w:pPr>
                  <w:r>
                    <w:t>10</w:t>
                  </w:r>
                </w:p>
              </w:tc>
              <w:tc>
                <w:tcPr>
                  <w:tcW w:w="965" w:type="pct"/>
                  <w:vMerge w:val="continue"/>
                  <w:vAlign w:val="center"/>
                </w:tcPr>
                <w:p w14:paraId="62507707">
                  <w:pPr>
                    <w:pStyle w:val="83"/>
                    <w:rPr>
                      <w:rFonts w:hint="default"/>
                    </w:rPr>
                  </w:pPr>
                </w:p>
              </w:tc>
            </w:tr>
            <w:tr w14:paraId="156E74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80" w:type="pct"/>
                  <w:vAlign w:val="center"/>
                </w:tcPr>
                <w:p w14:paraId="66B56053">
                  <w:pPr>
                    <w:pStyle w:val="83"/>
                    <w:rPr>
                      <w:rFonts w:hint="default"/>
                    </w:rPr>
                  </w:pPr>
                  <w:r>
                    <w:t>12</w:t>
                  </w:r>
                </w:p>
              </w:tc>
              <w:tc>
                <w:tcPr>
                  <w:tcW w:w="1317" w:type="pct"/>
                  <w:vAlign w:val="center"/>
                </w:tcPr>
                <w:p w14:paraId="573D3E72">
                  <w:pPr>
                    <w:pStyle w:val="83"/>
                    <w:rPr>
                      <w:rFonts w:hint="default"/>
                    </w:rPr>
                  </w:pPr>
                  <w:r>
                    <w:t>卡尔费休</w:t>
                  </w:r>
                </w:p>
              </w:tc>
              <w:tc>
                <w:tcPr>
                  <w:tcW w:w="1271" w:type="pct"/>
                  <w:vAlign w:val="center"/>
                </w:tcPr>
                <w:p w14:paraId="639183A3">
                  <w:pPr>
                    <w:pStyle w:val="83"/>
                    <w:rPr>
                      <w:rFonts w:hint="default"/>
                    </w:rPr>
                  </w:pPr>
                  <w:r>
                    <w:t>水分测定专用1L/瓶</w:t>
                  </w:r>
                </w:p>
              </w:tc>
              <w:tc>
                <w:tcPr>
                  <w:tcW w:w="965" w:type="pct"/>
                  <w:vAlign w:val="center"/>
                </w:tcPr>
                <w:p w14:paraId="6073F774">
                  <w:pPr>
                    <w:pStyle w:val="83"/>
                    <w:rPr>
                      <w:rFonts w:hint="default"/>
                    </w:rPr>
                  </w:pPr>
                  <w:r>
                    <w:t>10</w:t>
                  </w:r>
                </w:p>
              </w:tc>
              <w:tc>
                <w:tcPr>
                  <w:tcW w:w="965" w:type="pct"/>
                  <w:vMerge w:val="continue"/>
                  <w:vAlign w:val="center"/>
                </w:tcPr>
                <w:p w14:paraId="5BE904EA">
                  <w:pPr>
                    <w:pStyle w:val="83"/>
                    <w:rPr>
                      <w:rFonts w:hint="default"/>
                    </w:rPr>
                  </w:pPr>
                </w:p>
              </w:tc>
            </w:tr>
          </w:tbl>
          <w:p w14:paraId="4983B69C">
            <w:pPr>
              <w:pStyle w:val="13"/>
              <w:ind w:firstLine="480"/>
            </w:pPr>
          </w:p>
        </w:tc>
      </w:tr>
    </w:tbl>
    <w:p w14:paraId="1AA16940">
      <w:pPr>
        <w:ind w:firstLine="480"/>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7"/>
        <w:gridCol w:w="13135"/>
      </w:tblGrid>
      <w:tr w14:paraId="58A9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vAlign w:val="center"/>
          </w:tcPr>
          <w:p w14:paraId="3D4F8BF9">
            <w:pPr>
              <w:pStyle w:val="13"/>
              <w:spacing w:line="360" w:lineRule="auto"/>
              <w:rPr>
                <w:b w:val="0"/>
                <w:sz w:val="21"/>
                <w:szCs w:val="21"/>
              </w:rPr>
            </w:pPr>
            <w:r>
              <w:rPr>
                <w:rFonts w:hint="eastAsia"/>
                <w:b w:val="0"/>
                <w:sz w:val="21"/>
                <w:szCs w:val="21"/>
              </w:rPr>
              <w:t>建设内容</w:t>
            </w:r>
          </w:p>
        </w:tc>
        <w:tc>
          <w:tcPr>
            <w:tcW w:w="13135" w:type="dxa"/>
            <w:vAlign w:val="center"/>
          </w:tcPr>
          <w:p w14:paraId="2FB9B37D">
            <w:pPr>
              <w:pStyle w:val="13"/>
            </w:pPr>
            <w:r>
              <w:rPr>
                <w:rFonts w:hint="eastAsia"/>
              </w:rPr>
              <w:t>表2.1-6  主要原辅料理化性质及危险特性表</w:t>
            </w:r>
          </w:p>
          <w:tbl>
            <w:tblPr>
              <w:tblStyle w:val="17"/>
              <w:tblW w:w="5000" w:type="pct"/>
              <w:tblInd w:w="0" w:type="dxa"/>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145"/>
              <w:gridCol w:w="4037"/>
              <w:gridCol w:w="3170"/>
              <w:gridCol w:w="2059"/>
              <w:gridCol w:w="1852"/>
            </w:tblGrid>
            <w:tr w14:paraId="3641906F">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656" w:type="dxa"/>
                  <w:tcBorders>
                    <w:top w:val="single" w:color="auto" w:sz="12" w:space="0"/>
                    <w:left w:val="nil"/>
                    <w:bottom w:val="single" w:color="auto" w:sz="4" w:space="0"/>
                    <w:right w:val="single" w:color="auto" w:sz="4" w:space="0"/>
                  </w:tcBorders>
                  <w:vAlign w:val="center"/>
                </w:tcPr>
                <w:p w14:paraId="022788B2">
                  <w:pPr>
                    <w:pStyle w:val="83"/>
                    <w:rPr>
                      <w:rFonts w:hint="default"/>
                      <w:sz w:val="18"/>
                      <w:szCs w:val="18"/>
                    </w:rPr>
                  </w:pPr>
                  <w:r>
                    <w:rPr>
                      <w:sz w:val="18"/>
                      <w:szCs w:val="18"/>
                    </w:rPr>
                    <w:t>序号</w:t>
                  </w:r>
                </w:p>
              </w:tc>
              <w:tc>
                <w:tcPr>
                  <w:tcW w:w="1145" w:type="dxa"/>
                  <w:tcBorders>
                    <w:top w:val="single" w:color="auto" w:sz="12" w:space="0"/>
                    <w:left w:val="single" w:color="auto" w:sz="4" w:space="0"/>
                    <w:bottom w:val="single" w:color="auto" w:sz="4" w:space="0"/>
                    <w:right w:val="single" w:color="auto" w:sz="4" w:space="0"/>
                  </w:tcBorders>
                  <w:vAlign w:val="center"/>
                </w:tcPr>
                <w:p w14:paraId="41B3D6AD">
                  <w:pPr>
                    <w:pStyle w:val="83"/>
                    <w:rPr>
                      <w:rFonts w:hint="default"/>
                      <w:sz w:val="18"/>
                      <w:szCs w:val="18"/>
                    </w:rPr>
                  </w:pPr>
                  <w:r>
                    <w:rPr>
                      <w:sz w:val="18"/>
                      <w:szCs w:val="18"/>
                    </w:rPr>
                    <w:t>名称</w:t>
                  </w:r>
                </w:p>
              </w:tc>
              <w:tc>
                <w:tcPr>
                  <w:tcW w:w="4037" w:type="dxa"/>
                  <w:tcBorders>
                    <w:top w:val="single" w:color="auto" w:sz="12" w:space="0"/>
                    <w:left w:val="single" w:color="auto" w:sz="4" w:space="0"/>
                    <w:bottom w:val="single" w:color="auto" w:sz="4" w:space="0"/>
                    <w:right w:val="single" w:color="auto" w:sz="4" w:space="0"/>
                  </w:tcBorders>
                  <w:vAlign w:val="center"/>
                </w:tcPr>
                <w:p w14:paraId="2B3F85AA">
                  <w:pPr>
                    <w:pStyle w:val="83"/>
                    <w:rPr>
                      <w:rFonts w:hint="default"/>
                      <w:sz w:val="18"/>
                      <w:szCs w:val="18"/>
                    </w:rPr>
                  </w:pPr>
                  <w:r>
                    <w:rPr>
                      <w:sz w:val="18"/>
                      <w:szCs w:val="18"/>
                    </w:rPr>
                    <w:t>理化性质</w:t>
                  </w:r>
                </w:p>
              </w:tc>
              <w:tc>
                <w:tcPr>
                  <w:tcW w:w="3170" w:type="dxa"/>
                  <w:tcBorders>
                    <w:top w:val="single" w:color="auto" w:sz="12" w:space="0"/>
                    <w:left w:val="single" w:color="auto" w:sz="4" w:space="0"/>
                    <w:bottom w:val="single" w:color="auto" w:sz="4" w:space="0"/>
                    <w:right w:val="single" w:color="auto" w:sz="4" w:space="0"/>
                  </w:tcBorders>
                  <w:vAlign w:val="center"/>
                </w:tcPr>
                <w:p w14:paraId="3EF79AEE">
                  <w:pPr>
                    <w:pStyle w:val="83"/>
                    <w:rPr>
                      <w:rFonts w:hint="default"/>
                      <w:sz w:val="18"/>
                      <w:szCs w:val="18"/>
                    </w:rPr>
                  </w:pPr>
                  <w:r>
                    <w:rPr>
                      <w:sz w:val="18"/>
                      <w:szCs w:val="18"/>
                    </w:rPr>
                    <w:t>危险特性</w:t>
                  </w:r>
                </w:p>
              </w:tc>
              <w:tc>
                <w:tcPr>
                  <w:tcW w:w="2059" w:type="dxa"/>
                  <w:tcBorders>
                    <w:top w:val="single" w:color="auto" w:sz="12" w:space="0"/>
                    <w:left w:val="single" w:color="auto" w:sz="4" w:space="0"/>
                    <w:bottom w:val="single" w:color="auto" w:sz="4" w:space="0"/>
                    <w:right w:val="single" w:color="auto" w:sz="4" w:space="0"/>
                  </w:tcBorders>
                  <w:vAlign w:val="center"/>
                </w:tcPr>
                <w:p w14:paraId="3BFF83F0">
                  <w:pPr>
                    <w:pStyle w:val="83"/>
                    <w:rPr>
                      <w:rFonts w:hint="default"/>
                      <w:sz w:val="18"/>
                      <w:szCs w:val="18"/>
                    </w:rPr>
                  </w:pPr>
                  <w:r>
                    <w:rPr>
                      <w:sz w:val="18"/>
                      <w:szCs w:val="18"/>
                    </w:rPr>
                    <w:t>燃烧爆炸性</w:t>
                  </w:r>
                </w:p>
              </w:tc>
              <w:tc>
                <w:tcPr>
                  <w:tcW w:w="1852" w:type="dxa"/>
                  <w:tcBorders>
                    <w:top w:val="single" w:color="auto" w:sz="12" w:space="0"/>
                    <w:left w:val="single" w:color="auto" w:sz="4" w:space="0"/>
                    <w:bottom w:val="single" w:color="auto" w:sz="4" w:space="0"/>
                    <w:right w:val="nil"/>
                  </w:tcBorders>
                  <w:vAlign w:val="center"/>
                </w:tcPr>
                <w:p w14:paraId="5475621B">
                  <w:pPr>
                    <w:pStyle w:val="83"/>
                    <w:rPr>
                      <w:rFonts w:hint="default"/>
                      <w:sz w:val="18"/>
                      <w:szCs w:val="18"/>
                    </w:rPr>
                  </w:pPr>
                  <w:r>
                    <w:rPr>
                      <w:sz w:val="18"/>
                      <w:szCs w:val="18"/>
                    </w:rPr>
                    <w:t>毒性</w:t>
                  </w:r>
                </w:p>
              </w:tc>
            </w:tr>
            <w:tr w14:paraId="0209AE3F">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0C4EB803">
                  <w:pPr>
                    <w:pStyle w:val="83"/>
                    <w:rPr>
                      <w:rFonts w:hint="default"/>
                      <w:sz w:val="18"/>
                      <w:szCs w:val="18"/>
                    </w:rPr>
                  </w:pPr>
                  <w:r>
                    <w:rPr>
                      <w:sz w:val="18"/>
                      <w:szCs w:val="18"/>
                    </w:rPr>
                    <w:t>1</w:t>
                  </w:r>
                </w:p>
              </w:tc>
              <w:tc>
                <w:tcPr>
                  <w:tcW w:w="1145" w:type="dxa"/>
                  <w:tcBorders>
                    <w:top w:val="single" w:color="auto" w:sz="4" w:space="0"/>
                    <w:left w:val="single" w:color="auto" w:sz="4" w:space="0"/>
                    <w:bottom w:val="single" w:color="auto" w:sz="4" w:space="0"/>
                    <w:right w:val="single" w:color="auto" w:sz="4" w:space="0"/>
                  </w:tcBorders>
                  <w:vAlign w:val="center"/>
                </w:tcPr>
                <w:p w14:paraId="42F5FBB8">
                  <w:pPr>
                    <w:pStyle w:val="83"/>
                    <w:rPr>
                      <w:rFonts w:hint="default"/>
                      <w:sz w:val="18"/>
                      <w:szCs w:val="18"/>
                    </w:rPr>
                  </w:pPr>
                  <w:r>
                    <w:rPr>
                      <w:sz w:val="18"/>
                      <w:szCs w:val="18"/>
                    </w:rPr>
                    <w:t>二氧化硅</w:t>
                  </w:r>
                </w:p>
              </w:tc>
              <w:tc>
                <w:tcPr>
                  <w:tcW w:w="4037" w:type="dxa"/>
                  <w:tcBorders>
                    <w:top w:val="single" w:color="auto" w:sz="4" w:space="0"/>
                    <w:left w:val="single" w:color="auto" w:sz="4" w:space="0"/>
                    <w:bottom w:val="single" w:color="auto" w:sz="4" w:space="0"/>
                    <w:right w:val="single" w:color="auto" w:sz="4" w:space="0"/>
                  </w:tcBorders>
                  <w:vAlign w:val="center"/>
                </w:tcPr>
                <w:p w14:paraId="71C69742">
                  <w:pPr>
                    <w:pStyle w:val="83"/>
                    <w:rPr>
                      <w:rFonts w:hint="default"/>
                      <w:sz w:val="18"/>
                      <w:szCs w:val="18"/>
                    </w:rPr>
                  </w:pPr>
                  <w:r>
                    <w:rPr>
                      <w:sz w:val="18"/>
                      <w:szCs w:val="18"/>
                    </w:rPr>
                    <w:t>分子式SiO2，透明无味的晶体或无定型粉末；溶解性：不溶于水、酸，溶于氢氟酸；沸点（℃）：2230、熔点（℃）：1710；相对密度（水=1）：2.2；饱和蒸气压（kPa）：1.33（1732℃）。</w:t>
                  </w:r>
                </w:p>
              </w:tc>
              <w:tc>
                <w:tcPr>
                  <w:tcW w:w="3170" w:type="dxa"/>
                  <w:tcBorders>
                    <w:top w:val="single" w:color="auto" w:sz="4" w:space="0"/>
                    <w:left w:val="single" w:color="auto" w:sz="4" w:space="0"/>
                    <w:bottom w:val="single" w:color="auto" w:sz="4" w:space="0"/>
                    <w:right w:val="single" w:color="auto" w:sz="4" w:space="0"/>
                  </w:tcBorders>
                  <w:vAlign w:val="center"/>
                </w:tcPr>
                <w:p w14:paraId="6AA5C1E0">
                  <w:pPr>
                    <w:pStyle w:val="83"/>
                    <w:rPr>
                      <w:rFonts w:hint="default"/>
                      <w:sz w:val="18"/>
                      <w:szCs w:val="18"/>
                    </w:rPr>
                  </w:pPr>
                  <w:r>
                    <w:rPr>
                      <w:sz w:val="18"/>
                      <w:szCs w:val="18"/>
                    </w:rPr>
                    <w:t>不燃，无特殊燃爆特性。吸入粉尘对机体的主要危害是引起矽肺。</w:t>
                  </w:r>
                </w:p>
              </w:tc>
              <w:tc>
                <w:tcPr>
                  <w:tcW w:w="2059" w:type="dxa"/>
                  <w:tcBorders>
                    <w:top w:val="single" w:color="auto" w:sz="4" w:space="0"/>
                    <w:left w:val="single" w:color="auto" w:sz="4" w:space="0"/>
                    <w:bottom w:val="single" w:color="auto" w:sz="4" w:space="0"/>
                    <w:right w:val="single" w:color="auto" w:sz="4" w:space="0"/>
                  </w:tcBorders>
                  <w:vAlign w:val="center"/>
                </w:tcPr>
                <w:p w14:paraId="740B94CD">
                  <w:pPr>
                    <w:pStyle w:val="83"/>
                    <w:rPr>
                      <w:rFonts w:hint="default"/>
                      <w:sz w:val="18"/>
                      <w:szCs w:val="18"/>
                    </w:rPr>
                  </w:pPr>
                  <w:r>
                    <w:rPr>
                      <w:sz w:val="18"/>
                      <w:szCs w:val="18"/>
                    </w:rPr>
                    <w:t>爆炸下限（%）：/</w:t>
                  </w:r>
                </w:p>
                <w:p w14:paraId="7B5861EC">
                  <w:pPr>
                    <w:pStyle w:val="83"/>
                    <w:rPr>
                      <w:rFonts w:hint="default"/>
                      <w:sz w:val="18"/>
                      <w:szCs w:val="18"/>
                    </w:rPr>
                  </w:pPr>
                  <w:r>
                    <w:rPr>
                      <w:sz w:val="18"/>
                      <w:szCs w:val="18"/>
                    </w:rPr>
                    <w:t>爆炸上限（%）：/</w:t>
                  </w:r>
                </w:p>
              </w:tc>
              <w:tc>
                <w:tcPr>
                  <w:tcW w:w="1852" w:type="dxa"/>
                  <w:tcBorders>
                    <w:top w:val="single" w:color="auto" w:sz="4" w:space="0"/>
                    <w:left w:val="single" w:color="auto" w:sz="4" w:space="0"/>
                    <w:bottom w:val="single" w:color="auto" w:sz="4" w:space="0"/>
                    <w:right w:val="nil"/>
                  </w:tcBorders>
                  <w:vAlign w:val="center"/>
                </w:tcPr>
                <w:p w14:paraId="08B198D8">
                  <w:pPr>
                    <w:pStyle w:val="83"/>
                    <w:rPr>
                      <w:rFonts w:hint="default"/>
                      <w:sz w:val="18"/>
                      <w:szCs w:val="18"/>
                    </w:rPr>
                  </w:pPr>
                  <w:r>
                    <w:rPr>
                      <w:sz w:val="18"/>
                      <w:szCs w:val="18"/>
                    </w:rPr>
                    <w:t>LD50：/</w:t>
                  </w:r>
                </w:p>
                <w:p w14:paraId="20413E8F">
                  <w:pPr>
                    <w:pStyle w:val="83"/>
                    <w:rPr>
                      <w:rFonts w:hint="default"/>
                      <w:sz w:val="18"/>
                      <w:szCs w:val="18"/>
                    </w:rPr>
                  </w:pPr>
                  <w:r>
                    <w:rPr>
                      <w:sz w:val="18"/>
                      <w:szCs w:val="18"/>
                    </w:rPr>
                    <w:t>LC50：/</w:t>
                  </w:r>
                </w:p>
              </w:tc>
            </w:tr>
            <w:tr w14:paraId="49B0EB94">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486E6680">
                  <w:pPr>
                    <w:pStyle w:val="83"/>
                    <w:rPr>
                      <w:rFonts w:hint="default"/>
                      <w:sz w:val="18"/>
                      <w:szCs w:val="18"/>
                    </w:rPr>
                  </w:pPr>
                  <w:r>
                    <w:rPr>
                      <w:sz w:val="18"/>
                      <w:szCs w:val="18"/>
                    </w:rPr>
                    <w:t>2</w:t>
                  </w:r>
                </w:p>
              </w:tc>
              <w:tc>
                <w:tcPr>
                  <w:tcW w:w="1145" w:type="dxa"/>
                  <w:tcBorders>
                    <w:top w:val="single" w:color="auto" w:sz="4" w:space="0"/>
                    <w:left w:val="single" w:color="auto" w:sz="4" w:space="0"/>
                    <w:bottom w:val="single" w:color="auto" w:sz="4" w:space="0"/>
                    <w:right w:val="single" w:color="auto" w:sz="4" w:space="0"/>
                  </w:tcBorders>
                  <w:vAlign w:val="center"/>
                </w:tcPr>
                <w:p w14:paraId="4E5F1E82">
                  <w:pPr>
                    <w:pStyle w:val="83"/>
                    <w:rPr>
                      <w:rFonts w:hint="default"/>
                      <w:sz w:val="18"/>
                      <w:szCs w:val="18"/>
                    </w:rPr>
                  </w:pPr>
                  <w:r>
                    <w:rPr>
                      <w:sz w:val="18"/>
                      <w:szCs w:val="18"/>
                    </w:rPr>
                    <w:t>六氟异丙醇</w:t>
                  </w:r>
                </w:p>
              </w:tc>
              <w:tc>
                <w:tcPr>
                  <w:tcW w:w="4037" w:type="dxa"/>
                  <w:tcBorders>
                    <w:top w:val="single" w:color="auto" w:sz="4" w:space="0"/>
                    <w:left w:val="single" w:color="auto" w:sz="4" w:space="0"/>
                    <w:bottom w:val="single" w:color="auto" w:sz="4" w:space="0"/>
                    <w:right w:val="single" w:color="auto" w:sz="4" w:space="0"/>
                  </w:tcBorders>
                  <w:vAlign w:val="center"/>
                </w:tcPr>
                <w:p w14:paraId="3222422F">
                  <w:pPr>
                    <w:pStyle w:val="83"/>
                    <w:rPr>
                      <w:rFonts w:hint="default"/>
                      <w:sz w:val="18"/>
                      <w:szCs w:val="18"/>
                    </w:rPr>
                  </w:pPr>
                  <w:r>
                    <w:rPr>
                      <w:sz w:val="18"/>
                      <w:szCs w:val="18"/>
                    </w:rPr>
                    <w:t>分子式C3H2F6O，相对分子量1168.04；透明无色油状液体，有芳香气味；溶解性：微溶于水；熔点（℃）：-3.89、沸点（℃）：58.89；相对密度（水=1）：1.596；饱和蒸气压（kPa）：21.06（72℉）。</w:t>
                  </w:r>
                </w:p>
              </w:tc>
              <w:tc>
                <w:tcPr>
                  <w:tcW w:w="3170" w:type="dxa"/>
                  <w:tcBorders>
                    <w:top w:val="single" w:color="auto" w:sz="4" w:space="0"/>
                    <w:left w:val="single" w:color="auto" w:sz="4" w:space="0"/>
                    <w:bottom w:val="single" w:color="auto" w:sz="4" w:space="0"/>
                    <w:right w:val="single" w:color="auto" w:sz="4" w:space="0"/>
                  </w:tcBorders>
                  <w:vAlign w:val="center"/>
                </w:tcPr>
                <w:p w14:paraId="6751E08F">
                  <w:pPr>
                    <w:pStyle w:val="83"/>
                    <w:rPr>
                      <w:rFonts w:hint="default"/>
                      <w:sz w:val="18"/>
                      <w:szCs w:val="18"/>
                    </w:rPr>
                  </w:pPr>
                  <w:r>
                    <w:rPr>
                      <w:sz w:val="18"/>
                      <w:szCs w:val="18"/>
                    </w:rPr>
                    <w:t>与强氧化剂接触，有发生火灾和爆炸的危险。与眼睛和皮肤接触时会有腐蚀性，对呼吸道有刺激作用，吸入后使人困乏，感觉四肢无力、嗜睡。</w:t>
                  </w:r>
                </w:p>
              </w:tc>
              <w:tc>
                <w:tcPr>
                  <w:tcW w:w="2059" w:type="dxa"/>
                  <w:tcBorders>
                    <w:top w:val="single" w:color="auto" w:sz="4" w:space="0"/>
                    <w:left w:val="single" w:color="auto" w:sz="4" w:space="0"/>
                    <w:bottom w:val="single" w:color="auto" w:sz="4" w:space="0"/>
                    <w:right w:val="single" w:color="auto" w:sz="4" w:space="0"/>
                  </w:tcBorders>
                  <w:vAlign w:val="center"/>
                </w:tcPr>
                <w:p w14:paraId="4B20C5D6">
                  <w:pPr>
                    <w:pStyle w:val="83"/>
                    <w:rPr>
                      <w:rFonts w:hint="default"/>
                      <w:sz w:val="18"/>
                      <w:szCs w:val="18"/>
                    </w:rPr>
                  </w:pPr>
                  <w:r>
                    <w:rPr>
                      <w:sz w:val="18"/>
                      <w:szCs w:val="18"/>
                    </w:rPr>
                    <w:t>爆炸下限（%）：/</w:t>
                  </w:r>
                </w:p>
                <w:p w14:paraId="43526E32">
                  <w:pPr>
                    <w:pStyle w:val="83"/>
                    <w:rPr>
                      <w:rFonts w:hint="default"/>
                      <w:sz w:val="18"/>
                      <w:szCs w:val="18"/>
                    </w:rPr>
                  </w:pPr>
                  <w:r>
                    <w:rPr>
                      <w:sz w:val="18"/>
                      <w:szCs w:val="18"/>
                    </w:rPr>
                    <w:t>爆炸上限（%）：/</w:t>
                  </w:r>
                </w:p>
              </w:tc>
              <w:tc>
                <w:tcPr>
                  <w:tcW w:w="1852" w:type="dxa"/>
                  <w:tcBorders>
                    <w:top w:val="single" w:color="auto" w:sz="4" w:space="0"/>
                    <w:left w:val="single" w:color="auto" w:sz="4" w:space="0"/>
                    <w:bottom w:val="single" w:color="auto" w:sz="4" w:space="0"/>
                    <w:right w:val="nil"/>
                  </w:tcBorders>
                  <w:vAlign w:val="center"/>
                </w:tcPr>
                <w:p w14:paraId="4C5A4AA2">
                  <w:pPr>
                    <w:pStyle w:val="83"/>
                    <w:rPr>
                      <w:rFonts w:hint="default"/>
                      <w:sz w:val="18"/>
                      <w:szCs w:val="18"/>
                    </w:rPr>
                  </w:pPr>
                  <w:r>
                    <w:rPr>
                      <w:sz w:val="18"/>
                      <w:szCs w:val="18"/>
                    </w:rPr>
                    <w:t>LD50：1974ppm/4H（大鼠吸入）；</w:t>
                  </w:r>
                </w:p>
                <w:p w14:paraId="3EEDF3DB">
                  <w:pPr>
                    <w:pStyle w:val="83"/>
                    <w:rPr>
                      <w:rFonts w:hint="default"/>
                      <w:sz w:val="18"/>
                      <w:szCs w:val="18"/>
                    </w:rPr>
                  </w:pPr>
                  <w:r>
                    <w:rPr>
                      <w:sz w:val="18"/>
                      <w:szCs w:val="18"/>
                    </w:rPr>
                    <w:t>LC50：/</w:t>
                  </w:r>
                </w:p>
              </w:tc>
            </w:tr>
            <w:tr w14:paraId="1DDE3E0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234A707F">
                  <w:pPr>
                    <w:pStyle w:val="83"/>
                    <w:rPr>
                      <w:rFonts w:hint="default"/>
                      <w:sz w:val="18"/>
                      <w:szCs w:val="18"/>
                    </w:rPr>
                  </w:pPr>
                  <w:r>
                    <w:rPr>
                      <w:sz w:val="18"/>
                      <w:szCs w:val="18"/>
                    </w:rPr>
                    <w:t>3</w:t>
                  </w:r>
                </w:p>
              </w:tc>
              <w:tc>
                <w:tcPr>
                  <w:tcW w:w="1145" w:type="dxa"/>
                  <w:tcBorders>
                    <w:top w:val="single" w:color="auto" w:sz="4" w:space="0"/>
                    <w:left w:val="single" w:color="auto" w:sz="4" w:space="0"/>
                    <w:bottom w:val="single" w:color="auto" w:sz="4" w:space="0"/>
                    <w:right w:val="single" w:color="auto" w:sz="4" w:space="0"/>
                  </w:tcBorders>
                  <w:vAlign w:val="center"/>
                </w:tcPr>
                <w:p w14:paraId="79CA88E8">
                  <w:pPr>
                    <w:pStyle w:val="83"/>
                    <w:rPr>
                      <w:rFonts w:hint="default"/>
                      <w:sz w:val="18"/>
                      <w:szCs w:val="18"/>
                    </w:rPr>
                  </w:pPr>
                  <w:r>
                    <w:rPr>
                      <w:sz w:val="18"/>
                      <w:szCs w:val="18"/>
                    </w:rPr>
                    <w:t>甲酸</w:t>
                  </w:r>
                </w:p>
              </w:tc>
              <w:tc>
                <w:tcPr>
                  <w:tcW w:w="4037" w:type="dxa"/>
                  <w:tcBorders>
                    <w:top w:val="single" w:color="auto" w:sz="4" w:space="0"/>
                    <w:left w:val="single" w:color="auto" w:sz="4" w:space="0"/>
                    <w:bottom w:val="single" w:color="auto" w:sz="4" w:space="0"/>
                    <w:right w:val="single" w:color="auto" w:sz="4" w:space="0"/>
                  </w:tcBorders>
                  <w:vAlign w:val="center"/>
                </w:tcPr>
                <w:p w14:paraId="69F32523">
                  <w:pPr>
                    <w:pStyle w:val="83"/>
                    <w:rPr>
                      <w:rFonts w:hint="default"/>
                      <w:sz w:val="18"/>
                      <w:szCs w:val="18"/>
                    </w:rPr>
                  </w:pPr>
                  <w:r>
                    <w:rPr>
                      <w:sz w:val="18"/>
                      <w:szCs w:val="18"/>
                    </w:rPr>
                    <w:t>分子式CH2O2，相对分子量46.03；无色透明发烟液体，有强烈刺激性酸味；溶解性：与水混溶，不溶于烃类，可混溶于乙醇、乙醚，溶于苯；熔点（℃）：9.4、沸点（℃）：100.8；相对密度（水=1）：1.23；饱和蒸气压（kPa）：5.33（24℃）。</w:t>
                  </w:r>
                </w:p>
              </w:tc>
              <w:tc>
                <w:tcPr>
                  <w:tcW w:w="3170" w:type="dxa"/>
                  <w:tcBorders>
                    <w:top w:val="single" w:color="auto" w:sz="4" w:space="0"/>
                    <w:left w:val="single" w:color="auto" w:sz="4" w:space="0"/>
                    <w:bottom w:val="single" w:color="auto" w:sz="4" w:space="0"/>
                    <w:right w:val="single" w:color="auto" w:sz="4" w:space="0"/>
                  </w:tcBorders>
                  <w:vAlign w:val="center"/>
                </w:tcPr>
                <w:p w14:paraId="2FE4AF78">
                  <w:pPr>
                    <w:pStyle w:val="83"/>
                    <w:rPr>
                      <w:rFonts w:hint="default"/>
                      <w:sz w:val="18"/>
                      <w:szCs w:val="18"/>
                    </w:rPr>
                  </w:pPr>
                  <w:r>
                    <w:rPr>
                      <w:sz w:val="18"/>
                      <w:szCs w:val="18"/>
                    </w:rPr>
                    <w:t>可燃，其蒸汽与空气混合，能形成爆炸性混合物，与强氧化剂等禁配物接触，有发生火灾和爆炸的危险。</w:t>
                  </w:r>
                </w:p>
              </w:tc>
              <w:tc>
                <w:tcPr>
                  <w:tcW w:w="2059" w:type="dxa"/>
                  <w:tcBorders>
                    <w:top w:val="single" w:color="auto" w:sz="4" w:space="0"/>
                    <w:left w:val="single" w:color="auto" w:sz="4" w:space="0"/>
                    <w:bottom w:val="single" w:color="auto" w:sz="4" w:space="0"/>
                    <w:right w:val="single" w:color="auto" w:sz="4" w:space="0"/>
                  </w:tcBorders>
                  <w:vAlign w:val="center"/>
                </w:tcPr>
                <w:p w14:paraId="732C5CD1">
                  <w:pPr>
                    <w:pStyle w:val="83"/>
                    <w:rPr>
                      <w:rFonts w:hint="default"/>
                      <w:sz w:val="18"/>
                      <w:szCs w:val="18"/>
                    </w:rPr>
                  </w:pPr>
                  <w:r>
                    <w:rPr>
                      <w:sz w:val="18"/>
                      <w:szCs w:val="18"/>
                    </w:rPr>
                    <w:t>爆炸下限（%）：12</w:t>
                  </w:r>
                </w:p>
                <w:p w14:paraId="07F1B00C">
                  <w:pPr>
                    <w:pStyle w:val="83"/>
                    <w:rPr>
                      <w:rFonts w:hint="default"/>
                      <w:sz w:val="18"/>
                      <w:szCs w:val="18"/>
                    </w:rPr>
                  </w:pPr>
                  <w:r>
                    <w:rPr>
                      <w:sz w:val="18"/>
                      <w:szCs w:val="18"/>
                    </w:rPr>
                    <w:t>爆炸上限（%）：57</w:t>
                  </w:r>
                </w:p>
              </w:tc>
              <w:tc>
                <w:tcPr>
                  <w:tcW w:w="1852" w:type="dxa"/>
                  <w:tcBorders>
                    <w:top w:val="single" w:color="auto" w:sz="4" w:space="0"/>
                    <w:left w:val="single" w:color="auto" w:sz="4" w:space="0"/>
                    <w:bottom w:val="single" w:color="auto" w:sz="4" w:space="0"/>
                    <w:right w:val="nil"/>
                  </w:tcBorders>
                  <w:vAlign w:val="center"/>
                </w:tcPr>
                <w:p w14:paraId="5DFB620C">
                  <w:pPr>
                    <w:pStyle w:val="83"/>
                    <w:rPr>
                      <w:rFonts w:hint="default"/>
                      <w:sz w:val="18"/>
                      <w:szCs w:val="18"/>
                    </w:rPr>
                  </w:pPr>
                  <w:r>
                    <w:rPr>
                      <w:sz w:val="18"/>
                      <w:szCs w:val="18"/>
                    </w:rPr>
                    <w:t>LD50：1100mg/kg（大鼠经口）</w:t>
                  </w:r>
                </w:p>
                <w:p w14:paraId="0FED4E37">
                  <w:pPr>
                    <w:pStyle w:val="83"/>
                    <w:rPr>
                      <w:rFonts w:hint="default"/>
                      <w:sz w:val="18"/>
                      <w:szCs w:val="18"/>
                    </w:rPr>
                  </w:pPr>
                  <w:r>
                    <w:rPr>
                      <w:sz w:val="18"/>
                      <w:szCs w:val="18"/>
                    </w:rPr>
                    <w:t>LC50：1100mg/m3（大鼠吸入，15min）</w:t>
                  </w:r>
                </w:p>
              </w:tc>
            </w:tr>
            <w:tr w14:paraId="49C4AD01">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71FDF578">
                  <w:pPr>
                    <w:pStyle w:val="83"/>
                    <w:rPr>
                      <w:rFonts w:hint="default"/>
                      <w:sz w:val="18"/>
                      <w:szCs w:val="18"/>
                    </w:rPr>
                  </w:pPr>
                  <w:r>
                    <w:rPr>
                      <w:sz w:val="18"/>
                      <w:szCs w:val="18"/>
                    </w:rPr>
                    <w:t>4</w:t>
                  </w:r>
                </w:p>
              </w:tc>
              <w:tc>
                <w:tcPr>
                  <w:tcW w:w="1145" w:type="dxa"/>
                  <w:tcBorders>
                    <w:top w:val="single" w:color="auto" w:sz="4" w:space="0"/>
                    <w:left w:val="single" w:color="auto" w:sz="4" w:space="0"/>
                    <w:bottom w:val="single" w:color="auto" w:sz="4" w:space="0"/>
                    <w:right w:val="single" w:color="auto" w:sz="4" w:space="0"/>
                  </w:tcBorders>
                  <w:vAlign w:val="center"/>
                </w:tcPr>
                <w:p w14:paraId="36BEEA84">
                  <w:pPr>
                    <w:pStyle w:val="83"/>
                    <w:rPr>
                      <w:rFonts w:hint="default"/>
                      <w:sz w:val="18"/>
                      <w:szCs w:val="18"/>
                    </w:rPr>
                  </w:pPr>
                  <w:r>
                    <w:rPr>
                      <w:sz w:val="18"/>
                      <w:szCs w:val="18"/>
                    </w:rPr>
                    <w:t>甲醇</w:t>
                  </w:r>
                </w:p>
              </w:tc>
              <w:tc>
                <w:tcPr>
                  <w:tcW w:w="4037" w:type="dxa"/>
                  <w:tcBorders>
                    <w:top w:val="single" w:color="auto" w:sz="4" w:space="0"/>
                    <w:left w:val="single" w:color="auto" w:sz="4" w:space="0"/>
                    <w:bottom w:val="single" w:color="auto" w:sz="4" w:space="0"/>
                    <w:right w:val="single" w:color="auto" w:sz="4" w:space="0"/>
                  </w:tcBorders>
                  <w:vAlign w:val="center"/>
                </w:tcPr>
                <w:p w14:paraId="55378F69">
                  <w:pPr>
                    <w:pStyle w:val="83"/>
                    <w:rPr>
                      <w:rFonts w:hint="default"/>
                      <w:sz w:val="18"/>
                      <w:szCs w:val="18"/>
                    </w:rPr>
                  </w:pPr>
                  <w:r>
                    <w:rPr>
                      <w:sz w:val="18"/>
                      <w:szCs w:val="18"/>
                    </w:rPr>
                    <w:t>分子式CH3OH，相对分子量32.04；白色透明液体，有刺激性气味；溶解性：溶于水，可混溶于醇类、乙醚等多数有机溶剂；沸点（℃）：64.7、熔点（℃）：-97.8；相对密度（水=1）：0.79；饱和蒸气压（kPa）：12.3（20℃）。</w:t>
                  </w:r>
                </w:p>
              </w:tc>
              <w:tc>
                <w:tcPr>
                  <w:tcW w:w="3170" w:type="dxa"/>
                  <w:tcBorders>
                    <w:top w:val="single" w:color="auto" w:sz="4" w:space="0"/>
                    <w:left w:val="single" w:color="auto" w:sz="4" w:space="0"/>
                    <w:bottom w:val="single" w:color="auto" w:sz="4" w:space="0"/>
                    <w:right w:val="single" w:color="auto" w:sz="4" w:space="0"/>
                  </w:tcBorders>
                  <w:vAlign w:val="center"/>
                </w:tcPr>
                <w:p w14:paraId="4F859798">
                  <w:pPr>
                    <w:pStyle w:val="83"/>
                    <w:rPr>
                      <w:rFonts w:hint="default"/>
                      <w:sz w:val="18"/>
                      <w:szCs w:val="18"/>
                    </w:rPr>
                  </w:pPr>
                  <w:r>
                    <w:rPr>
                      <w:sz w:val="18"/>
                      <w:szCs w:val="18"/>
                    </w:rPr>
                    <w:t>高度易燃，其蒸汽与空气混合，能形成爆炸性混合物，与强氧化剂等禁配物接触，有发生火灾和爆炸的危险</w:t>
                  </w:r>
                </w:p>
              </w:tc>
              <w:tc>
                <w:tcPr>
                  <w:tcW w:w="2059" w:type="dxa"/>
                  <w:tcBorders>
                    <w:top w:val="single" w:color="auto" w:sz="4" w:space="0"/>
                    <w:left w:val="single" w:color="auto" w:sz="4" w:space="0"/>
                    <w:bottom w:val="single" w:color="auto" w:sz="4" w:space="0"/>
                    <w:right w:val="single" w:color="auto" w:sz="4" w:space="0"/>
                  </w:tcBorders>
                  <w:vAlign w:val="center"/>
                </w:tcPr>
                <w:p w14:paraId="53158400">
                  <w:pPr>
                    <w:pStyle w:val="83"/>
                    <w:rPr>
                      <w:rFonts w:hint="default"/>
                      <w:sz w:val="18"/>
                      <w:szCs w:val="18"/>
                    </w:rPr>
                  </w:pPr>
                  <w:r>
                    <w:rPr>
                      <w:sz w:val="18"/>
                      <w:szCs w:val="18"/>
                    </w:rPr>
                    <w:t>爆炸下限（%）：6</w:t>
                  </w:r>
                </w:p>
                <w:p w14:paraId="7B75CF69">
                  <w:pPr>
                    <w:pStyle w:val="83"/>
                    <w:rPr>
                      <w:rFonts w:hint="default"/>
                      <w:sz w:val="18"/>
                      <w:szCs w:val="18"/>
                    </w:rPr>
                  </w:pPr>
                  <w:r>
                    <w:rPr>
                      <w:sz w:val="18"/>
                      <w:szCs w:val="18"/>
                    </w:rPr>
                    <w:t>爆炸上限（%）：36.5</w:t>
                  </w:r>
                </w:p>
              </w:tc>
              <w:tc>
                <w:tcPr>
                  <w:tcW w:w="1852" w:type="dxa"/>
                  <w:tcBorders>
                    <w:top w:val="single" w:color="auto" w:sz="4" w:space="0"/>
                    <w:left w:val="single" w:color="auto" w:sz="4" w:space="0"/>
                    <w:bottom w:val="single" w:color="auto" w:sz="4" w:space="0"/>
                    <w:right w:val="nil"/>
                  </w:tcBorders>
                  <w:vAlign w:val="center"/>
                </w:tcPr>
                <w:p w14:paraId="71A2E00F">
                  <w:pPr>
                    <w:pStyle w:val="83"/>
                    <w:rPr>
                      <w:rFonts w:hint="default"/>
                      <w:sz w:val="18"/>
                      <w:szCs w:val="18"/>
                    </w:rPr>
                  </w:pPr>
                  <w:r>
                    <w:rPr>
                      <w:sz w:val="18"/>
                      <w:szCs w:val="18"/>
                    </w:rPr>
                    <w:t>LD50：7300mg/kg（小鼠经口）</w:t>
                  </w:r>
                </w:p>
                <w:p w14:paraId="107A9577">
                  <w:pPr>
                    <w:pStyle w:val="83"/>
                    <w:rPr>
                      <w:rFonts w:hint="default"/>
                      <w:sz w:val="18"/>
                      <w:szCs w:val="18"/>
                    </w:rPr>
                  </w:pPr>
                  <w:r>
                    <w:rPr>
                      <w:sz w:val="18"/>
                      <w:szCs w:val="18"/>
                    </w:rPr>
                    <w:t>LC50：64000ppm（大鼠吸入，4h）</w:t>
                  </w:r>
                </w:p>
              </w:tc>
            </w:tr>
            <w:tr w14:paraId="0136CEFA">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192DD0BD">
                  <w:pPr>
                    <w:pStyle w:val="83"/>
                    <w:rPr>
                      <w:rFonts w:hint="default"/>
                      <w:sz w:val="18"/>
                      <w:szCs w:val="18"/>
                    </w:rPr>
                  </w:pPr>
                  <w:r>
                    <w:rPr>
                      <w:sz w:val="18"/>
                      <w:szCs w:val="18"/>
                    </w:rPr>
                    <w:t>5</w:t>
                  </w:r>
                </w:p>
              </w:tc>
              <w:tc>
                <w:tcPr>
                  <w:tcW w:w="1145" w:type="dxa"/>
                  <w:tcBorders>
                    <w:top w:val="single" w:color="auto" w:sz="4" w:space="0"/>
                    <w:left w:val="single" w:color="auto" w:sz="4" w:space="0"/>
                    <w:bottom w:val="single" w:color="auto" w:sz="4" w:space="0"/>
                    <w:right w:val="single" w:color="auto" w:sz="4" w:space="0"/>
                  </w:tcBorders>
                  <w:vAlign w:val="center"/>
                </w:tcPr>
                <w:p w14:paraId="0DADA02E">
                  <w:pPr>
                    <w:pStyle w:val="83"/>
                    <w:rPr>
                      <w:rFonts w:hint="default"/>
                      <w:sz w:val="18"/>
                      <w:szCs w:val="18"/>
                    </w:rPr>
                  </w:pPr>
                  <w:r>
                    <w:rPr>
                      <w:sz w:val="18"/>
                      <w:szCs w:val="18"/>
                    </w:rPr>
                    <w:t>乙腈</w:t>
                  </w:r>
                </w:p>
              </w:tc>
              <w:tc>
                <w:tcPr>
                  <w:tcW w:w="4037" w:type="dxa"/>
                  <w:tcBorders>
                    <w:top w:val="single" w:color="auto" w:sz="4" w:space="0"/>
                    <w:left w:val="single" w:color="auto" w:sz="4" w:space="0"/>
                    <w:bottom w:val="single" w:color="auto" w:sz="4" w:space="0"/>
                    <w:right w:val="single" w:color="auto" w:sz="4" w:space="0"/>
                  </w:tcBorders>
                  <w:vAlign w:val="center"/>
                </w:tcPr>
                <w:p w14:paraId="58E6BD0E">
                  <w:pPr>
                    <w:pStyle w:val="83"/>
                    <w:rPr>
                      <w:rFonts w:hint="default"/>
                      <w:sz w:val="18"/>
                      <w:szCs w:val="18"/>
                    </w:rPr>
                  </w:pPr>
                  <w:r>
                    <w:rPr>
                      <w:sz w:val="18"/>
                      <w:szCs w:val="18"/>
                    </w:rPr>
                    <w:t>分子式C2H3N、相对分子量41.05；无色液体，有刺激性气味；溶解性：与水混溶，溶于乙醇、乙醚等多数有机溶剂；沸点（℃）：81.6、熔点（℃）：-45；相对密度（水=1）：0.79；饱和蒸气压（kPa）：13.33（27℃）。</w:t>
                  </w:r>
                </w:p>
              </w:tc>
              <w:tc>
                <w:tcPr>
                  <w:tcW w:w="3170" w:type="dxa"/>
                  <w:tcBorders>
                    <w:top w:val="single" w:color="auto" w:sz="4" w:space="0"/>
                    <w:left w:val="single" w:color="auto" w:sz="4" w:space="0"/>
                    <w:bottom w:val="single" w:color="auto" w:sz="4" w:space="0"/>
                    <w:right w:val="single" w:color="auto" w:sz="4" w:space="0"/>
                  </w:tcBorders>
                  <w:vAlign w:val="center"/>
                </w:tcPr>
                <w:p w14:paraId="26EFB2B4">
                  <w:pPr>
                    <w:pStyle w:val="83"/>
                    <w:rPr>
                      <w:rFonts w:hint="default"/>
                      <w:sz w:val="18"/>
                      <w:szCs w:val="18"/>
                    </w:rPr>
                  </w:pPr>
                  <w:r>
                    <w:rPr>
                      <w:sz w:val="18"/>
                      <w:szCs w:val="18"/>
                    </w:rPr>
                    <w:t>高度易燃，其蒸汽与空气混合，能形成爆炸性混合物，与强氧化剂等禁配物接触，有发生火灾和爆炸的危险</w:t>
                  </w:r>
                </w:p>
              </w:tc>
              <w:tc>
                <w:tcPr>
                  <w:tcW w:w="2059" w:type="dxa"/>
                  <w:tcBorders>
                    <w:top w:val="single" w:color="auto" w:sz="4" w:space="0"/>
                    <w:left w:val="single" w:color="auto" w:sz="4" w:space="0"/>
                    <w:bottom w:val="single" w:color="auto" w:sz="4" w:space="0"/>
                    <w:right w:val="single" w:color="auto" w:sz="4" w:space="0"/>
                  </w:tcBorders>
                  <w:vAlign w:val="center"/>
                </w:tcPr>
                <w:p w14:paraId="54A77D74">
                  <w:pPr>
                    <w:pStyle w:val="83"/>
                    <w:rPr>
                      <w:rFonts w:hint="default"/>
                      <w:sz w:val="18"/>
                      <w:szCs w:val="18"/>
                    </w:rPr>
                  </w:pPr>
                  <w:r>
                    <w:rPr>
                      <w:sz w:val="18"/>
                      <w:szCs w:val="18"/>
                    </w:rPr>
                    <w:t>爆炸下限（%）：3</w:t>
                  </w:r>
                </w:p>
                <w:p w14:paraId="3884B1B8">
                  <w:pPr>
                    <w:pStyle w:val="83"/>
                    <w:rPr>
                      <w:rFonts w:hint="default"/>
                      <w:sz w:val="18"/>
                      <w:szCs w:val="18"/>
                    </w:rPr>
                  </w:pPr>
                  <w:r>
                    <w:rPr>
                      <w:sz w:val="18"/>
                      <w:szCs w:val="18"/>
                    </w:rPr>
                    <w:t>爆炸上限（%）：16</w:t>
                  </w:r>
                </w:p>
              </w:tc>
              <w:tc>
                <w:tcPr>
                  <w:tcW w:w="1852" w:type="dxa"/>
                  <w:tcBorders>
                    <w:top w:val="single" w:color="auto" w:sz="4" w:space="0"/>
                    <w:left w:val="single" w:color="auto" w:sz="4" w:space="0"/>
                    <w:bottom w:val="single" w:color="auto" w:sz="4" w:space="0"/>
                    <w:right w:val="nil"/>
                  </w:tcBorders>
                  <w:vAlign w:val="center"/>
                </w:tcPr>
                <w:p w14:paraId="55A2ACDE">
                  <w:pPr>
                    <w:pStyle w:val="83"/>
                    <w:rPr>
                      <w:rFonts w:hint="default"/>
                      <w:sz w:val="18"/>
                      <w:szCs w:val="18"/>
                    </w:rPr>
                  </w:pPr>
                  <w:r>
                    <w:rPr>
                      <w:sz w:val="18"/>
                      <w:szCs w:val="18"/>
                    </w:rPr>
                    <w:t>LD50：2460mg/kg（大鼠经口）；</w:t>
                  </w:r>
                </w:p>
                <w:p w14:paraId="5CCEB65C">
                  <w:pPr>
                    <w:pStyle w:val="83"/>
                    <w:rPr>
                      <w:rFonts w:hint="default"/>
                      <w:sz w:val="18"/>
                      <w:szCs w:val="18"/>
                    </w:rPr>
                  </w:pPr>
                  <w:r>
                    <w:rPr>
                      <w:sz w:val="18"/>
                      <w:szCs w:val="18"/>
                    </w:rPr>
                    <w:t>LC50：7551ppm（大鼠吸入，8h）</w:t>
                  </w:r>
                </w:p>
              </w:tc>
            </w:tr>
            <w:tr w14:paraId="57AF02E0">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2EAF0159">
                  <w:pPr>
                    <w:pStyle w:val="83"/>
                    <w:rPr>
                      <w:rFonts w:hint="default"/>
                      <w:sz w:val="18"/>
                      <w:szCs w:val="18"/>
                    </w:rPr>
                  </w:pPr>
                  <w:r>
                    <w:rPr>
                      <w:sz w:val="18"/>
                      <w:szCs w:val="18"/>
                    </w:rPr>
                    <w:t>6</w:t>
                  </w:r>
                </w:p>
              </w:tc>
              <w:tc>
                <w:tcPr>
                  <w:tcW w:w="1145" w:type="dxa"/>
                  <w:tcBorders>
                    <w:top w:val="single" w:color="auto" w:sz="4" w:space="0"/>
                    <w:left w:val="single" w:color="auto" w:sz="4" w:space="0"/>
                    <w:bottom w:val="single" w:color="auto" w:sz="4" w:space="0"/>
                    <w:right w:val="single" w:color="auto" w:sz="4" w:space="0"/>
                  </w:tcBorders>
                  <w:vAlign w:val="center"/>
                </w:tcPr>
                <w:p w14:paraId="0AD3737A">
                  <w:pPr>
                    <w:pStyle w:val="83"/>
                    <w:rPr>
                      <w:rFonts w:hint="default"/>
                      <w:sz w:val="18"/>
                      <w:szCs w:val="18"/>
                    </w:rPr>
                  </w:pPr>
                  <w:r>
                    <w:rPr>
                      <w:sz w:val="18"/>
                      <w:szCs w:val="18"/>
                    </w:rPr>
                    <w:t>乙醇</w:t>
                  </w:r>
                </w:p>
              </w:tc>
              <w:tc>
                <w:tcPr>
                  <w:tcW w:w="4037" w:type="dxa"/>
                  <w:tcBorders>
                    <w:top w:val="single" w:color="auto" w:sz="4" w:space="0"/>
                    <w:left w:val="single" w:color="auto" w:sz="4" w:space="0"/>
                    <w:bottom w:val="single" w:color="auto" w:sz="4" w:space="0"/>
                    <w:right w:val="single" w:color="auto" w:sz="4" w:space="0"/>
                  </w:tcBorders>
                  <w:vAlign w:val="center"/>
                </w:tcPr>
                <w:p w14:paraId="6D01BA84">
                  <w:pPr>
                    <w:pStyle w:val="83"/>
                    <w:rPr>
                      <w:rFonts w:hint="default"/>
                      <w:sz w:val="18"/>
                      <w:szCs w:val="18"/>
                    </w:rPr>
                  </w:pPr>
                  <w:r>
                    <w:rPr>
                      <w:sz w:val="18"/>
                      <w:szCs w:val="18"/>
                    </w:rPr>
                    <w:t>分子式C2H6O，相对分子量46.07；无色液体，有酒香；溶解性：与水混溶，可混溶于乙醚、氯仿、甘油、甲醇等多数有机溶剂；沸点（℃）：78.3、熔点（℃）：-114.1；相对密度（水=1）：0.79；饱和蒸气压（kPa）：5.8（20℃）。</w:t>
                  </w:r>
                </w:p>
              </w:tc>
              <w:tc>
                <w:tcPr>
                  <w:tcW w:w="3170" w:type="dxa"/>
                  <w:tcBorders>
                    <w:top w:val="single" w:color="auto" w:sz="4" w:space="0"/>
                    <w:left w:val="single" w:color="auto" w:sz="4" w:space="0"/>
                    <w:bottom w:val="single" w:color="auto" w:sz="4" w:space="0"/>
                    <w:right w:val="single" w:color="auto" w:sz="4" w:space="0"/>
                  </w:tcBorders>
                  <w:vAlign w:val="center"/>
                </w:tcPr>
                <w:p w14:paraId="765D3C12">
                  <w:pPr>
                    <w:pStyle w:val="83"/>
                    <w:rPr>
                      <w:rFonts w:hint="default"/>
                      <w:sz w:val="18"/>
                      <w:szCs w:val="18"/>
                    </w:rPr>
                  </w:pPr>
                  <w:r>
                    <w:rPr>
                      <w:sz w:val="18"/>
                      <w:szCs w:val="18"/>
                    </w:rPr>
                    <w:t>高度易燃，其蒸汽与空气混合，能形成爆炸性混合物，与强氧化剂等禁配物接触，有发生火灾和爆炸的危险</w:t>
                  </w:r>
                </w:p>
              </w:tc>
              <w:tc>
                <w:tcPr>
                  <w:tcW w:w="2059" w:type="dxa"/>
                  <w:tcBorders>
                    <w:top w:val="single" w:color="auto" w:sz="4" w:space="0"/>
                    <w:left w:val="single" w:color="auto" w:sz="4" w:space="0"/>
                    <w:bottom w:val="single" w:color="auto" w:sz="4" w:space="0"/>
                    <w:right w:val="single" w:color="auto" w:sz="4" w:space="0"/>
                  </w:tcBorders>
                  <w:vAlign w:val="center"/>
                </w:tcPr>
                <w:p w14:paraId="71D6662A">
                  <w:pPr>
                    <w:pStyle w:val="83"/>
                    <w:rPr>
                      <w:rFonts w:hint="default"/>
                      <w:sz w:val="18"/>
                      <w:szCs w:val="18"/>
                    </w:rPr>
                  </w:pPr>
                  <w:r>
                    <w:rPr>
                      <w:sz w:val="18"/>
                      <w:szCs w:val="18"/>
                    </w:rPr>
                    <w:t>爆炸下限（V/V）：3.3</w:t>
                  </w:r>
                </w:p>
                <w:p w14:paraId="491A3B30">
                  <w:pPr>
                    <w:pStyle w:val="83"/>
                    <w:rPr>
                      <w:rFonts w:hint="default"/>
                      <w:sz w:val="18"/>
                      <w:szCs w:val="18"/>
                    </w:rPr>
                  </w:pPr>
                  <w:r>
                    <w:rPr>
                      <w:sz w:val="18"/>
                      <w:szCs w:val="18"/>
                    </w:rPr>
                    <w:t>爆炸上限（V/V）：19</w:t>
                  </w:r>
                </w:p>
              </w:tc>
              <w:tc>
                <w:tcPr>
                  <w:tcW w:w="1852" w:type="dxa"/>
                  <w:tcBorders>
                    <w:top w:val="single" w:color="auto" w:sz="4" w:space="0"/>
                    <w:left w:val="single" w:color="auto" w:sz="4" w:space="0"/>
                    <w:bottom w:val="single" w:color="auto" w:sz="4" w:space="0"/>
                    <w:right w:val="nil"/>
                  </w:tcBorders>
                  <w:vAlign w:val="center"/>
                </w:tcPr>
                <w:p w14:paraId="0E5D89DD">
                  <w:pPr>
                    <w:pStyle w:val="83"/>
                    <w:rPr>
                      <w:rFonts w:hint="default"/>
                      <w:sz w:val="18"/>
                      <w:szCs w:val="18"/>
                    </w:rPr>
                  </w:pPr>
                  <w:r>
                    <w:rPr>
                      <w:sz w:val="18"/>
                      <w:szCs w:val="18"/>
                    </w:rPr>
                    <w:t>LD50：7060mg/kg（大鼠经口）；</w:t>
                  </w:r>
                </w:p>
                <w:p w14:paraId="357EAC91">
                  <w:pPr>
                    <w:pStyle w:val="83"/>
                    <w:rPr>
                      <w:rFonts w:hint="default"/>
                      <w:sz w:val="18"/>
                      <w:szCs w:val="18"/>
                    </w:rPr>
                  </w:pPr>
                  <w:r>
                    <w:rPr>
                      <w:sz w:val="18"/>
                      <w:szCs w:val="18"/>
                    </w:rPr>
                    <w:t>LC50：20000ppm（大鼠吸入，10h）</w:t>
                  </w:r>
                </w:p>
              </w:tc>
            </w:tr>
            <w:tr w14:paraId="324B69AB">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700E4129">
                  <w:pPr>
                    <w:pStyle w:val="83"/>
                    <w:rPr>
                      <w:rFonts w:hint="default"/>
                      <w:sz w:val="18"/>
                      <w:szCs w:val="18"/>
                    </w:rPr>
                  </w:pPr>
                  <w:r>
                    <w:rPr>
                      <w:sz w:val="18"/>
                      <w:szCs w:val="18"/>
                    </w:rPr>
                    <w:t>7</w:t>
                  </w:r>
                </w:p>
              </w:tc>
              <w:tc>
                <w:tcPr>
                  <w:tcW w:w="1145" w:type="dxa"/>
                  <w:tcBorders>
                    <w:top w:val="single" w:color="auto" w:sz="4" w:space="0"/>
                    <w:left w:val="single" w:color="auto" w:sz="4" w:space="0"/>
                    <w:bottom w:val="single" w:color="auto" w:sz="4" w:space="0"/>
                    <w:right w:val="single" w:color="auto" w:sz="4" w:space="0"/>
                  </w:tcBorders>
                  <w:vAlign w:val="center"/>
                </w:tcPr>
                <w:p w14:paraId="6DE6B069">
                  <w:pPr>
                    <w:pStyle w:val="83"/>
                    <w:rPr>
                      <w:rFonts w:hint="default"/>
                      <w:sz w:val="18"/>
                      <w:szCs w:val="18"/>
                    </w:rPr>
                  </w:pPr>
                  <w:r>
                    <w:rPr>
                      <w:sz w:val="18"/>
                      <w:szCs w:val="18"/>
                    </w:rPr>
                    <w:t>N,N-</w:t>
                  </w:r>
                  <w:r>
                    <w:rPr>
                      <w:rFonts w:hint="default"/>
                      <w:sz w:val="18"/>
                      <w:szCs w:val="18"/>
                    </w:rPr>
                    <w:t>二甲基乙酰胺</w:t>
                  </w:r>
                </w:p>
              </w:tc>
              <w:tc>
                <w:tcPr>
                  <w:tcW w:w="4037" w:type="dxa"/>
                  <w:tcBorders>
                    <w:top w:val="single" w:color="auto" w:sz="4" w:space="0"/>
                    <w:left w:val="single" w:color="auto" w:sz="4" w:space="0"/>
                    <w:bottom w:val="single" w:color="auto" w:sz="4" w:space="0"/>
                    <w:right w:val="single" w:color="auto" w:sz="4" w:space="0"/>
                  </w:tcBorders>
                  <w:vAlign w:val="center"/>
                </w:tcPr>
                <w:p w14:paraId="460AA95A">
                  <w:pPr>
                    <w:pStyle w:val="83"/>
                    <w:rPr>
                      <w:rFonts w:hint="default"/>
                      <w:sz w:val="18"/>
                      <w:szCs w:val="18"/>
                    </w:rPr>
                  </w:pPr>
                  <w:r>
                    <w:rPr>
                      <w:sz w:val="18"/>
                      <w:szCs w:val="18"/>
                    </w:rPr>
                    <w:t>分子式C4H9NO，相对分子量87.12；无色透明液体，稍有胺的气味；溶解性：混溶；沸点（℃）：165、熔点（℃）：-20；相对密度（水=1）：0.94；饱和蒸气压（kPa）：0.27（25℃）。</w:t>
                  </w:r>
                </w:p>
              </w:tc>
              <w:tc>
                <w:tcPr>
                  <w:tcW w:w="3170" w:type="dxa"/>
                  <w:tcBorders>
                    <w:top w:val="single" w:color="auto" w:sz="4" w:space="0"/>
                    <w:left w:val="single" w:color="auto" w:sz="4" w:space="0"/>
                    <w:bottom w:val="single" w:color="auto" w:sz="4" w:space="0"/>
                    <w:right w:val="single" w:color="auto" w:sz="4" w:space="0"/>
                  </w:tcBorders>
                  <w:vAlign w:val="center"/>
                </w:tcPr>
                <w:p w14:paraId="220FA941">
                  <w:pPr>
                    <w:pStyle w:val="83"/>
                    <w:rPr>
                      <w:rFonts w:hint="default"/>
                      <w:sz w:val="18"/>
                      <w:szCs w:val="18"/>
                    </w:rPr>
                  </w:pPr>
                  <w:r>
                    <w:rPr>
                      <w:sz w:val="18"/>
                      <w:szCs w:val="18"/>
                    </w:rPr>
                    <w:t>易燃，其蒸汽与空气混合能形成爆炸性混合物，遇明火、高热易燃烧爆炸。在高温火场中，受热的容器有破裂和爆炸的危险。在火焰中释放出刺激性或有毒烟雾。</w:t>
                  </w:r>
                </w:p>
              </w:tc>
              <w:tc>
                <w:tcPr>
                  <w:tcW w:w="2059" w:type="dxa"/>
                  <w:tcBorders>
                    <w:top w:val="single" w:color="auto" w:sz="4" w:space="0"/>
                    <w:left w:val="single" w:color="auto" w:sz="4" w:space="0"/>
                    <w:bottom w:val="single" w:color="auto" w:sz="4" w:space="0"/>
                    <w:right w:val="single" w:color="auto" w:sz="4" w:space="0"/>
                  </w:tcBorders>
                  <w:vAlign w:val="center"/>
                </w:tcPr>
                <w:p w14:paraId="4DDCE7FF">
                  <w:pPr>
                    <w:pStyle w:val="83"/>
                    <w:rPr>
                      <w:rFonts w:hint="default"/>
                      <w:sz w:val="18"/>
                      <w:szCs w:val="18"/>
                    </w:rPr>
                  </w:pPr>
                  <w:r>
                    <w:rPr>
                      <w:sz w:val="18"/>
                      <w:szCs w:val="18"/>
                    </w:rPr>
                    <w:t>爆炸下限（%）：1.8</w:t>
                  </w:r>
                </w:p>
                <w:p w14:paraId="2EBD031F">
                  <w:pPr>
                    <w:pStyle w:val="83"/>
                    <w:rPr>
                      <w:rFonts w:hint="default"/>
                      <w:sz w:val="18"/>
                      <w:szCs w:val="18"/>
                    </w:rPr>
                  </w:pPr>
                  <w:r>
                    <w:rPr>
                      <w:sz w:val="18"/>
                      <w:szCs w:val="18"/>
                    </w:rPr>
                    <w:t>爆炸上限（%）：11.5</w:t>
                  </w:r>
                </w:p>
              </w:tc>
              <w:tc>
                <w:tcPr>
                  <w:tcW w:w="1852" w:type="dxa"/>
                  <w:tcBorders>
                    <w:top w:val="single" w:color="auto" w:sz="4" w:space="0"/>
                    <w:left w:val="single" w:color="auto" w:sz="4" w:space="0"/>
                    <w:bottom w:val="single" w:color="auto" w:sz="4" w:space="0"/>
                    <w:right w:val="nil"/>
                  </w:tcBorders>
                  <w:vAlign w:val="center"/>
                </w:tcPr>
                <w:p w14:paraId="242D7BCE">
                  <w:pPr>
                    <w:pStyle w:val="83"/>
                    <w:rPr>
                      <w:rFonts w:hint="default"/>
                      <w:sz w:val="18"/>
                      <w:szCs w:val="18"/>
                    </w:rPr>
                  </w:pPr>
                  <w:r>
                    <w:rPr>
                      <w:sz w:val="18"/>
                      <w:szCs w:val="18"/>
                    </w:rPr>
                    <w:t>LD50：4250mg/kg（大鼠经口）；</w:t>
                  </w:r>
                </w:p>
                <w:p w14:paraId="7FF34282">
                  <w:pPr>
                    <w:pStyle w:val="83"/>
                    <w:rPr>
                      <w:rFonts w:hint="default"/>
                      <w:sz w:val="18"/>
                      <w:szCs w:val="18"/>
                    </w:rPr>
                  </w:pPr>
                  <w:r>
                    <w:rPr>
                      <w:sz w:val="18"/>
                      <w:szCs w:val="18"/>
                    </w:rPr>
                    <w:t>LC50：2475ppm（大鼠吸入，1h）</w:t>
                  </w:r>
                </w:p>
              </w:tc>
            </w:tr>
            <w:tr w14:paraId="59D76057">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12218317">
                  <w:pPr>
                    <w:pStyle w:val="83"/>
                    <w:rPr>
                      <w:rFonts w:hint="default"/>
                      <w:sz w:val="18"/>
                      <w:szCs w:val="18"/>
                    </w:rPr>
                  </w:pPr>
                  <w:r>
                    <w:rPr>
                      <w:sz w:val="18"/>
                      <w:szCs w:val="18"/>
                    </w:rPr>
                    <w:t>8</w:t>
                  </w:r>
                </w:p>
              </w:tc>
              <w:tc>
                <w:tcPr>
                  <w:tcW w:w="1145" w:type="dxa"/>
                  <w:tcBorders>
                    <w:top w:val="single" w:color="auto" w:sz="4" w:space="0"/>
                    <w:left w:val="single" w:color="auto" w:sz="4" w:space="0"/>
                    <w:bottom w:val="single" w:color="auto" w:sz="4" w:space="0"/>
                    <w:right w:val="single" w:color="auto" w:sz="4" w:space="0"/>
                  </w:tcBorders>
                  <w:vAlign w:val="center"/>
                </w:tcPr>
                <w:p w14:paraId="2AAEC526">
                  <w:pPr>
                    <w:pStyle w:val="83"/>
                    <w:rPr>
                      <w:rFonts w:hint="default"/>
                      <w:sz w:val="18"/>
                      <w:szCs w:val="18"/>
                    </w:rPr>
                  </w:pPr>
                  <w:r>
                    <w:rPr>
                      <w:sz w:val="18"/>
                      <w:szCs w:val="18"/>
                    </w:rPr>
                    <w:t>异丙醇</w:t>
                  </w:r>
                </w:p>
              </w:tc>
              <w:tc>
                <w:tcPr>
                  <w:tcW w:w="4037" w:type="dxa"/>
                  <w:tcBorders>
                    <w:top w:val="single" w:color="auto" w:sz="4" w:space="0"/>
                    <w:left w:val="single" w:color="auto" w:sz="4" w:space="0"/>
                    <w:bottom w:val="single" w:color="auto" w:sz="4" w:space="0"/>
                    <w:right w:val="single" w:color="auto" w:sz="4" w:space="0"/>
                  </w:tcBorders>
                  <w:vAlign w:val="center"/>
                </w:tcPr>
                <w:p w14:paraId="0DCE1AB3">
                  <w:pPr>
                    <w:pStyle w:val="83"/>
                    <w:rPr>
                      <w:rFonts w:hint="default"/>
                      <w:sz w:val="18"/>
                      <w:szCs w:val="18"/>
                    </w:rPr>
                  </w:pPr>
                  <w:r>
                    <w:rPr>
                      <w:sz w:val="18"/>
                      <w:szCs w:val="18"/>
                    </w:rPr>
                    <w:t>分子式C3H8O，相对分子量60.1；无色透明液体，有似乙醇和丙酮混合物的气味；溶解性：溶于水、乙醇、乙醚、苯、氯仿等多数有机溶剂；沸点（℃）：82.5、熔点（℃）：-88.5；相对密度（水=1）：0.79；饱和蒸气压（kPa）：4.40（200℃）。</w:t>
                  </w:r>
                </w:p>
              </w:tc>
              <w:tc>
                <w:tcPr>
                  <w:tcW w:w="3170" w:type="dxa"/>
                  <w:tcBorders>
                    <w:top w:val="single" w:color="auto" w:sz="4" w:space="0"/>
                    <w:left w:val="single" w:color="auto" w:sz="4" w:space="0"/>
                    <w:bottom w:val="single" w:color="auto" w:sz="4" w:space="0"/>
                    <w:right w:val="single" w:color="auto" w:sz="4" w:space="0"/>
                  </w:tcBorders>
                  <w:vAlign w:val="center"/>
                </w:tcPr>
                <w:p w14:paraId="36E2FAFA">
                  <w:pPr>
                    <w:pStyle w:val="83"/>
                    <w:rPr>
                      <w:rFonts w:hint="default"/>
                      <w:sz w:val="18"/>
                      <w:szCs w:val="18"/>
                    </w:rPr>
                  </w:pPr>
                  <w:r>
                    <w:rPr>
                      <w:sz w:val="18"/>
                      <w:szCs w:val="18"/>
                    </w:rPr>
                    <w:t>高度易燃，其蒸汽与空气混合，能形成爆炸性混合物，与强氧化剂等禁配物接触，有发生火灾和爆炸的危险</w:t>
                  </w:r>
                </w:p>
              </w:tc>
              <w:tc>
                <w:tcPr>
                  <w:tcW w:w="2059" w:type="dxa"/>
                  <w:tcBorders>
                    <w:top w:val="single" w:color="auto" w:sz="4" w:space="0"/>
                    <w:left w:val="single" w:color="auto" w:sz="4" w:space="0"/>
                    <w:bottom w:val="single" w:color="auto" w:sz="4" w:space="0"/>
                    <w:right w:val="single" w:color="auto" w:sz="4" w:space="0"/>
                  </w:tcBorders>
                  <w:vAlign w:val="center"/>
                </w:tcPr>
                <w:p w14:paraId="3CC31A45">
                  <w:pPr>
                    <w:pStyle w:val="83"/>
                    <w:rPr>
                      <w:rFonts w:hint="default"/>
                      <w:sz w:val="18"/>
                      <w:szCs w:val="18"/>
                    </w:rPr>
                  </w:pPr>
                  <w:r>
                    <w:rPr>
                      <w:sz w:val="18"/>
                      <w:szCs w:val="18"/>
                    </w:rPr>
                    <w:t>爆炸下限（%）：2.0</w:t>
                  </w:r>
                </w:p>
                <w:p w14:paraId="23D38D8E">
                  <w:pPr>
                    <w:pStyle w:val="83"/>
                    <w:rPr>
                      <w:rFonts w:hint="default"/>
                      <w:sz w:val="18"/>
                      <w:szCs w:val="18"/>
                    </w:rPr>
                  </w:pPr>
                  <w:r>
                    <w:rPr>
                      <w:sz w:val="18"/>
                      <w:szCs w:val="18"/>
                    </w:rPr>
                    <w:t>爆炸上限（%）：12.7</w:t>
                  </w:r>
                </w:p>
              </w:tc>
              <w:tc>
                <w:tcPr>
                  <w:tcW w:w="1852" w:type="dxa"/>
                  <w:tcBorders>
                    <w:top w:val="single" w:color="auto" w:sz="4" w:space="0"/>
                    <w:left w:val="single" w:color="auto" w:sz="4" w:space="0"/>
                    <w:bottom w:val="single" w:color="auto" w:sz="4" w:space="0"/>
                    <w:right w:val="nil"/>
                  </w:tcBorders>
                  <w:vAlign w:val="center"/>
                </w:tcPr>
                <w:p w14:paraId="05EA34D1">
                  <w:pPr>
                    <w:pStyle w:val="83"/>
                    <w:rPr>
                      <w:rFonts w:hint="default"/>
                      <w:sz w:val="18"/>
                      <w:szCs w:val="18"/>
                    </w:rPr>
                  </w:pPr>
                  <w:r>
                    <w:rPr>
                      <w:sz w:val="18"/>
                      <w:szCs w:val="18"/>
                    </w:rPr>
                    <w:t>LD50：5000mg/kg（大鼠经口）；</w:t>
                  </w:r>
                </w:p>
                <w:p w14:paraId="04F8DA32">
                  <w:pPr>
                    <w:pStyle w:val="83"/>
                    <w:rPr>
                      <w:rFonts w:hint="default"/>
                      <w:sz w:val="18"/>
                      <w:szCs w:val="18"/>
                    </w:rPr>
                  </w:pPr>
                  <w:r>
                    <w:rPr>
                      <w:sz w:val="18"/>
                      <w:szCs w:val="18"/>
                    </w:rPr>
                    <w:t>LC50：/</w:t>
                  </w:r>
                </w:p>
              </w:tc>
            </w:tr>
            <w:tr w14:paraId="4CB836D6">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3697E1F1">
                  <w:pPr>
                    <w:pStyle w:val="83"/>
                    <w:rPr>
                      <w:rFonts w:hint="default"/>
                      <w:sz w:val="18"/>
                      <w:szCs w:val="18"/>
                    </w:rPr>
                  </w:pPr>
                  <w:r>
                    <w:rPr>
                      <w:sz w:val="18"/>
                      <w:szCs w:val="18"/>
                    </w:rPr>
                    <w:t>9</w:t>
                  </w:r>
                </w:p>
              </w:tc>
              <w:tc>
                <w:tcPr>
                  <w:tcW w:w="1145" w:type="dxa"/>
                  <w:tcBorders>
                    <w:top w:val="single" w:color="auto" w:sz="4" w:space="0"/>
                    <w:left w:val="single" w:color="auto" w:sz="4" w:space="0"/>
                    <w:bottom w:val="single" w:color="auto" w:sz="4" w:space="0"/>
                    <w:right w:val="single" w:color="auto" w:sz="4" w:space="0"/>
                  </w:tcBorders>
                  <w:vAlign w:val="center"/>
                </w:tcPr>
                <w:p w14:paraId="7BC3A972">
                  <w:pPr>
                    <w:pStyle w:val="83"/>
                    <w:rPr>
                      <w:rFonts w:hint="default"/>
                      <w:sz w:val="18"/>
                      <w:szCs w:val="18"/>
                    </w:rPr>
                  </w:pPr>
                  <w:r>
                    <w:rPr>
                      <w:sz w:val="18"/>
                      <w:szCs w:val="18"/>
                    </w:rPr>
                    <w:t>磷酸</w:t>
                  </w:r>
                </w:p>
              </w:tc>
              <w:tc>
                <w:tcPr>
                  <w:tcW w:w="4037" w:type="dxa"/>
                  <w:tcBorders>
                    <w:top w:val="single" w:color="auto" w:sz="4" w:space="0"/>
                    <w:left w:val="single" w:color="auto" w:sz="4" w:space="0"/>
                    <w:bottom w:val="single" w:color="auto" w:sz="4" w:space="0"/>
                    <w:right w:val="single" w:color="auto" w:sz="4" w:space="0"/>
                  </w:tcBorders>
                  <w:vAlign w:val="center"/>
                </w:tcPr>
                <w:p w14:paraId="1C4884E2">
                  <w:pPr>
                    <w:pStyle w:val="83"/>
                    <w:rPr>
                      <w:rFonts w:hint="default"/>
                      <w:sz w:val="18"/>
                      <w:szCs w:val="18"/>
                    </w:rPr>
                  </w:pPr>
                  <w:r>
                    <w:rPr>
                      <w:sz w:val="18"/>
                      <w:szCs w:val="18"/>
                    </w:rPr>
                    <w:t>分子式H3PO4，相对分子量98；无色结晶，无臭，具有酸味；溶解性：与水混溶，可混溶于乙醇等许多有机溶剂；沸点（℃）：260、熔点（℃）：42.4；相对密度（水=1）：1.87；饱和蒸气压（kPa）：0.0038（20℃）。</w:t>
                  </w:r>
                </w:p>
              </w:tc>
              <w:tc>
                <w:tcPr>
                  <w:tcW w:w="3170" w:type="dxa"/>
                  <w:tcBorders>
                    <w:top w:val="single" w:color="auto" w:sz="4" w:space="0"/>
                    <w:left w:val="single" w:color="auto" w:sz="4" w:space="0"/>
                    <w:bottom w:val="single" w:color="auto" w:sz="4" w:space="0"/>
                    <w:right w:val="single" w:color="auto" w:sz="4" w:space="0"/>
                  </w:tcBorders>
                  <w:vAlign w:val="center"/>
                </w:tcPr>
                <w:p w14:paraId="251E9F5B">
                  <w:pPr>
                    <w:pStyle w:val="83"/>
                    <w:rPr>
                      <w:rFonts w:hint="default"/>
                      <w:sz w:val="18"/>
                      <w:szCs w:val="18"/>
                    </w:rPr>
                  </w:pPr>
                  <w:r>
                    <w:rPr>
                      <w:sz w:val="18"/>
                      <w:szCs w:val="18"/>
                    </w:rPr>
                    <w:t>不燃，无特殊燃爆特性。与强碱禁配物发生反应，与活性金属反应放出易燃气体</w:t>
                  </w:r>
                </w:p>
              </w:tc>
              <w:tc>
                <w:tcPr>
                  <w:tcW w:w="2059" w:type="dxa"/>
                  <w:tcBorders>
                    <w:top w:val="single" w:color="auto" w:sz="4" w:space="0"/>
                    <w:left w:val="single" w:color="auto" w:sz="4" w:space="0"/>
                    <w:bottom w:val="single" w:color="auto" w:sz="4" w:space="0"/>
                    <w:right w:val="single" w:color="auto" w:sz="4" w:space="0"/>
                  </w:tcBorders>
                  <w:vAlign w:val="center"/>
                </w:tcPr>
                <w:p w14:paraId="22D423F4">
                  <w:pPr>
                    <w:pStyle w:val="83"/>
                    <w:rPr>
                      <w:rFonts w:hint="default"/>
                      <w:sz w:val="18"/>
                      <w:szCs w:val="18"/>
                    </w:rPr>
                  </w:pPr>
                  <w:r>
                    <w:rPr>
                      <w:sz w:val="18"/>
                      <w:szCs w:val="18"/>
                    </w:rPr>
                    <w:t>爆炸下限（%）：/</w:t>
                  </w:r>
                </w:p>
                <w:p w14:paraId="3F73FC77">
                  <w:pPr>
                    <w:pStyle w:val="83"/>
                    <w:rPr>
                      <w:rFonts w:hint="default"/>
                      <w:sz w:val="18"/>
                      <w:szCs w:val="18"/>
                    </w:rPr>
                  </w:pPr>
                  <w:r>
                    <w:rPr>
                      <w:sz w:val="18"/>
                      <w:szCs w:val="18"/>
                    </w:rPr>
                    <w:t>爆炸上限（%）：/</w:t>
                  </w:r>
                </w:p>
              </w:tc>
              <w:tc>
                <w:tcPr>
                  <w:tcW w:w="1852" w:type="dxa"/>
                  <w:tcBorders>
                    <w:top w:val="single" w:color="auto" w:sz="4" w:space="0"/>
                    <w:left w:val="single" w:color="auto" w:sz="4" w:space="0"/>
                    <w:bottom w:val="single" w:color="auto" w:sz="4" w:space="0"/>
                    <w:right w:val="nil"/>
                  </w:tcBorders>
                  <w:vAlign w:val="center"/>
                </w:tcPr>
                <w:p w14:paraId="5FA93D3E">
                  <w:pPr>
                    <w:pStyle w:val="83"/>
                    <w:rPr>
                      <w:rFonts w:hint="default"/>
                      <w:sz w:val="18"/>
                      <w:szCs w:val="18"/>
                    </w:rPr>
                  </w:pPr>
                  <w:r>
                    <w:rPr>
                      <w:sz w:val="18"/>
                      <w:szCs w:val="18"/>
                    </w:rPr>
                    <w:t>LD50：1530mg/kg（大鼠经口）</w:t>
                  </w:r>
                </w:p>
                <w:p w14:paraId="7A9F4F75">
                  <w:pPr>
                    <w:pStyle w:val="83"/>
                    <w:rPr>
                      <w:rFonts w:hint="default"/>
                      <w:sz w:val="18"/>
                      <w:szCs w:val="18"/>
                    </w:rPr>
                  </w:pPr>
                  <w:r>
                    <w:rPr>
                      <w:sz w:val="18"/>
                      <w:szCs w:val="18"/>
                    </w:rPr>
                    <w:t>LC50：/</w:t>
                  </w:r>
                </w:p>
              </w:tc>
            </w:tr>
            <w:tr w14:paraId="42FBB49F">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521C88FB">
                  <w:pPr>
                    <w:pStyle w:val="83"/>
                    <w:rPr>
                      <w:rFonts w:hint="default"/>
                      <w:sz w:val="18"/>
                      <w:szCs w:val="18"/>
                    </w:rPr>
                  </w:pPr>
                  <w:r>
                    <w:rPr>
                      <w:sz w:val="18"/>
                      <w:szCs w:val="18"/>
                    </w:rPr>
                    <w:t>10</w:t>
                  </w:r>
                </w:p>
              </w:tc>
              <w:tc>
                <w:tcPr>
                  <w:tcW w:w="1145" w:type="dxa"/>
                  <w:tcBorders>
                    <w:top w:val="single" w:color="auto" w:sz="4" w:space="0"/>
                    <w:left w:val="single" w:color="auto" w:sz="4" w:space="0"/>
                    <w:bottom w:val="single" w:color="auto" w:sz="4" w:space="0"/>
                    <w:right w:val="single" w:color="auto" w:sz="4" w:space="0"/>
                  </w:tcBorders>
                  <w:vAlign w:val="center"/>
                </w:tcPr>
                <w:p w14:paraId="2BBFEBD6">
                  <w:pPr>
                    <w:pStyle w:val="83"/>
                    <w:rPr>
                      <w:rFonts w:hint="default"/>
                      <w:sz w:val="18"/>
                      <w:szCs w:val="18"/>
                    </w:rPr>
                  </w:pPr>
                  <w:r>
                    <w:rPr>
                      <w:sz w:val="18"/>
                      <w:szCs w:val="18"/>
                    </w:rPr>
                    <w:t>乙醚</w:t>
                  </w:r>
                </w:p>
              </w:tc>
              <w:tc>
                <w:tcPr>
                  <w:tcW w:w="4037" w:type="dxa"/>
                  <w:tcBorders>
                    <w:top w:val="single" w:color="auto" w:sz="4" w:space="0"/>
                    <w:left w:val="single" w:color="auto" w:sz="4" w:space="0"/>
                    <w:bottom w:val="single" w:color="auto" w:sz="4" w:space="0"/>
                    <w:right w:val="single" w:color="auto" w:sz="4" w:space="0"/>
                  </w:tcBorders>
                  <w:vAlign w:val="center"/>
                </w:tcPr>
                <w:p w14:paraId="7CC744BC">
                  <w:pPr>
                    <w:pStyle w:val="83"/>
                    <w:rPr>
                      <w:rFonts w:hint="default"/>
                      <w:sz w:val="18"/>
                      <w:szCs w:val="18"/>
                    </w:rPr>
                  </w:pPr>
                  <w:r>
                    <w:rPr>
                      <w:sz w:val="18"/>
                      <w:szCs w:val="18"/>
                    </w:rPr>
                    <w:t>分子式C2H5OC2H5，相对分子量74.12，无色透明液体，有芳香气味，极易挥发；沸点（℃）：34.6、熔点（℃）：-116.2；相对密度（水=1）0.712；饱和蒸汽压（kPa）：58.92（20℃）</w:t>
                  </w:r>
                </w:p>
              </w:tc>
              <w:tc>
                <w:tcPr>
                  <w:tcW w:w="3170" w:type="dxa"/>
                  <w:tcBorders>
                    <w:top w:val="single" w:color="auto" w:sz="4" w:space="0"/>
                    <w:left w:val="single" w:color="auto" w:sz="4" w:space="0"/>
                    <w:bottom w:val="single" w:color="auto" w:sz="4" w:space="0"/>
                    <w:right w:val="single" w:color="auto" w:sz="4" w:space="0"/>
                  </w:tcBorders>
                  <w:vAlign w:val="center"/>
                </w:tcPr>
                <w:p w14:paraId="03A4D1E4">
                  <w:pPr>
                    <w:pStyle w:val="83"/>
                    <w:rPr>
                      <w:rFonts w:hint="default"/>
                      <w:sz w:val="18"/>
                      <w:szCs w:val="18"/>
                    </w:rPr>
                  </w:pPr>
                  <w:r>
                    <w:rPr>
                      <w:sz w:val="18"/>
                      <w:szCs w:val="18"/>
                    </w:rPr>
                    <w:t>极易燃，其蒸汽与空气混合，能形成爆炸性混合物，与强氧化剂等禁配物接触，有发生火灾和爆炸的危险</w:t>
                  </w:r>
                </w:p>
              </w:tc>
              <w:tc>
                <w:tcPr>
                  <w:tcW w:w="2059" w:type="dxa"/>
                  <w:tcBorders>
                    <w:top w:val="single" w:color="auto" w:sz="4" w:space="0"/>
                    <w:left w:val="single" w:color="auto" w:sz="4" w:space="0"/>
                    <w:bottom w:val="single" w:color="auto" w:sz="4" w:space="0"/>
                    <w:right w:val="single" w:color="auto" w:sz="4" w:space="0"/>
                  </w:tcBorders>
                  <w:vAlign w:val="center"/>
                </w:tcPr>
                <w:p w14:paraId="6514D963">
                  <w:pPr>
                    <w:pStyle w:val="83"/>
                    <w:rPr>
                      <w:rFonts w:hint="default"/>
                      <w:sz w:val="18"/>
                      <w:szCs w:val="18"/>
                    </w:rPr>
                  </w:pPr>
                  <w:r>
                    <w:rPr>
                      <w:sz w:val="18"/>
                      <w:szCs w:val="18"/>
                    </w:rPr>
                    <w:t>爆炸下限（%）：1.7</w:t>
                  </w:r>
                </w:p>
                <w:p w14:paraId="6BE4A8B1">
                  <w:pPr>
                    <w:pStyle w:val="83"/>
                    <w:rPr>
                      <w:rFonts w:hint="default"/>
                      <w:sz w:val="18"/>
                      <w:szCs w:val="18"/>
                    </w:rPr>
                  </w:pPr>
                  <w:r>
                    <w:rPr>
                      <w:sz w:val="18"/>
                      <w:szCs w:val="18"/>
                    </w:rPr>
                    <w:t>爆炸上限（%）：49</w:t>
                  </w:r>
                </w:p>
              </w:tc>
              <w:tc>
                <w:tcPr>
                  <w:tcW w:w="1852" w:type="dxa"/>
                  <w:tcBorders>
                    <w:top w:val="single" w:color="auto" w:sz="4" w:space="0"/>
                    <w:left w:val="single" w:color="auto" w:sz="4" w:space="0"/>
                    <w:bottom w:val="single" w:color="auto" w:sz="4" w:space="0"/>
                    <w:right w:val="nil"/>
                  </w:tcBorders>
                  <w:vAlign w:val="center"/>
                </w:tcPr>
                <w:p w14:paraId="3E288690">
                  <w:pPr>
                    <w:pStyle w:val="83"/>
                    <w:rPr>
                      <w:rFonts w:hint="default"/>
                      <w:sz w:val="18"/>
                      <w:szCs w:val="18"/>
                    </w:rPr>
                  </w:pPr>
                  <w:r>
                    <w:rPr>
                      <w:sz w:val="18"/>
                      <w:szCs w:val="18"/>
                    </w:rPr>
                    <w:t>LD50：1215mg/kg（大鼠经口）；</w:t>
                  </w:r>
                </w:p>
                <w:p w14:paraId="33BF0A52">
                  <w:pPr>
                    <w:pStyle w:val="83"/>
                    <w:rPr>
                      <w:rFonts w:hint="default"/>
                      <w:sz w:val="18"/>
                      <w:szCs w:val="18"/>
                    </w:rPr>
                  </w:pPr>
                  <w:r>
                    <w:rPr>
                      <w:sz w:val="18"/>
                      <w:szCs w:val="18"/>
                    </w:rPr>
                    <w:t>LC50：221190mg/m3（大鼠吸入，2h）</w:t>
                  </w:r>
                </w:p>
              </w:tc>
            </w:tr>
            <w:tr w14:paraId="242A1C5F">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6" w:type="dxa"/>
                  <w:tcBorders>
                    <w:top w:val="single" w:color="auto" w:sz="4" w:space="0"/>
                    <w:left w:val="nil"/>
                    <w:bottom w:val="single" w:color="auto" w:sz="4" w:space="0"/>
                    <w:right w:val="single" w:color="auto" w:sz="4" w:space="0"/>
                  </w:tcBorders>
                  <w:vAlign w:val="center"/>
                </w:tcPr>
                <w:p w14:paraId="4D4D0084">
                  <w:pPr>
                    <w:pStyle w:val="83"/>
                    <w:rPr>
                      <w:rFonts w:hint="default"/>
                      <w:sz w:val="18"/>
                      <w:szCs w:val="18"/>
                    </w:rPr>
                  </w:pPr>
                  <w:r>
                    <w:rPr>
                      <w:sz w:val="18"/>
                      <w:szCs w:val="18"/>
                    </w:rPr>
                    <w:t>11</w:t>
                  </w:r>
                </w:p>
              </w:tc>
              <w:tc>
                <w:tcPr>
                  <w:tcW w:w="1145" w:type="dxa"/>
                  <w:tcBorders>
                    <w:top w:val="single" w:color="auto" w:sz="4" w:space="0"/>
                    <w:left w:val="single" w:color="auto" w:sz="4" w:space="0"/>
                    <w:bottom w:val="single" w:color="auto" w:sz="4" w:space="0"/>
                    <w:right w:val="single" w:color="auto" w:sz="4" w:space="0"/>
                  </w:tcBorders>
                  <w:vAlign w:val="center"/>
                </w:tcPr>
                <w:p w14:paraId="1E19B01B">
                  <w:pPr>
                    <w:pStyle w:val="83"/>
                    <w:rPr>
                      <w:rFonts w:hint="default"/>
                      <w:sz w:val="18"/>
                      <w:szCs w:val="18"/>
                    </w:rPr>
                  </w:pPr>
                  <w:r>
                    <w:rPr>
                      <w:sz w:val="18"/>
                      <w:szCs w:val="18"/>
                    </w:rPr>
                    <w:t>硫酸</w:t>
                  </w:r>
                </w:p>
              </w:tc>
              <w:tc>
                <w:tcPr>
                  <w:tcW w:w="4037" w:type="dxa"/>
                  <w:tcBorders>
                    <w:top w:val="single" w:color="auto" w:sz="4" w:space="0"/>
                    <w:left w:val="single" w:color="auto" w:sz="4" w:space="0"/>
                    <w:bottom w:val="single" w:color="auto" w:sz="4" w:space="0"/>
                    <w:right w:val="single" w:color="auto" w:sz="4" w:space="0"/>
                  </w:tcBorders>
                  <w:vAlign w:val="center"/>
                </w:tcPr>
                <w:p w14:paraId="5A85C1B7">
                  <w:pPr>
                    <w:pStyle w:val="83"/>
                    <w:rPr>
                      <w:rFonts w:hint="default"/>
                      <w:sz w:val="18"/>
                      <w:szCs w:val="18"/>
                    </w:rPr>
                  </w:pPr>
                  <w:r>
                    <w:rPr>
                      <w:sz w:val="18"/>
                      <w:szCs w:val="18"/>
                    </w:rPr>
                    <w:t>分子式H2SO4、相对分子量98.08；纯品为无色透明油状液体，无臭；溶解性：与水、乙醇混溶；沸点（℃）：290、熔点（℃）：10.5；相对密度（水=1）：1.84；饱和蒸气压（kPa）：0.13（145.8℃）。</w:t>
                  </w:r>
                </w:p>
              </w:tc>
              <w:tc>
                <w:tcPr>
                  <w:tcW w:w="3170" w:type="dxa"/>
                  <w:tcBorders>
                    <w:top w:val="single" w:color="auto" w:sz="4" w:space="0"/>
                    <w:left w:val="single" w:color="auto" w:sz="4" w:space="0"/>
                    <w:bottom w:val="single" w:color="auto" w:sz="4" w:space="0"/>
                    <w:right w:val="single" w:color="auto" w:sz="4" w:space="0"/>
                  </w:tcBorders>
                  <w:vAlign w:val="center"/>
                </w:tcPr>
                <w:p w14:paraId="58657560">
                  <w:pPr>
                    <w:pStyle w:val="83"/>
                    <w:rPr>
                      <w:rFonts w:hint="default"/>
                      <w:sz w:val="18"/>
                      <w:szCs w:val="18"/>
                    </w:rPr>
                  </w:pPr>
                  <w:r>
                    <w:rPr>
                      <w:sz w:val="18"/>
                      <w:szCs w:val="18"/>
                    </w:rPr>
                    <w:t>不燃，无特殊燃爆特性。浓硫酸与可燃物接触易着火燃烧。与易燃或可燃物、电石、高氯酸盐、金属粉末等发生剧烈反应。</w:t>
                  </w:r>
                </w:p>
              </w:tc>
              <w:tc>
                <w:tcPr>
                  <w:tcW w:w="2059" w:type="dxa"/>
                  <w:tcBorders>
                    <w:top w:val="single" w:color="auto" w:sz="4" w:space="0"/>
                    <w:left w:val="single" w:color="auto" w:sz="4" w:space="0"/>
                    <w:bottom w:val="single" w:color="auto" w:sz="4" w:space="0"/>
                    <w:right w:val="single" w:color="auto" w:sz="4" w:space="0"/>
                  </w:tcBorders>
                  <w:vAlign w:val="center"/>
                </w:tcPr>
                <w:p w14:paraId="4754D34B">
                  <w:pPr>
                    <w:pStyle w:val="83"/>
                    <w:rPr>
                      <w:rFonts w:hint="default"/>
                      <w:sz w:val="18"/>
                      <w:szCs w:val="18"/>
                    </w:rPr>
                  </w:pPr>
                  <w:r>
                    <w:rPr>
                      <w:sz w:val="18"/>
                      <w:szCs w:val="18"/>
                    </w:rPr>
                    <w:t>爆炸下限（V/V）：/</w:t>
                  </w:r>
                </w:p>
                <w:p w14:paraId="1C3AC1E9">
                  <w:pPr>
                    <w:pStyle w:val="83"/>
                    <w:rPr>
                      <w:rFonts w:hint="default"/>
                      <w:sz w:val="18"/>
                      <w:szCs w:val="18"/>
                    </w:rPr>
                  </w:pPr>
                  <w:r>
                    <w:rPr>
                      <w:sz w:val="18"/>
                      <w:szCs w:val="18"/>
                    </w:rPr>
                    <w:t>爆炸上限（V/V）：/</w:t>
                  </w:r>
                </w:p>
              </w:tc>
              <w:tc>
                <w:tcPr>
                  <w:tcW w:w="1852" w:type="dxa"/>
                  <w:tcBorders>
                    <w:top w:val="single" w:color="auto" w:sz="4" w:space="0"/>
                    <w:left w:val="single" w:color="auto" w:sz="4" w:space="0"/>
                    <w:bottom w:val="single" w:color="auto" w:sz="4" w:space="0"/>
                    <w:right w:val="nil"/>
                  </w:tcBorders>
                  <w:vAlign w:val="center"/>
                </w:tcPr>
                <w:p w14:paraId="152DBD12">
                  <w:pPr>
                    <w:pStyle w:val="83"/>
                    <w:rPr>
                      <w:rFonts w:hint="default"/>
                      <w:sz w:val="18"/>
                      <w:szCs w:val="18"/>
                    </w:rPr>
                  </w:pPr>
                  <w:r>
                    <w:rPr>
                      <w:sz w:val="18"/>
                      <w:szCs w:val="18"/>
                    </w:rPr>
                    <w:t>LD50：2140mg/kg（大鼠经口）；</w:t>
                  </w:r>
                </w:p>
                <w:p w14:paraId="16BB2293">
                  <w:pPr>
                    <w:pStyle w:val="83"/>
                    <w:rPr>
                      <w:rFonts w:hint="default"/>
                      <w:sz w:val="18"/>
                      <w:szCs w:val="18"/>
                    </w:rPr>
                  </w:pPr>
                  <w:r>
                    <w:rPr>
                      <w:sz w:val="18"/>
                      <w:szCs w:val="18"/>
                    </w:rPr>
                    <w:t>LC50：510mg/m3（大鼠吸入，2h）</w:t>
                  </w:r>
                </w:p>
              </w:tc>
            </w:tr>
          </w:tbl>
          <w:p w14:paraId="7E8F4079">
            <w:pPr>
              <w:pStyle w:val="13"/>
              <w:spacing w:before="120" w:beforeLines="50"/>
              <w:rPr>
                <w:bCs w:val="0"/>
                <w:szCs w:val="24"/>
              </w:rPr>
            </w:pPr>
          </w:p>
        </w:tc>
      </w:tr>
    </w:tbl>
    <w:p w14:paraId="7691C058">
      <w:pPr>
        <w:ind w:firstLine="480"/>
      </w:pPr>
    </w:p>
    <w:p w14:paraId="508CE229">
      <w:pPr>
        <w:ind w:firstLine="480"/>
        <w:sectPr>
          <w:pgSz w:w="16838" w:h="11906" w:orient="landscape"/>
          <w:pgMar w:top="1531" w:right="1701" w:bottom="1531" w:left="170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393"/>
        <w:gridCol w:w="8565"/>
      </w:tblGrid>
      <w:tr w14:paraId="302D1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3668" w:hRule="atLeast"/>
          <w:jc w:val="center"/>
        </w:trPr>
        <w:tc>
          <w:tcPr>
            <w:tcW w:w="219" w:type="pct"/>
            <w:vAlign w:val="center"/>
          </w:tcPr>
          <w:p w14:paraId="47CD11D7">
            <w:pPr>
              <w:pStyle w:val="14"/>
              <w:adjustRightInd w:val="0"/>
              <w:snapToGrid w:val="0"/>
              <w:spacing w:before="0" w:beforeAutospacing="0" w:after="0" w:afterAutospacing="0"/>
              <w:ind w:firstLine="0" w:firstLineChars="0"/>
              <w:jc w:val="center"/>
              <w:rPr>
                <w:rFonts w:hint="eastAsia" w:cs="宋体"/>
                <w:sz w:val="21"/>
                <w:szCs w:val="21"/>
              </w:rPr>
            </w:pPr>
            <w:r>
              <w:rPr>
                <w:rFonts w:hint="eastAsia" w:cs="宋体"/>
                <w:sz w:val="21"/>
                <w:szCs w:val="21"/>
              </w:rPr>
              <w:t>建设内容</w:t>
            </w:r>
          </w:p>
        </w:tc>
        <w:tc>
          <w:tcPr>
            <w:tcW w:w="4780" w:type="pct"/>
          </w:tcPr>
          <w:p w14:paraId="213241DE">
            <w:pPr>
              <w:pStyle w:val="4"/>
              <w:spacing w:before="120" w:after="0" w:afterLines="0"/>
            </w:pPr>
            <w:r>
              <w:rPr>
                <w:rFonts w:hint="eastAsia"/>
              </w:rPr>
              <w:t>2.1.7 项目水平衡</w:t>
            </w:r>
          </w:p>
          <w:p w14:paraId="2015B68B">
            <w:pPr>
              <w:ind w:firstLine="480"/>
            </w:pPr>
            <w:r>
              <w:rPr>
                <w:rFonts w:hint="eastAsia"/>
              </w:rPr>
              <w:t>本次项目生产、生活用水主要由区域市政供水管网供应。</w:t>
            </w:r>
          </w:p>
          <w:p w14:paraId="7C08C49D">
            <w:pPr>
              <w:ind w:firstLine="480"/>
            </w:pPr>
            <w:r>
              <w:rPr>
                <w:rFonts w:hint="eastAsia"/>
              </w:rPr>
              <w:t>项目排水依托厂区现有“雨污分流”和“清污分流”系统。雨水经厂区雨水管网收集后排入市政雨水管网，生活污水经化粪池处理后就近排入市政污水管网，地面清洗废水、组件清洗废水、空调加湿系统废水、实验器皿清洗废水、切粒冷却水、干燥系统冷凝水、喷淋废水等生产废水进入厂区现有综合废水处理站进行处理，回用水由企业统一调配回用于聚合工程冷却水系统；纺丝工序循环冷却水循环使用不外排；综合废水处理站产生的反渗透浓水排入市政污水管网。</w:t>
            </w:r>
          </w:p>
          <w:p w14:paraId="776BBE3B">
            <w:pPr>
              <w:ind w:firstLine="480"/>
            </w:pPr>
            <w:r>
              <w:rPr>
                <w:rFonts w:hint="eastAsia"/>
              </w:rPr>
              <w:t>本次项目用水主要为生活用水、纯水制备、空调加湿系统用水、纺丝循环冷却水、单体抽吸循环系统水喷淋装置用水、车间清洗用水、组件清洗用水、实验器皿清洗用水、研发设备用水、实验室烟气净化系统用水。</w:t>
            </w:r>
          </w:p>
          <w:p w14:paraId="7B6DDFBB">
            <w:pPr>
              <w:ind w:firstLine="480"/>
            </w:pPr>
            <w:r>
              <w:rPr>
                <w:rFonts w:hint="eastAsia"/>
              </w:rPr>
              <w:t>（1）生活用水</w:t>
            </w:r>
          </w:p>
          <w:p w14:paraId="412D0457">
            <w:pPr>
              <w:ind w:firstLine="480"/>
            </w:pPr>
            <w:r>
              <w:rPr>
                <w:rFonts w:hint="eastAsia"/>
              </w:rPr>
              <w:t>本次项目新增职工92人，其中有36人住厂。参照《福建省行业用水定额》（DB35/T772-2018），住厂员工每日生活用水量按0.15m</w:t>
            </w:r>
            <w:r>
              <w:rPr>
                <w:rFonts w:hint="eastAsia"/>
                <w:vertAlign w:val="superscript"/>
              </w:rPr>
              <w:t>3</w:t>
            </w:r>
            <w:r>
              <w:rPr>
                <w:rFonts w:hint="eastAsia"/>
              </w:rPr>
              <w:t>/d人计，不住厂员工每日生活用水量按0.05m</w:t>
            </w:r>
            <w:r>
              <w:rPr>
                <w:rFonts w:hint="eastAsia"/>
                <w:vertAlign w:val="superscript"/>
              </w:rPr>
              <w:t>3</w:t>
            </w:r>
            <w:r>
              <w:rPr>
                <w:rFonts w:hint="eastAsia"/>
              </w:rPr>
              <w:t>/d人计，则本次项目生活用水量约8.2m</w:t>
            </w:r>
            <w:r>
              <w:rPr>
                <w:rFonts w:hint="eastAsia"/>
                <w:vertAlign w:val="superscript"/>
              </w:rPr>
              <w:t>3</w:t>
            </w:r>
            <w:r>
              <w:rPr>
                <w:rFonts w:hint="eastAsia"/>
              </w:rPr>
              <w:t>/d，即2993m</w:t>
            </w:r>
            <w:r>
              <w:rPr>
                <w:rFonts w:hint="eastAsia"/>
                <w:vertAlign w:val="superscript"/>
              </w:rPr>
              <w:t>3</w:t>
            </w:r>
            <w:r>
              <w:rPr>
                <w:rFonts w:hint="eastAsia"/>
              </w:rPr>
              <w:t>/a（按365天计）。排水系数取0.8，则员工生活污水排放量为6.56m</w:t>
            </w:r>
            <w:r>
              <w:rPr>
                <w:rFonts w:hint="eastAsia"/>
                <w:vertAlign w:val="superscript"/>
              </w:rPr>
              <w:t>3</w:t>
            </w:r>
            <w:r>
              <w:rPr>
                <w:rFonts w:hint="eastAsia"/>
              </w:rPr>
              <w:t>/d，即2394.40m</w:t>
            </w:r>
            <w:r>
              <w:rPr>
                <w:rFonts w:hint="eastAsia"/>
                <w:vertAlign w:val="superscript"/>
              </w:rPr>
              <w:t>3</w:t>
            </w:r>
            <w:r>
              <w:rPr>
                <w:rFonts w:hint="eastAsia"/>
              </w:rPr>
              <w:t>/a（按365天计）。生活污水通过化粪池处理后经市政污水管网进入滨海污水处理厂统一处理，处理达标后排放至牛头湾。</w:t>
            </w:r>
          </w:p>
          <w:p w14:paraId="770C5DBC">
            <w:pPr>
              <w:ind w:firstLine="480"/>
            </w:pPr>
            <w:r>
              <w:rPr>
                <w:rFonts w:hint="eastAsia"/>
              </w:rPr>
              <w:t>（2）纯水制备</w:t>
            </w:r>
          </w:p>
          <w:p w14:paraId="3074F739">
            <w:pPr>
              <w:ind w:firstLine="480"/>
            </w:pPr>
            <w:r>
              <w:rPr>
                <w:rFonts w:hint="eastAsia"/>
              </w:rPr>
              <w:t>本次项目采用膜处理+超纯化柱工艺生产纯水供应生产工艺用水，新鲜水消耗量为18.2m</w:t>
            </w:r>
            <w:r>
              <w:rPr>
                <w:rFonts w:hint="eastAsia"/>
                <w:vertAlign w:val="superscript"/>
              </w:rPr>
              <w:t>3</w:t>
            </w:r>
            <w:r>
              <w:rPr>
                <w:rFonts w:hint="eastAsia"/>
              </w:rPr>
              <w:t>/d，纯水生产量为13.65m</w:t>
            </w:r>
            <w:r>
              <w:rPr>
                <w:rFonts w:hint="eastAsia"/>
                <w:vertAlign w:val="superscript"/>
              </w:rPr>
              <w:t>3</w:t>
            </w:r>
            <w:r>
              <w:rPr>
                <w:rFonts w:hint="eastAsia"/>
              </w:rPr>
              <w:t>/d，纯水用于纺丝油剂调配、实验室试剂调配、组件清洗。油剂调配用水进入产品不外排，用水量为13m</w:t>
            </w:r>
            <w:r>
              <w:rPr>
                <w:rFonts w:hint="eastAsia"/>
                <w:vertAlign w:val="superscript"/>
              </w:rPr>
              <w:t>3</w:t>
            </w:r>
            <w:r>
              <w:rPr>
                <w:rFonts w:hint="eastAsia"/>
              </w:rPr>
              <w:t>/d；组件清洗用水量0.64m</w:t>
            </w:r>
            <w:r>
              <w:rPr>
                <w:rFonts w:hint="eastAsia"/>
                <w:vertAlign w:val="superscript"/>
              </w:rPr>
              <w:t>3</w:t>
            </w:r>
            <w:r>
              <w:rPr>
                <w:rFonts w:hint="eastAsia"/>
              </w:rPr>
              <w:t>/d，清洗过程中损耗水量约为0.09m</w:t>
            </w:r>
            <w:r>
              <w:rPr>
                <w:rFonts w:hint="eastAsia"/>
                <w:vertAlign w:val="superscript"/>
              </w:rPr>
              <w:t>3</w:t>
            </w:r>
            <w:r>
              <w:rPr>
                <w:rFonts w:hint="eastAsia"/>
              </w:rPr>
              <w:t>/d，产生的0.55m</w:t>
            </w:r>
            <w:r>
              <w:rPr>
                <w:rFonts w:hint="eastAsia"/>
                <w:vertAlign w:val="superscript"/>
              </w:rPr>
              <w:t>3</w:t>
            </w:r>
            <w:r>
              <w:rPr>
                <w:rFonts w:hint="eastAsia"/>
              </w:rPr>
              <w:t>/d组件清洗废水进入厂区污水处理站处理；实验试剂调配用水进入溶液不外排，用水量为0.01m</w:t>
            </w:r>
            <w:r>
              <w:rPr>
                <w:rFonts w:hint="eastAsia"/>
                <w:vertAlign w:val="superscript"/>
              </w:rPr>
              <w:t>3</w:t>
            </w:r>
            <w:r>
              <w:rPr>
                <w:rFonts w:hint="eastAsia"/>
              </w:rPr>
              <w:t>/d；脱盐水浓水量为4.55m</w:t>
            </w:r>
            <w:r>
              <w:rPr>
                <w:rFonts w:hint="eastAsia"/>
                <w:vertAlign w:val="superscript"/>
              </w:rPr>
              <w:t>3</w:t>
            </w:r>
            <w:r>
              <w:rPr>
                <w:rFonts w:hint="eastAsia"/>
              </w:rPr>
              <w:t>/d，进入厂区综合废水处理站集中处理。</w:t>
            </w:r>
          </w:p>
          <w:p w14:paraId="123D1E5A">
            <w:pPr>
              <w:ind w:firstLine="480"/>
            </w:pPr>
            <w:r>
              <w:rPr>
                <w:rFonts w:hint="eastAsia"/>
              </w:rPr>
              <w:t>（3）空调加湿系统用水</w:t>
            </w:r>
          </w:p>
          <w:p w14:paraId="4DC2119A">
            <w:pPr>
              <w:ind w:firstLine="480"/>
            </w:pPr>
            <w:r>
              <w:rPr>
                <w:rFonts w:hint="eastAsia"/>
              </w:rPr>
              <w:t>为控制生产环境湿度，保证产品品质、减少静电效应，生产车间和实验室配套空调加湿系统，系统循环使用水量7300m</w:t>
            </w:r>
            <w:r>
              <w:rPr>
                <w:rFonts w:hint="eastAsia"/>
                <w:vertAlign w:val="superscript"/>
              </w:rPr>
              <w:t>3</w:t>
            </w:r>
            <w:r>
              <w:rPr>
                <w:rFonts w:hint="eastAsia"/>
              </w:rPr>
              <w:t>/d。空调加湿水循环使用过程中水的含盐量会逐渐增加，因此加湿水需定期更换。项目排放空调加湿水量12.5m</w:t>
            </w:r>
            <w:r>
              <w:rPr>
                <w:rFonts w:hint="eastAsia"/>
                <w:vertAlign w:val="superscript"/>
              </w:rPr>
              <w:t>3</w:t>
            </w:r>
            <w:r>
              <w:rPr>
                <w:rFonts w:hint="eastAsia"/>
              </w:rPr>
              <w:t>/d，加湿过程中水分蒸发损耗3m</w:t>
            </w:r>
            <w:r>
              <w:rPr>
                <w:rFonts w:hint="eastAsia"/>
                <w:vertAlign w:val="superscript"/>
              </w:rPr>
              <w:t>3</w:t>
            </w:r>
            <w:r>
              <w:rPr>
                <w:rFonts w:hint="eastAsia"/>
              </w:rPr>
              <w:t>/d，需补充新鲜水量为15.5m</w:t>
            </w:r>
            <w:r>
              <w:rPr>
                <w:rFonts w:hint="eastAsia"/>
                <w:vertAlign w:val="superscript"/>
              </w:rPr>
              <w:t>3</w:t>
            </w:r>
            <w:r>
              <w:rPr>
                <w:rFonts w:hint="eastAsia"/>
              </w:rPr>
              <w:t>/d，替换的空调加湿系统废水进入厂区综合废水处理站处理。</w:t>
            </w:r>
          </w:p>
          <w:p w14:paraId="292A0F8C">
            <w:pPr>
              <w:ind w:firstLine="480"/>
            </w:pPr>
            <w:r>
              <w:rPr>
                <w:rFonts w:hint="eastAsia"/>
              </w:rPr>
              <w:t>（4）纺丝循环冷却水</w:t>
            </w:r>
          </w:p>
          <w:p w14:paraId="4DA33617">
            <w:pPr>
              <w:ind w:firstLine="480"/>
            </w:pPr>
            <w:r>
              <w:rPr>
                <w:rFonts w:hint="eastAsia"/>
              </w:rPr>
              <w:t>本次项目纺丝工程冷却水通过循环水系统循环使用。生产用循环冷却水主要包括螺杆空压机、中央空调等设备冷却用水，循环水量240m</w:t>
            </w:r>
            <w:r>
              <w:rPr>
                <w:rFonts w:hint="eastAsia"/>
                <w:vertAlign w:val="superscript"/>
              </w:rPr>
              <w:t>3</w:t>
            </w:r>
            <w:r>
              <w:rPr>
                <w:rFonts w:hint="eastAsia"/>
              </w:rPr>
              <w:t>/d，循环过程蒸发损耗水量约3m</w:t>
            </w:r>
            <w:r>
              <w:rPr>
                <w:rFonts w:hint="eastAsia"/>
                <w:vertAlign w:val="superscript"/>
              </w:rPr>
              <w:t>3</w:t>
            </w:r>
            <w:r>
              <w:rPr>
                <w:rFonts w:hint="eastAsia"/>
              </w:rPr>
              <w:t>/d，需定期进行补充新鲜水。设备冷却采用间接冷却方式，冷却水均为循环使用，定期补充，不外排。</w:t>
            </w:r>
          </w:p>
          <w:p w14:paraId="095EEE18">
            <w:pPr>
              <w:ind w:firstLine="480"/>
            </w:pPr>
            <w:r>
              <w:rPr>
                <w:rFonts w:hint="eastAsia"/>
              </w:rPr>
              <w:t>（5）单体抽吸循环系统水喷淋装置用水</w:t>
            </w:r>
          </w:p>
          <w:p w14:paraId="19E0CB1D">
            <w:pPr>
              <w:ind w:firstLine="480"/>
            </w:pPr>
            <w:r>
              <w:rPr>
                <w:rFonts w:hint="eastAsia"/>
              </w:rPr>
              <w:t>本次项目纺丝工程工艺废气采用单体抽吸水喷淋装置进行处理，水喷淋装置用水为循环使用。单体抽吸循环系统内均自带水喷淋装置，由循环泵将水槽中的水送至水喷射泵，在抽吸过程中气相己内酰胺单体溶解在喷淋水中后再流回水槽。当循环水中己内酰胺单体浓度大于2%时，需进行更换。换下的含2%己内酰胺的循环水进入企业聚合工程单体回收系统回收单体后，水仍然闭路循环，不排放。少量补充新鲜水，补充水量为7.5m</w:t>
            </w:r>
            <w:r>
              <w:rPr>
                <w:rFonts w:hint="eastAsia"/>
                <w:vertAlign w:val="superscript"/>
              </w:rPr>
              <w:t>3</w:t>
            </w:r>
            <w:r>
              <w:rPr>
                <w:rFonts w:hint="eastAsia"/>
              </w:rPr>
              <w:t>/d，循环水量为375m</w:t>
            </w:r>
            <w:r>
              <w:rPr>
                <w:rFonts w:hint="eastAsia"/>
                <w:vertAlign w:val="superscript"/>
              </w:rPr>
              <w:t>3</w:t>
            </w:r>
            <w:r>
              <w:rPr>
                <w:rFonts w:hint="eastAsia"/>
              </w:rPr>
              <w:t>/d。</w:t>
            </w:r>
          </w:p>
          <w:p w14:paraId="5FDCDA72">
            <w:pPr>
              <w:ind w:firstLine="480"/>
            </w:pPr>
            <w:r>
              <w:rPr>
                <w:rFonts w:hint="eastAsia"/>
              </w:rPr>
              <w:t>（6）切粒冷却水</w:t>
            </w:r>
          </w:p>
          <w:p w14:paraId="36B5291F">
            <w:pPr>
              <w:ind w:firstLine="480"/>
            </w:pPr>
            <w:r>
              <w:rPr>
                <w:rFonts w:hint="eastAsia"/>
              </w:rPr>
              <w:t>再生切片、改性工塑生产线造粒过程中，熔融螺杆机挤压头挤出拉丝后熔体温度较高，进入冷水槽后冷却成型，冷却水循环使用量约15m</w:t>
            </w:r>
            <w:r>
              <w:rPr>
                <w:rFonts w:hint="eastAsia"/>
                <w:vertAlign w:val="superscript"/>
              </w:rPr>
              <w:t>3</w:t>
            </w:r>
            <w:r>
              <w:rPr>
                <w:rFonts w:hint="eastAsia"/>
              </w:rPr>
              <w:t>/d。熔体冷却固化过程中水的含盐量会逐渐增加，影响冷却效果，因此冷却水需定期更换。项目排放冷却水量3.2m</w:t>
            </w:r>
            <w:r>
              <w:rPr>
                <w:rFonts w:hint="eastAsia"/>
                <w:vertAlign w:val="superscript"/>
              </w:rPr>
              <w:t>3</w:t>
            </w:r>
            <w:r>
              <w:rPr>
                <w:rFonts w:hint="eastAsia"/>
              </w:rPr>
              <w:t>/d，冷却过程中水分损耗0.8m</w:t>
            </w:r>
            <w:r>
              <w:rPr>
                <w:rFonts w:hint="eastAsia"/>
                <w:vertAlign w:val="superscript"/>
              </w:rPr>
              <w:t>3</w:t>
            </w:r>
            <w:r>
              <w:rPr>
                <w:rFonts w:hint="eastAsia"/>
              </w:rPr>
              <w:t>/d，附着在切粒表面进入干燥系统的约0.6m</w:t>
            </w:r>
            <w:r>
              <w:rPr>
                <w:rFonts w:hint="eastAsia"/>
                <w:vertAlign w:val="superscript"/>
              </w:rPr>
              <w:t>3</w:t>
            </w:r>
            <w:r>
              <w:rPr>
                <w:rFonts w:hint="eastAsia"/>
              </w:rPr>
              <w:t>/d，需补充新鲜水量为4.6m</w:t>
            </w:r>
            <w:r>
              <w:rPr>
                <w:rFonts w:hint="eastAsia"/>
                <w:vertAlign w:val="superscript"/>
              </w:rPr>
              <w:t>3</w:t>
            </w:r>
            <w:r>
              <w:rPr>
                <w:rFonts w:hint="eastAsia"/>
              </w:rPr>
              <w:t>/d，替换的冷却水进入厂区综合废水站处理。</w:t>
            </w:r>
          </w:p>
          <w:p w14:paraId="5EF75EB4">
            <w:pPr>
              <w:ind w:firstLine="480"/>
            </w:pPr>
            <w:r>
              <w:rPr>
                <w:rFonts w:hint="eastAsia"/>
              </w:rPr>
              <w:t>（7）干燥系统用水</w:t>
            </w:r>
          </w:p>
          <w:p w14:paraId="52F9146E">
            <w:pPr>
              <w:ind w:firstLine="480"/>
            </w:pPr>
            <w:r>
              <w:rPr>
                <w:rFonts w:hint="eastAsia"/>
              </w:rPr>
              <w:t>再生切片、改性工塑生产线均使用多段式蜂巢转轮分子筛除湿机和双锥真空干燥机对切粒进行除湿干燥。切粒进入除湿机后，通过分子筛吸附水分，再通过高温将水分脱附形成高温高湿气体，气体经末端冷凝器后形成冷凝水。除湿后切粒进入双锥真空干燥机，物料残余的水分在密闭负压锥形筒内低温汽化，再经冷凝器形成冷凝水。除湿干燥过程冷凝水产生量约0.6m</w:t>
            </w:r>
            <w:r>
              <w:rPr>
                <w:rFonts w:hint="eastAsia"/>
                <w:vertAlign w:val="superscript"/>
              </w:rPr>
              <w:t>3</w:t>
            </w:r>
            <w:r>
              <w:rPr>
                <w:rFonts w:hint="eastAsia"/>
              </w:rPr>
              <w:t>/d，进入厂区综合废水站进行处理。双锥真空干燥机使用热水作为导热介质，热水在夹套导热系统中循环使用，循环水量22m</w:t>
            </w:r>
            <w:r>
              <w:rPr>
                <w:rFonts w:hint="eastAsia"/>
                <w:vertAlign w:val="superscript"/>
              </w:rPr>
              <w:t>3</w:t>
            </w:r>
            <w:r>
              <w:rPr>
                <w:rFonts w:hint="eastAsia"/>
              </w:rPr>
              <w:t>/d，损耗量约1.5m</w:t>
            </w:r>
            <w:r>
              <w:rPr>
                <w:rFonts w:hint="eastAsia"/>
                <w:vertAlign w:val="superscript"/>
              </w:rPr>
              <w:t>3</w:t>
            </w:r>
            <w:r>
              <w:rPr>
                <w:rFonts w:hint="eastAsia"/>
              </w:rPr>
              <w:t>/d，定期补充新鲜水。</w:t>
            </w:r>
          </w:p>
          <w:p w14:paraId="38918F29">
            <w:pPr>
              <w:ind w:firstLine="480"/>
            </w:pPr>
            <w:r>
              <w:rPr>
                <w:rFonts w:hint="eastAsia"/>
              </w:rPr>
              <w:t>（8）研发设备用水</w:t>
            </w:r>
          </w:p>
          <w:p w14:paraId="432DF182">
            <w:pPr>
              <w:ind w:firstLine="480"/>
            </w:pPr>
            <w:r>
              <w:rPr>
                <w:rFonts w:hint="eastAsia"/>
              </w:rPr>
              <w:t>本项目使用的恒温恒湿箱、智能数显磁力搅拌器加热锅、旋转蒸发仪、低温冷却循环器、循环水式多用真空泵、毛细管/旋转流变仪、超声微流体纳米合成仪、超声微流体纳米分散机等多个研发测试设备运行均需添加新鲜水，水分损耗约1.5m</w:t>
            </w:r>
            <w:r>
              <w:rPr>
                <w:rFonts w:hint="eastAsia"/>
                <w:vertAlign w:val="superscript"/>
              </w:rPr>
              <w:t>3</w:t>
            </w:r>
            <w:r>
              <w:rPr>
                <w:rFonts w:hint="eastAsia"/>
              </w:rPr>
              <w:t>/d，定期排放约8.5m</w:t>
            </w:r>
            <w:r>
              <w:rPr>
                <w:rFonts w:hint="eastAsia"/>
                <w:vertAlign w:val="superscript"/>
              </w:rPr>
              <w:t>3</w:t>
            </w:r>
            <w:r>
              <w:rPr>
                <w:rFonts w:hint="eastAsia"/>
              </w:rPr>
              <w:t>/d以保证设备运行效果，恒温恒湿箱、温冷却循环器、循环水式多用真空泵等设备循环水量共计550m</w:t>
            </w:r>
            <w:r>
              <w:rPr>
                <w:rFonts w:hint="eastAsia"/>
                <w:vertAlign w:val="superscript"/>
              </w:rPr>
              <w:t>3</w:t>
            </w:r>
            <w:r>
              <w:rPr>
                <w:rFonts w:hint="eastAsia"/>
              </w:rPr>
              <w:t>/d，排放的设备用水进入厂区综合废水站进行处理。</w:t>
            </w:r>
          </w:p>
          <w:p w14:paraId="5496EB5B">
            <w:pPr>
              <w:ind w:firstLine="480"/>
            </w:pPr>
            <w:r>
              <w:rPr>
                <w:rFonts w:hint="eastAsia"/>
              </w:rPr>
              <w:t>（9）实验器皿清洗用水</w:t>
            </w:r>
          </w:p>
          <w:p w14:paraId="3CCFE7D0">
            <w:pPr>
              <w:ind w:firstLine="480"/>
            </w:pPr>
            <w:r>
              <w:rPr>
                <w:rFonts w:hint="eastAsia"/>
              </w:rPr>
              <w:t>项目实验室日常检测、样品前处理完成后，对烧杯、锥形瓶、容量瓶、移液管、消解管、比色管等玻璃/塑料器皿开展清洗工作。容器内实验残液作为危险废物收集委托处理，残液倒出后使用新鲜水冲洗，用水量0.3m</w:t>
            </w:r>
            <w:r>
              <w:rPr>
                <w:rFonts w:hint="eastAsia"/>
                <w:vertAlign w:val="superscript"/>
              </w:rPr>
              <w:t>3</w:t>
            </w:r>
            <w:r>
              <w:rPr>
                <w:rFonts w:hint="eastAsia"/>
              </w:rPr>
              <w:t>/d，损耗0.03m</w:t>
            </w:r>
            <w:r>
              <w:rPr>
                <w:rFonts w:hint="eastAsia"/>
                <w:vertAlign w:val="superscript"/>
              </w:rPr>
              <w:t>3</w:t>
            </w:r>
            <w:r>
              <w:rPr>
                <w:rFonts w:hint="eastAsia"/>
              </w:rPr>
              <w:t>/d，清洗废水0.27m</w:t>
            </w:r>
            <w:r>
              <w:rPr>
                <w:rFonts w:hint="eastAsia"/>
                <w:vertAlign w:val="superscript"/>
              </w:rPr>
              <w:t>3</w:t>
            </w:r>
            <w:r>
              <w:rPr>
                <w:rFonts w:hint="eastAsia"/>
              </w:rPr>
              <w:t>/d进入厂区综合废水站进行处理。</w:t>
            </w:r>
          </w:p>
          <w:p w14:paraId="0EFCE3AB">
            <w:pPr>
              <w:ind w:firstLine="480"/>
            </w:pPr>
            <w:r>
              <w:rPr>
                <w:rFonts w:hint="eastAsia"/>
              </w:rPr>
              <w:t>（10）车间清洗用水</w:t>
            </w:r>
          </w:p>
          <w:p w14:paraId="16B6C714">
            <w:pPr>
              <w:ind w:firstLine="480"/>
            </w:pPr>
            <w:r>
              <w:rPr>
                <w:rFonts w:hint="eastAsia"/>
              </w:rPr>
              <w:t>项目运行过程中，为保证车间清洁、避免杂质进入机器，每天对车间进行一次拖洗。车间清洗用水量0.5m</w:t>
            </w:r>
            <w:r>
              <w:rPr>
                <w:rFonts w:hint="eastAsia"/>
                <w:vertAlign w:val="superscript"/>
              </w:rPr>
              <w:t>3</w:t>
            </w:r>
            <w:r>
              <w:rPr>
                <w:rFonts w:hint="eastAsia"/>
              </w:rPr>
              <w:t>/d，损耗量约为0.05m</w:t>
            </w:r>
            <w:r>
              <w:rPr>
                <w:rFonts w:hint="eastAsia"/>
                <w:vertAlign w:val="superscript"/>
              </w:rPr>
              <w:t>3</w:t>
            </w:r>
            <w:r>
              <w:rPr>
                <w:rFonts w:hint="eastAsia"/>
              </w:rPr>
              <w:t>/d，则车间冲洗废水的产生量约为0.45m</w:t>
            </w:r>
            <w:r>
              <w:rPr>
                <w:rFonts w:hint="eastAsia"/>
                <w:vertAlign w:val="superscript"/>
              </w:rPr>
              <w:t>3</w:t>
            </w:r>
            <w:r>
              <w:rPr>
                <w:rFonts w:hint="eastAsia"/>
              </w:rPr>
              <w:t>/d，废水进入厂区综合废水站处理。</w:t>
            </w:r>
          </w:p>
          <w:p w14:paraId="7D000754">
            <w:pPr>
              <w:ind w:firstLine="480"/>
            </w:pPr>
            <w:r>
              <w:rPr>
                <w:rFonts w:hint="eastAsia"/>
              </w:rPr>
              <w:t>（11）实验室烟气净化系统用水</w:t>
            </w:r>
          </w:p>
          <w:p w14:paraId="05262325">
            <w:pPr>
              <w:ind w:firstLine="480"/>
            </w:pPr>
            <w:r>
              <w:rPr>
                <w:rFonts w:hint="eastAsia"/>
              </w:rPr>
              <w:t>实验室试剂调配过程产生少量酸性气体和有机废气，使用水喷淋+活性炭吸附工艺进行处理。喷淋塔运行过程中，循环水酸性升高、有机成分富集，影响吸收效果，需定期替换。本项目喷淋塔循环水量3m</w:t>
            </w:r>
            <w:r>
              <w:rPr>
                <w:rFonts w:hint="eastAsia"/>
                <w:vertAlign w:val="superscript"/>
              </w:rPr>
              <w:t>3</w:t>
            </w:r>
            <w:r>
              <w:rPr>
                <w:rFonts w:hint="eastAsia"/>
              </w:rPr>
              <w:t>/d，新鲜水补充量0.3m</w:t>
            </w:r>
            <w:r>
              <w:rPr>
                <w:rFonts w:hint="eastAsia"/>
                <w:vertAlign w:val="superscript"/>
              </w:rPr>
              <w:t>3</w:t>
            </w:r>
            <w:r>
              <w:rPr>
                <w:rFonts w:hint="eastAsia"/>
              </w:rPr>
              <w:t>/d，损耗量0.06m</w:t>
            </w:r>
            <w:r>
              <w:rPr>
                <w:rFonts w:hint="eastAsia"/>
                <w:vertAlign w:val="superscript"/>
              </w:rPr>
              <w:t>3</w:t>
            </w:r>
            <w:r>
              <w:rPr>
                <w:rFonts w:hint="eastAsia"/>
              </w:rPr>
              <w:t>/d，定期排放废水0.24m</w:t>
            </w:r>
            <w:r>
              <w:rPr>
                <w:rFonts w:hint="eastAsia"/>
                <w:vertAlign w:val="superscript"/>
              </w:rPr>
              <w:t>3</w:t>
            </w:r>
            <w:r>
              <w:rPr>
                <w:rFonts w:hint="eastAsia"/>
              </w:rPr>
              <w:t>/d，废水进入厂区综合废水站集中处理。</w:t>
            </w:r>
          </w:p>
          <w:p w14:paraId="231EFF36">
            <w:pPr>
              <w:ind w:firstLine="480"/>
            </w:pPr>
            <w:r>
              <w:rPr>
                <w:rFonts w:hint="eastAsia"/>
              </w:rPr>
              <w:t>（12）反渗透系统浓水</w:t>
            </w:r>
          </w:p>
          <w:p w14:paraId="77317A01">
            <w:pPr>
              <w:ind w:firstLine="480"/>
            </w:pPr>
            <w:r>
              <w:rPr>
                <w:rFonts w:hint="eastAsia"/>
              </w:rPr>
              <w:t>项目进入综合废水处理站处理的平均废水量为30.86m</w:t>
            </w:r>
            <w:r>
              <w:rPr>
                <w:rFonts w:hint="eastAsia"/>
                <w:vertAlign w:val="superscript"/>
              </w:rPr>
              <w:t>3</w:t>
            </w:r>
            <w:r>
              <w:rPr>
                <w:rFonts w:hint="eastAsia"/>
              </w:rPr>
              <w:t>/d，反渗透系统的回收率约为60%，则会产生18.52m</w:t>
            </w:r>
            <w:r>
              <w:rPr>
                <w:rFonts w:hint="eastAsia"/>
                <w:vertAlign w:val="superscript"/>
              </w:rPr>
              <w:t>3</w:t>
            </w:r>
            <w:r>
              <w:rPr>
                <w:rFonts w:hint="eastAsia"/>
              </w:rPr>
              <w:t>/d回用水，由企业统一调配回用于现有聚合工程，同时产生12.34m</w:t>
            </w:r>
            <w:r>
              <w:rPr>
                <w:rFonts w:hint="eastAsia"/>
                <w:vertAlign w:val="superscript"/>
              </w:rPr>
              <w:t>3</w:t>
            </w:r>
            <w:r>
              <w:rPr>
                <w:rFonts w:hint="eastAsia"/>
              </w:rPr>
              <w:t>/d的反渗透浓水。浓水经市政污水管网进入滨海污水处理厂统一处理，处理达标后排放至牛头湾。</w:t>
            </w:r>
          </w:p>
          <w:p w14:paraId="40226BD4">
            <w:pPr>
              <w:ind w:firstLine="480"/>
            </w:pPr>
            <w:r>
              <w:rPr>
                <w:rFonts w:hint="eastAsia"/>
              </w:rPr>
              <w:t>本次扩建项目水平衡见图2.1-2。全厂水平衡见图2.1-3。</w:t>
            </w:r>
          </w:p>
          <w:p w14:paraId="038F7A69">
            <w:pPr>
              <w:pStyle w:val="6"/>
            </w:pPr>
            <w:r>
              <w:rPr>
                <w:rFonts w:hint="eastAsia"/>
              </w:rPr>
              <w:object>
                <v:shape id="_x0000_i1027" o:spt="75" type="#_x0000_t75" style="height:581.1pt;width:415.4pt;" o:ole="t" filled="f" o:preferrelative="t" stroked="f" coordsize="21600,21600">
                  <v:path/>
                  <v:fill on="f" focussize="0,0"/>
                  <v:stroke on="f"/>
                  <v:imagedata r:id="rId21" o:title=""/>
                  <o:lock v:ext="edit" aspectratio="t"/>
                  <w10:wrap type="none"/>
                  <w10:anchorlock/>
                </v:shape>
                <o:OLEObject Type="Embed" ProgID="Visio.Drawing.15" ShapeID="_x0000_i1027" DrawAspect="Content" ObjectID="_1468075726" r:id="rId20">
                  <o:LockedField>false</o:LockedField>
                </o:OLEObject>
              </w:object>
            </w:r>
          </w:p>
          <w:p w14:paraId="3257D22E">
            <w:pPr>
              <w:pStyle w:val="13"/>
            </w:pPr>
            <w:r>
              <w:rPr>
                <w:rFonts w:hint="eastAsia"/>
              </w:rPr>
              <w:t>图2.1-2  扩建项目水平衡</w:t>
            </w:r>
          </w:p>
          <w:p w14:paraId="6E2705DA">
            <w:pPr>
              <w:pStyle w:val="6"/>
              <w:rPr>
                <w:b/>
              </w:rPr>
            </w:pPr>
            <w:r>
              <w:rPr>
                <w:rFonts w:hint="eastAsia"/>
                <w:b/>
              </w:rPr>
              <w:object>
                <v:shape id="_x0000_i1028" o:spt="75" type="#_x0000_t75" style="height:640.65pt;width:377.15pt;" o:ole="t" filled="f" o:preferrelative="t" stroked="f" coordsize="21600,21600">
                  <v:path/>
                  <v:fill on="f" focussize="0,0"/>
                  <v:stroke on="f"/>
                  <v:imagedata r:id="rId23" o:title=""/>
                  <o:lock v:ext="edit" aspectratio="t"/>
                  <w10:wrap type="none"/>
                  <w10:anchorlock/>
                </v:shape>
                <o:OLEObject Type="Embed" ProgID="Visio.Drawing.15" ShapeID="_x0000_i1028" DrawAspect="Content" ObjectID="_1468075727" r:id="rId22">
                  <o:LockedField>false</o:LockedField>
                </o:OLEObject>
              </w:object>
            </w:r>
          </w:p>
          <w:p w14:paraId="6A185F8C">
            <w:pPr>
              <w:pStyle w:val="13"/>
            </w:pPr>
            <w:r>
              <w:rPr>
                <w:rFonts w:hint="eastAsia"/>
              </w:rPr>
              <w:t>图2.1-3  全厂水平衡</w:t>
            </w:r>
          </w:p>
          <w:p w14:paraId="441678AB">
            <w:pPr>
              <w:pStyle w:val="4"/>
              <w:spacing w:before="120" w:after="0" w:afterLines="0"/>
            </w:pPr>
            <w:r>
              <w:rPr>
                <w:rFonts w:hint="eastAsia"/>
              </w:rPr>
              <w:t>2.1.8 劳动定员</w:t>
            </w:r>
          </w:p>
          <w:p w14:paraId="2D2006CC">
            <w:pPr>
              <w:ind w:firstLine="480"/>
            </w:pPr>
            <w:r>
              <w:rPr>
                <w:rFonts w:hint="eastAsia"/>
              </w:rPr>
              <w:t>本项目新增劳动定员92人，年工作365天，纤维研发平台采用三班制，新材料研发平台和实验室采用一班制，每班8小时。</w:t>
            </w:r>
          </w:p>
          <w:p w14:paraId="40B18F4F">
            <w:pPr>
              <w:pStyle w:val="4"/>
              <w:spacing w:before="120" w:after="0" w:afterLines="0"/>
            </w:pPr>
            <w:r>
              <w:rPr>
                <w:rFonts w:hint="eastAsia"/>
              </w:rPr>
              <w:t>2.1.9 总平面布置</w:t>
            </w:r>
          </w:p>
          <w:p w14:paraId="76D3A34F">
            <w:pPr>
              <w:ind w:firstLine="480"/>
            </w:pPr>
            <w:r>
              <w:rPr>
                <w:rFonts w:hint="eastAsia"/>
              </w:rPr>
              <w:t>本次项目地点位于长乐区湖南镇鹏程路，在企业已征地方位内新建一座6#中试车间进行生产。6#中试车间位于厂区东北侧，建筑面积12000平方米，车间内部根据功能和生产流程主要设置熔体车间、纺丝车间、卷绕车间、再生车间、研发车间、实验室和公用工程区域等。厂区东侧设有1个主要出入口，与鹏程路连接，便于项目物流运输；厂区东南侧设有1个次要出入口，与长锦路连接，方便员工进出。综合废水处理站位于厂区西南部，生活办公区位于厂区东南部。整个总平面布置功能分区明确、布置紧凑、生产流程顺畅、管线短捷，减少交叉干扰，有利于安全生产，便于管理。厂区总平面布置见附图2，车间平面布局见附图3。</w:t>
            </w:r>
          </w:p>
        </w:tc>
      </w:tr>
      <w:tr w14:paraId="29E2F4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3671" w:hRule="atLeast"/>
          <w:jc w:val="center"/>
        </w:trPr>
        <w:tc>
          <w:tcPr>
            <w:tcW w:w="219" w:type="pct"/>
            <w:vAlign w:val="center"/>
          </w:tcPr>
          <w:p w14:paraId="4CDF98A1">
            <w:pPr>
              <w:pStyle w:val="14"/>
              <w:adjustRightInd w:val="0"/>
              <w:snapToGrid w:val="0"/>
              <w:spacing w:before="0" w:beforeAutospacing="0" w:after="0" w:afterAutospacing="0"/>
              <w:ind w:firstLine="0" w:firstLineChars="0"/>
              <w:jc w:val="center"/>
              <w:rPr>
                <w:rFonts w:hint="eastAsia" w:cs="宋体"/>
                <w:sz w:val="21"/>
                <w:szCs w:val="21"/>
              </w:rPr>
            </w:pPr>
            <w:r>
              <w:rPr>
                <w:rFonts w:hint="eastAsia" w:cs="宋体"/>
                <w:sz w:val="21"/>
                <w:szCs w:val="21"/>
              </w:rPr>
              <w:t>工艺流程和产排污环节</w:t>
            </w:r>
          </w:p>
        </w:tc>
        <w:tc>
          <w:tcPr>
            <w:tcW w:w="4780" w:type="pct"/>
          </w:tcPr>
          <w:p w14:paraId="38EF2C8F">
            <w:pPr>
              <w:pStyle w:val="3"/>
              <w:spacing w:before="120" w:after="0" w:afterLines="0"/>
            </w:pPr>
            <w:r>
              <w:rPr>
                <w:rFonts w:hint="eastAsia"/>
              </w:rPr>
              <w:t>2.2 项目工艺流程概述</w:t>
            </w:r>
          </w:p>
          <w:p w14:paraId="4A8D3C25">
            <w:pPr>
              <w:pStyle w:val="4"/>
              <w:spacing w:before="120" w:after="0" w:afterLines="0"/>
            </w:pPr>
            <w:r>
              <w:rPr>
                <w:rFonts w:hint="eastAsia"/>
              </w:rPr>
              <w:t>2.2.1 工艺流程</w:t>
            </w:r>
          </w:p>
          <w:p w14:paraId="27493B3F">
            <w:pPr>
              <w:pStyle w:val="5"/>
            </w:pPr>
            <w:r>
              <w:rPr>
                <w:rFonts w:hint="eastAsia"/>
              </w:rPr>
              <w:t>2.2.1.1 新材料研发平台</w:t>
            </w:r>
          </w:p>
          <w:p w14:paraId="3F72B7A1">
            <w:pPr>
              <w:ind w:firstLine="480"/>
            </w:pPr>
            <w:r>
              <w:rPr>
                <w:rFonts w:hint="eastAsia"/>
              </w:rPr>
              <w:t>1.再生切片生产工艺</w:t>
            </w:r>
          </w:p>
          <w:p w14:paraId="2EFB69DD">
            <w:pPr>
              <w:ind w:firstLine="480"/>
            </w:pPr>
            <w:r>
              <w:rPr>
                <w:rFonts w:hint="eastAsia"/>
              </w:rPr>
              <w:t>（1）废丝分拣：从企业现有纺丝项目和加弹项目回收废弃锦纶丝，在生产车间内根据丝束颜色对废丝进行分类，主要可分为白色废丝和黑色废丝，堆放在车间的原料储存区，后续根据颜色分批次投料。分拣过程中会产生少量的不符合进料标准的废丝，暂存在企业南侧现有2#C废料仓库，后续外售综合利用。</w:t>
            </w:r>
          </w:p>
          <w:p w14:paraId="7E191CF9">
            <w:pPr>
              <w:ind w:firstLine="480"/>
            </w:pPr>
            <w:r>
              <w:rPr>
                <w:rFonts w:hint="eastAsia"/>
              </w:rPr>
              <w:t>（2）撕碎喂料：通过撕碎机将废丝分割成短丝束。</w:t>
            </w:r>
          </w:p>
          <w:p w14:paraId="2479668F">
            <w:pPr>
              <w:ind w:firstLine="480"/>
            </w:pPr>
            <w:r>
              <w:rPr>
                <w:rFonts w:hint="eastAsia"/>
              </w:rPr>
              <w:t>（3）熔融挤出：锦纶短丝束进入螺杆挤压机，在螺杆挤压机内经过各区段加热、熔融、混合并从端部的测量头挤出进入熔体过滤器，保证熔体不会夹杂异物或凝聚物。废丝加热熔融过程中产生少量有机废气随熔体从螺杆挤出头溢出，由集气罩收集后经高压静电吸附装置处理达标后通过1根18m高排气筒P3排放。</w:t>
            </w:r>
          </w:p>
          <w:p w14:paraId="60603737">
            <w:pPr>
              <w:ind w:firstLine="480"/>
            </w:pPr>
            <w:r>
              <w:rPr>
                <w:rFonts w:hint="eastAsia"/>
              </w:rPr>
              <w:t>4）冷却固化：熔体经过滤后进入敞开式冷水槽凝固成条状，冷却水同高温熔体接触会发生汽化，气体主要成分为水蒸气。冷却水使用过程中含盐量会逐渐增加，影响冷却效果，因此冷却水需每月进行替换，替换后的冷却水进入厂区现有综合废水处理站进行处理。</w:t>
            </w:r>
          </w:p>
          <w:p w14:paraId="66332CD1">
            <w:pPr>
              <w:ind w:firstLine="480"/>
            </w:pPr>
            <w:r>
              <w:rPr>
                <w:rFonts w:hint="eastAsia"/>
              </w:rPr>
              <w:t>5）切粒筛分：条形切片通过切粒机被切割成小型切片，经由振动筛筛分出尺寸不符合要求的切片，收集后重新进入熔融工序。</w:t>
            </w:r>
          </w:p>
          <w:p w14:paraId="544B4715">
            <w:pPr>
              <w:ind w:firstLine="480"/>
            </w:pPr>
            <w:r>
              <w:rPr>
                <w:rFonts w:hint="eastAsia"/>
              </w:rPr>
              <w:t>6）干燥除湿：切片进入多段式蜂巢转轮分子筛除湿机，由分子筛吸附水分，再通入高温热风脱附分子筛上的水分形成高温高湿气体，冷凝后排入企业污水处理站，再通入常温新风冷却脱附后的高温转轮，恢复分子筛吸附活性，转轮持续旋转实现低温除湿。除湿后切片进入双锥真空干燥机，密闭双锥筒体夹套通入热水供热并低速回转翻动物料，真空机组制造筒内负压，降低水分汽化温度，物料中水分受热汽化后随真空气流抽出，冷凝收集排入企业污水处理站。经干燥后的切片含水量小于0.05%。</w:t>
            </w:r>
          </w:p>
          <w:p w14:paraId="66F2E5D1">
            <w:pPr>
              <w:ind w:firstLine="480"/>
            </w:pPr>
            <w:r>
              <w:rPr>
                <w:rFonts w:hint="eastAsia"/>
              </w:rPr>
              <w:t>7）输送包装：成品切片用于后续研发测试，试制品真空包装后由货车外运出售。</w:t>
            </w:r>
          </w:p>
          <w:p w14:paraId="0F676011">
            <w:pPr>
              <w:ind w:firstLine="480"/>
            </w:pPr>
            <w:r>
              <w:rPr>
                <w:rFonts w:hint="eastAsia"/>
              </w:rPr>
              <w:t>再生切片工艺流程见图2.2-1。</w:t>
            </w:r>
          </w:p>
          <w:p w14:paraId="0BDD1730">
            <w:pPr>
              <w:pStyle w:val="6"/>
            </w:pPr>
            <w:r>
              <w:rPr>
                <w:rFonts w:hint="eastAsia"/>
              </w:rPr>
              <w:drawing>
                <wp:inline distT="0" distB="0" distL="114300" distR="114300">
                  <wp:extent cx="4272280" cy="2771775"/>
                  <wp:effectExtent l="0" t="0" r="13970" b="952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24"/>
                          <a:stretch>
                            <a:fillRect/>
                          </a:stretch>
                        </pic:blipFill>
                        <pic:spPr>
                          <a:xfrm>
                            <a:off x="0" y="0"/>
                            <a:ext cx="4272280" cy="2771775"/>
                          </a:xfrm>
                          <a:prstGeom prst="rect">
                            <a:avLst/>
                          </a:prstGeom>
                          <a:noFill/>
                          <a:ln>
                            <a:noFill/>
                          </a:ln>
                        </pic:spPr>
                      </pic:pic>
                    </a:graphicData>
                  </a:graphic>
                </wp:inline>
              </w:drawing>
            </w:r>
          </w:p>
          <w:p w14:paraId="3BCF49F4">
            <w:pPr>
              <w:pStyle w:val="13"/>
            </w:pPr>
            <w:r>
              <w:rPr>
                <w:rFonts w:hint="eastAsia"/>
              </w:rPr>
              <w:t>图2.2-1  再生切片工艺流程示意图</w:t>
            </w:r>
          </w:p>
          <w:p w14:paraId="1A54F45A">
            <w:pPr>
              <w:ind w:firstLine="480"/>
            </w:pPr>
            <w:r>
              <w:rPr>
                <w:rFonts w:hint="eastAsia"/>
              </w:rPr>
              <w:t>2.改性工塑生产工艺</w:t>
            </w:r>
          </w:p>
          <w:p w14:paraId="482EEAF3">
            <w:pPr>
              <w:ind w:firstLine="480"/>
            </w:pPr>
            <w:r>
              <w:rPr>
                <w:rFonts w:hint="eastAsia"/>
              </w:rPr>
              <w:t>1）废料分拣：从企业现有聚合工程回收废弃PA6切片，分拣出少量不符合进料标准的废切片，暂存在企业现有废料仓库，后续外售综合利用。</w:t>
            </w:r>
          </w:p>
          <w:p w14:paraId="4AF84657">
            <w:pPr>
              <w:ind w:firstLine="480"/>
            </w:pPr>
            <w:r>
              <w:rPr>
                <w:rFonts w:hint="eastAsia"/>
              </w:rPr>
              <w:t>2）均匀破碎：通过破碎机将废切片分割成均等大小的小型块状切粒。</w:t>
            </w:r>
          </w:p>
          <w:p w14:paraId="31AF5E2F">
            <w:pPr>
              <w:ind w:firstLine="480"/>
            </w:pPr>
            <w:r>
              <w:rPr>
                <w:rFonts w:hint="eastAsia"/>
              </w:rPr>
              <w:t>3）熔融挤出：小块切粒和改性辅料按比例混合计量后投入螺杆挤压机，在螺杆挤压机内经过各区段加热、熔融、混合并从端部的测量头挤出进入熔体过滤器，保证熔体不会夹杂异物或凝聚物。废切片加热熔融过程中产生少量有机废气随熔体从螺杆挤出头溢出，由集气罩收集后经高压静电吸附装置处理达标后通过1根18m高排气筒P1排放。</w:t>
            </w:r>
          </w:p>
          <w:p w14:paraId="2FBCFE1A">
            <w:pPr>
              <w:ind w:firstLine="480"/>
            </w:pPr>
            <w:r>
              <w:rPr>
                <w:rFonts w:hint="eastAsia"/>
              </w:rPr>
              <w:t>4）冷却固化：熔体经过滤后进入敞开式冷水槽凝固成条状，冷却水同高温熔体接触会发生汽化，气体主要成分为水蒸气。冷却水使用过程中含盐量会逐渐增加，影响冷却效果，因此冷却水需每月进行替换，替换后的冷却水进入厂区现有综合废水处理站进行处理。</w:t>
            </w:r>
          </w:p>
          <w:p w14:paraId="006CFACC">
            <w:pPr>
              <w:ind w:firstLine="480"/>
            </w:pPr>
            <w:r>
              <w:rPr>
                <w:rFonts w:hint="eastAsia"/>
              </w:rPr>
              <w:t>5）切粒筛分：条形改性母粒通过切粒机被切割成小型颗粒，经由振动筛筛分出尺寸不符合要求的切粒，收集后重新进入熔融工序。</w:t>
            </w:r>
          </w:p>
          <w:p w14:paraId="6FDE254B">
            <w:pPr>
              <w:ind w:firstLine="480"/>
            </w:pPr>
            <w:r>
              <w:rPr>
                <w:rFonts w:hint="eastAsia"/>
              </w:rPr>
              <w:t>6）干燥除湿：切粒进入多段式蜂巢转轮分子筛除湿机，由分子筛吸附水分，再通入高温热风脱附分子筛上的水分形成高温高湿气体，冷凝后排入企业污水处理站，再通入常温新风冷却脱附后的高温转轮，恢复分子筛吸附活性，转轮持续旋转实现低温除湿。除湿后切粒进入双锥真空干燥机，密闭双锥筒体夹套通入热水供热并低速回转翻动物料，真空机组制造筒内负压，降低水分汽化温度，物料中水分受热汽化后随真空气流抽出，冷凝收集排入企业污水处理站。经干燥后的切粒含水量小于0.05%。</w:t>
            </w:r>
          </w:p>
          <w:p w14:paraId="3849AF80">
            <w:pPr>
              <w:ind w:firstLine="480"/>
            </w:pPr>
            <w:r>
              <w:rPr>
                <w:rFonts w:hint="eastAsia"/>
              </w:rPr>
              <w:t>7）输送包装：成品改性工塑用于后续研发测试，试制品真空包装后外运售卖。</w:t>
            </w:r>
          </w:p>
          <w:p w14:paraId="7DDE8D40">
            <w:pPr>
              <w:ind w:firstLine="480"/>
            </w:pPr>
            <w:r>
              <w:rPr>
                <w:rFonts w:hint="eastAsia"/>
              </w:rPr>
              <w:t>改性工塑工艺流程见图2.2-2。</w:t>
            </w:r>
          </w:p>
          <w:p w14:paraId="5DDDC297">
            <w:pPr>
              <w:pStyle w:val="6"/>
            </w:pPr>
            <w:r>
              <w:rPr>
                <w:rFonts w:hint="eastAsia"/>
              </w:rPr>
              <w:drawing>
                <wp:inline distT="0" distB="0" distL="114300" distR="114300">
                  <wp:extent cx="4948555" cy="2771775"/>
                  <wp:effectExtent l="0" t="0" r="4445" b="952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5"/>
                          <a:stretch>
                            <a:fillRect/>
                          </a:stretch>
                        </pic:blipFill>
                        <pic:spPr>
                          <a:xfrm>
                            <a:off x="0" y="0"/>
                            <a:ext cx="4948555" cy="2771775"/>
                          </a:xfrm>
                          <a:prstGeom prst="rect">
                            <a:avLst/>
                          </a:prstGeom>
                          <a:noFill/>
                          <a:ln>
                            <a:noFill/>
                          </a:ln>
                        </pic:spPr>
                      </pic:pic>
                    </a:graphicData>
                  </a:graphic>
                </wp:inline>
              </w:drawing>
            </w:r>
          </w:p>
          <w:p w14:paraId="1F7EFBE4">
            <w:pPr>
              <w:pStyle w:val="13"/>
            </w:pPr>
            <w:r>
              <w:rPr>
                <w:rFonts w:hint="eastAsia"/>
              </w:rPr>
              <w:t>图2.2-2  改性工塑工艺流程示意图</w:t>
            </w:r>
          </w:p>
          <w:p w14:paraId="659215EB">
            <w:pPr>
              <w:pStyle w:val="5"/>
            </w:pPr>
            <w:r>
              <w:rPr>
                <w:rFonts w:hint="eastAsia"/>
              </w:rPr>
              <w:t>2.2.1.2 纤维研发平台</w:t>
            </w:r>
          </w:p>
          <w:p w14:paraId="305FCC23">
            <w:pPr>
              <w:ind w:firstLine="480"/>
            </w:pPr>
            <w:r>
              <w:rPr>
                <w:rFonts w:hint="eastAsia"/>
              </w:rPr>
              <w:t>1.POY/FDY制造</w:t>
            </w:r>
          </w:p>
          <w:p w14:paraId="6627268A">
            <w:pPr>
              <w:ind w:firstLine="480"/>
            </w:pPr>
            <w:r>
              <w:rPr>
                <w:rFonts w:hint="eastAsia"/>
              </w:rPr>
              <w:t>（1）纺丝生产工艺</w:t>
            </w:r>
          </w:p>
          <w:p w14:paraId="06FE7572">
            <w:pPr>
              <w:ind w:firstLine="480"/>
            </w:pPr>
            <w:r>
              <w:rPr>
                <w:rFonts w:hint="eastAsia"/>
              </w:rPr>
              <w:t>PA6切片由氮气保护输送喂入料仓，依靠自重，干切片下落至切片中间料仓。经过切片下料管进入螺杆挤压机，在螺杆挤压机内经过各区段加热、熔融、混合并从端部的测量头挤出，螺杆挤压机带有粗过滤装置，从而保证不会有大的异物或凝聚物进入纺丝箱体。在螺杆挤压机至纺丝箱体之间连接有密闭熔体分配管道，该管道采用夹套设计，选用联苯-联苯醚作为热媒介质，熔体管道中设置有静态混合器，可充分保证熔体混合均匀。</w:t>
            </w:r>
          </w:p>
          <w:p w14:paraId="6AEC4CCF">
            <w:pPr>
              <w:ind w:firstLine="480"/>
            </w:pPr>
            <w:r>
              <w:rPr>
                <w:rFonts w:hint="eastAsia"/>
              </w:rPr>
              <w:t>每个纺丝箱体由不同的加热单元组成，每个单元有独自的熔体进口。每个纺丝位熔体入口处都装有冷冻阀，这样在更换计量泵时就可以单独地关闭任何一个纺丝位。每个单元由热媒蒸汽加热箱体、熔体分配管道、纺丝泵及纺丝组件组成。纺丝箱体根据纺丝泵和纺丝组件的特殊结构进行设计。纺丝泵安装在箱体内的可拆换的泵板上，组件采用下装方式。</w:t>
            </w:r>
          </w:p>
          <w:p w14:paraId="064B9C76">
            <w:pPr>
              <w:ind w:firstLine="480"/>
            </w:pPr>
            <w:r>
              <w:rPr>
                <w:rFonts w:hint="eastAsia"/>
              </w:rPr>
              <w:t>纺丝过程产生的废丝收集后作为新材料研发平台再生切片生产线造粒工序的原料使用。</w:t>
            </w:r>
          </w:p>
          <w:p w14:paraId="1DBE06B4">
            <w:pPr>
              <w:ind w:firstLine="480"/>
            </w:pPr>
            <w:r>
              <w:rPr>
                <w:rFonts w:hint="eastAsia"/>
              </w:rPr>
              <w:t>（2）纺丝油剂调配系统工艺说明</w:t>
            </w:r>
          </w:p>
          <w:p w14:paraId="1E13E4D6">
            <w:pPr>
              <w:ind w:firstLine="480"/>
            </w:pPr>
            <w:r>
              <w:rPr>
                <w:rFonts w:hint="eastAsia"/>
              </w:rPr>
              <w:t>纺丝油剂计量槽、带搅拌器的油剂调配槽安装在油剂调配间内。桶泵将被插进纺丝油剂桶的一个开孔，回流软管将插进另一个开孔，借助于桶泵，原油将被喂入计量槽直至已定位的溢流孔，在溢流孔连接有回流软管。</w:t>
            </w:r>
          </w:p>
          <w:p w14:paraId="7C3E971E">
            <w:pPr>
              <w:ind w:firstLine="480"/>
            </w:pPr>
            <w:r>
              <w:rPr>
                <w:rFonts w:hint="eastAsia"/>
              </w:rPr>
              <w:t>油剂调配槽配有一个液位计。根据混合比，除盐水允许填充至所需罐内高度。然后打开搅拌器开关，将纺丝原油缓慢排放进油剂调配槽，经过充分的混合时间，纺丝油剂乳液调配完毕，借助纺丝油剂输送泵或依靠重力，纺丝油剂乳液送入油剂高位槽，借助重力，纺丝油剂从油剂高位槽进入上油槽。</w:t>
            </w:r>
          </w:p>
          <w:p w14:paraId="08384EA4">
            <w:pPr>
              <w:ind w:firstLine="480"/>
            </w:pPr>
            <w:r>
              <w:rPr>
                <w:rFonts w:hint="eastAsia"/>
              </w:rPr>
              <w:t>上油槽、纺丝油剂计量泵和上油装置组成一个上油系统，上油槽内纺丝油剂乳液依靠均衡的静压连续稳定地供给纺丝油剂计量泵。另外纺丝油剂上油槽在油剂系统故障时还充当一个中间储槽的作用。纺丝油剂泵计量转数在工艺控制系统中得以调整。</w:t>
            </w:r>
          </w:p>
          <w:p w14:paraId="732D9D0D">
            <w:pPr>
              <w:ind w:firstLine="480"/>
            </w:pPr>
            <w:r>
              <w:rPr>
                <w:rFonts w:hint="eastAsia"/>
              </w:rPr>
              <w:t>在上油工序中，经过侧吹风冷却凝固的丝束温度约110℃，油剂同丝束接触时受热挥发少量油雾颗粒，经管道收集接入静电吸附装置处理达标后通过排气筒P1排放。</w:t>
            </w:r>
          </w:p>
          <w:p w14:paraId="37EEF3C2">
            <w:pPr>
              <w:ind w:firstLine="480"/>
            </w:pPr>
            <w:r>
              <w:rPr>
                <w:rFonts w:hint="eastAsia"/>
              </w:rPr>
              <w:t>（3）POY卷绕系统说明</w:t>
            </w:r>
          </w:p>
          <w:p w14:paraId="650A3304">
            <w:pPr>
              <w:ind w:firstLine="480"/>
            </w:pPr>
            <w:r>
              <w:rPr>
                <w:rFonts w:hint="eastAsia"/>
              </w:rPr>
              <w:t>进入牵伸－卷绕机的丝束，经吸丝器、切丝器后，进入一对呈“S”形排布的冷导丝盘，并在两冷导丝辊之间由网络喷嘴进行网络，以增加丝束的抱合性，最后下至全自动卷绕头，卷绕在纸筒管上形成POY卷装。每个卷绕位（对应一个纺丝位）有一个卷绕头，每个卷绕头由双锭轴驱动并采用转页式横动装置。卷绕头具有自动换筒的功能。每个卷绕位均配有断丝检测器、切丝器、集丝装置、预网络喷嘴或网络喷嘴等。每个卷装的甩尾在卷装形成开始前自动完成使用一个落筒定时器根据卷绕的时间来控制精确的卷装重量。通过位于第一辊前面的油轮上油系统对丝束进行必要的上油。均匀的上油有利于长丝的进一步加工。满卷的卷装通过一个落筒装置从卷绕头上落下。</w:t>
            </w:r>
          </w:p>
          <w:p w14:paraId="5353FC9D">
            <w:pPr>
              <w:ind w:firstLine="480"/>
            </w:pPr>
            <w:r>
              <w:rPr>
                <w:rFonts w:hint="eastAsia"/>
              </w:rPr>
              <w:t>（4）FDY卷绕系统说明</w:t>
            </w:r>
          </w:p>
          <w:p w14:paraId="580EFCE8">
            <w:pPr>
              <w:ind w:firstLine="480"/>
            </w:pPr>
            <w:r>
              <w:rPr>
                <w:rFonts w:hint="eastAsia"/>
              </w:rPr>
              <w:t>束经甬道中的上油系统后，进入牵伸一卷绕机，以一对冷导丝辊及热辊和分丝罗拉对丝束进行拉伸、定型，再经冷辊松弛，然后经过网络喷嘴进行网络，以增加丝束的抱合性，便于织造加工。最后下至全自动卷绕头，并在纸筒管上形成FDY卷装。每个卷绕位（对应一个纺丝位）有一个卷绕头，每个卷绕头由双锭轴驱动并采用转页式横动装置。卷绕头具有自动换筒的功能。每个卷绕位均配有断丝检测器、切丝器、集丝装置，预网络喷嘴或网络喷嘴等。每个卷装的甩尾在卷装形成开始前自动完成。使用一个落筒定时器根据卷绕的时间来控制精确的卷装重量。通过位于第一辊前面的油轮上系统对丝束进行必要的上油。均匀的上油有利于长丝的进一步加工。满卷的卷装通过一个落筒装置从卷绕头上落下。</w:t>
            </w:r>
          </w:p>
          <w:p w14:paraId="5209435F">
            <w:pPr>
              <w:ind w:firstLine="480"/>
            </w:pPr>
            <w:r>
              <w:rPr>
                <w:rFonts w:hint="eastAsia"/>
              </w:rPr>
              <w:t>（5）单体抽吸循环系统工艺说明</w:t>
            </w:r>
          </w:p>
          <w:p w14:paraId="486A6D5A">
            <w:pPr>
              <w:ind w:firstLine="480"/>
            </w:pPr>
            <w:r>
              <w:rPr>
                <w:rFonts w:hint="eastAsia"/>
              </w:rPr>
              <w:t>切片熔体从纺丝箱体挤压出熔体细流，尚未完全凝固时会有部分己内酰胺单体挥发到空气中，为避免单体冷凝附着在喷丝板和冷吹风装置上，需要利用单体抽吸装置进行抽吸，然后进行水喷射收集单体。系统配有1个单体收集水槽，由循环泵将一定压力的水送至水喷射泵，在抽吸过程中喷丝板出口处熔体挥发出的气相己内酰胺单体溶解在喷射水中后再流回水槽。当水槽中己内酰胺溶液达到2%浓度后泵送至单体回收系统，以晶体形式析出。</w:t>
            </w:r>
          </w:p>
          <w:p w14:paraId="35F1E75E">
            <w:pPr>
              <w:ind w:firstLine="480"/>
            </w:pPr>
            <w:r>
              <w:rPr>
                <w:rFonts w:hint="eastAsia"/>
              </w:rPr>
              <w:t>本项目依托企业现有聚合工程的单体回收系统。单体回收系统先将己内酰胺浓度为2%左右的循环水浓缩成50%以上的浓缩液，再将浓缩液经过真空蒸馏析出己内酰胺晶体。蒸馏出来的己内酰胺单体由企业回收作为聚合项目原料使用。</w:t>
            </w:r>
          </w:p>
          <w:p w14:paraId="1C45DA8A">
            <w:pPr>
              <w:ind w:firstLine="480"/>
            </w:pPr>
            <w:r>
              <w:rPr>
                <w:rFonts w:hint="eastAsia"/>
              </w:rPr>
              <w:t>单体抽吸循环系统中少量未吸收的气态己内酰胺单体以有机废气和颗粒物的形式通过1根18m排气筒P2排放。</w:t>
            </w:r>
          </w:p>
          <w:p w14:paraId="3EDDAE5C">
            <w:pPr>
              <w:ind w:firstLine="480"/>
            </w:pPr>
            <w:r>
              <w:rPr>
                <w:rFonts w:hint="eastAsia"/>
              </w:rPr>
              <w:t>整个纺丝过程均在密闭箱体中进行。成品原丝经研发测试后，试制品外售。</w:t>
            </w:r>
          </w:p>
          <w:p w14:paraId="5976CB2C">
            <w:pPr>
              <w:ind w:firstLine="480"/>
            </w:pPr>
            <w:r>
              <w:rPr>
                <w:rFonts w:hint="eastAsia"/>
              </w:rPr>
              <w:t>锦纶原丝生产流程见图2.2-3。</w:t>
            </w:r>
          </w:p>
          <w:p w14:paraId="3D5D4953">
            <w:pPr>
              <w:pStyle w:val="6"/>
            </w:pPr>
            <w:r>
              <w:rPr>
                <w:rFonts w:hint="eastAsia"/>
              </w:rPr>
              <w:drawing>
                <wp:inline distT="0" distB="0" distL="0" distR="0">
                  <wp:extent cx="4156075" cy="4679950"/>
                  <wp:effectExtent l="0" t="0" r="15875" b="635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26"/>
                          <a:srcRect l="1954"/>
                          <a:stretch>
                            <a:fillRect/>
                          </a:stretch>
                        </pic:blipFill>
                        <pic:spPr>
                          <a:xfrm>
                            <a:off x="0" y="0"/>
                            <a:ext cx="4156075" cy="4679950"/>
                          </a:xfrm>
                          <a:prstGeom prst="rect">
                            <a:avLst/>
                          </a:prstGeom>
                          <a:ln>
                            <a:noFill/>
                          </a:ln>
                        </pic:spPr>
                      </pic:pic>
                    </a:graphicData>
                  </a:graphic>
                </wp:inline>
              </w:drawing>
            </w:r>
          </w:p>
          <w:p w14:paraId="3ED2D609">
            <w:pPr>
              <w:pStyle w:val="13"/>
            </w:pPr>
            <w:r>
              <w:rPr>
                <w:rFonts w:hint="eastAsia"/>
              </w:rPr>
              <w:t>图2.2-3  原丝制造工艺流程示意图</w:t>
            </w:r>
          </w:p>
          <w:p w14:paraId="3969EBCA">
            <w:pPr>
              <w:ind w:firstLine="480"/>
            </w:pPr>
            <w:r>
              <w:rPr>
                <w:rFonts w:hint="eastAsia"/>
              </w:rPr>
              <w:t>2.组件清洗</w:t>
            </w:r>
          </w:p>
          <w:p w14:paraId="2F877A07">
            <w:pPr>
              <w:ind w:firstLine="480"/>
            </w:pPr>
            <w:r>
              <w:rPr>
                <w:rFonts w:hint="eastAsia"/>
              </w:rPr>
              <w:t>熔体过滤器滤芯、纺丝组件和喷丝板清洗定期在真空煅烧炉中进行。</w:t>
            </w:r>
          </w:p>
          <w:p w14:paraId="7B61299E">
            <w:pPr>
              <w:ind w:firstLine="480"/>
            </w:pPr>
            <w:r>
              <w:rPr>
                <w:rFonts w:hint="eastAsia"/>
              </w:rPr>
              <w:t>组件和喷丝板用电加热至高于聚合物熔点的温度，在真空条件下大部分的熔体从组件和喷丝板中流出，熔体将收集在高压容器内。升高温度，通过调节空气量完成热解反应，熔体充分燃烧，燃烧产物主要为CO和H2O。煅烧之后的组件由超声波清洗仪进行二次清洗，进一步去除组件孔隙中的微小颗粒。</w:t>
            </w:r>
          </w:p>
          <w:p w14:paraId="598692C0">
            <w:pPr>
              <w:ind w:firstLine="480"/>
            </w:pPr>
            <w:r>
              <w:rPr>
                <w:rFonts w:hint="eastAsia"/>
              </w:rPr>
              <w:t>在整个清洗过程中，组件黏附的废胶块和凝聚物通过分解和催化氧化会产生少量有机废气，废气经管道收集后同新材料研发平台熔融废气一并接入静电吸附装置处理达标后通过排气筒P3排放。超声波清洗产生的废水接入企业综合污水处理站处理。组件清洗工序月运行时间约144小时。</w:t>
            </w:r>
          </w:p>
          <w:p w14:paraId="1AB8AF70">
            <w:pPr>
              <w:ind w:firstLine="480"/>
            </w:pPr>
            <w:r>
              <w:rPr>
                <w:rFonts w:hint="eastAsia"/>
              </w:rPr>
              <w:t>真空煅烧炉和超声波清洗装置均为密闭设备。</w:t>
            </w:r>
          </w:p>
          <w:p w14:paraId="3A2F0D71">
            <w:pPr>
              <w:ind w:firstLine="480"/>
            </w:pPr>
            <w:r>
              <w:rPr>
                <w:rFonts w:hint="eastAsia"/>
              </w:rPr>
              <w:t>组件清洗流程见图2.2-4。</w:t>
            </w:r>
          </w:p>
          <w:p w14:paraId="3A2372E8">
            <w:pPr>
              <w:pStyle w:val="6"/>
            </w:pPr>
            <w:r>
              <w:rPr>
                <w:rFonts w:hint="eastAsia"/>
              </w:rPr>
              <w:drawing>
                <wp:inline distT="0" distB="0" distL="0" distR="0">
                  <wp:extent cx="3778250" cy="794385"/>
                  <wp:effectExtent l="0" t="0" r="1270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3778250" cy="794814"/>
                          </a:xfrm>
                          <a:prstGeom prst="rect">
                            <a:avLst/>
                          </a:prstGeom>
                          <a:noFill/>
                          <a:ln>
                            <a:noFill/>
                          </a:ln>
                        </pic:spPr>
                      </pic:pic>
                    </a:graphicData>
                  </a:graphic>
                </wp:inline>
              </w:drawing>
            </w:r>
          </w:p>
          <w:p w14:paraId="7CFBF35D">
            <w:pPr>
              <w:pStyle w:val="13"/>
            </w:pPr>
            <w:r>
              <w:rPr>
                <w:rFonts w:hint="eastAsia"/>
              </w:rPr>
              <w:t>图2.2-4  组件清洗流程示意图</w:t>
            </w:r>
          </w:p>
          <w:p w14:paraId="68B422C1">
            <w:pPr>
              <w:pStyle w:val="5"/>
            </w:pPr>
            <w:r>
              <w:rPr>
                <w:rFonts w:hint="eastAsia"/>
              </w:rPr>
              <w:t>2.2.1.3 研发、测试</w:t>
            </w:r>
          </w:p>
          <w:p w14:paraId="61A63C93">
            <w:pPr>
              <w:ind w:firstLine="480"/>
            </w:pPr>
            <w:r>
              <w:rPr>
                <w:rFonts w:hint="eastAsia"/>
              </w:rPr>
              <w:t>本项目设置研发车间、品管车间、试制车间和实验室，配置小型试验设备，开展原料研发、成品性能测试、功能性样品小批量试制等。主要设备用途详见表2.2-1。</w:t>
            </w:r>
          </w:p>
          <w:p w14:paraId="416EB3E9">
            <w:pPr>
              <w:ind w:firstLine="480"/>
            </w:pPr>
            <w:r>
              <w:rPr>
                <w:rFonts w:hint="eastAsia"/>
              </w:rPr>
              <w:t>实验室运行过程中产生的实验废液和废试剂瓶作为危废暂存在企业现有危废间，后续委托有资质单位处理；实验器皿清洗产生的废水进入企业综合污水处理站集中处理；试剂调配过程产生的少量酸、碱性气体和有机废气经通风橱收集后进入烟气净化处理系统（水喷淋+活性炭吸附）最终引至屋顶高空排放，烟气净化系统产生的喷淋废水进入企业综合污水处理站集中处理，定期替换废活性炭作为危废暂存在企业现有危废间，后续委托有资质单位处理。</w:t>
            </w:r>
          </w:p>
          <w:p w14:paraId="4EF8C9AF">
            <w:pPr>
              <w:ind w:firstLine="480"/>
            </w:pPr>
            <w:r>
              <w:rPr>
                <w:rFonts w:hint="eastAsia"/>
              </w:rPr>
              <w:t>研发、试制过程产生少量废弃边角料暂存于厂区南侧现有2#C废料仓库，后续外售综合利用；研发设备用水定期排放，进入企业综合污水处理站集中处理。研发测试过程使用的熔融指数仪、热变形温度测定仪、毛细管/旋转流变仪、织物阻燃性能测试仪、水热合成釜、差示扫描量热仪等设备运行温度在100~300℃之间，运行过程会产生少量有机废气。此类设备集中布置于车间3楼的2#试制检测间内，废气由与设备相连的管道收集后经1套烟气净化处理系统（水喷淋+活性炭吸附）处理后由1根18m排气筒（P4）排放。</w:t>
            </w:r>
          </w:p>
          <w:p w14:paraId="395E28D3">
            <w:pPr>
              <w:pStyle w:val="13"/>
            </w:pPr>
            <w:r>
              <w:rPr>
                <w:rFonts w:hint="eastAsia"/>
              </w:rPr>
              <w:t>表2.2-1  主要研发、检验设备用途一览表</w:t>
            </w:r>
          </w:p>
          <w:tbl>
            <w:tblPr>
              <w:tblStyle w:val="18"/>
              <w:tblW w:w="848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316"/>
              <w:gridCol w:w="6172"/>
            </w:tblGrid>
            <w:tr w14:paraId="61BD22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C50EFDB">
                  <w:pPr>
                    <w:pStyle w:val="83"/>
                    <w:rPr>
                      <w:rFonts w:hint="default"/>
                    </w:rPr>
                  </w:pPr>
                  <w:r>
                    <w:t>设备名称</w:t>
                  </w:r>
                </w:p>
              </w:tc>
              <w:tc>
                <w:tcPr>
                  <w:tcW w:w="6172" w:type="dxa"/>
                  <w:tcBorders>
                    <w:tl2br w:val="nil"/>
                    <w:tr2bl w:val="nil"/>
                  </w:tcBorders>
                  <w:vAlign w:val="center"/>
                </w:tcPr>
                <w:p w14:paraId="780E9027">
                  <w:pPr>
                    <w:pStyle w:val="83"/>
                    <w:rPr>
                      <w:rFonts w:hint="default"/>
                    </w:rPr>
                  </w:pPr>
                  <w:r>
                    <w:t>主要功能</w:t>
                  </w:r>
                </w:p>
              </w:tc>
            </w:tr>
            <w:tr w14:paraId="19F256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2FD12120">
                  <w:pPr>
                    <w:pStyle w:val="83"/>
                    <w:rPr>
                      <w:rFonts w:hint="default"/>
                    </w:rPr>
                  </w:pPr>
                  <w:r>
                    <w:t>测色仪</w:t>
                  </w:r>
                </w:p>
              </w:tc>
              <w:tc>
                <w:tcPr>
                  <w:tcW w:w="6172" w:type="dxa"/>
                  <w:tcBorders>
                    <w:tl2br w:val="nil"/>
                    <w:tr2bl w:val="nil"/>
                  </w:tcBorders>
                  <w:vAlign w:val="center"/>
                </w:tcPr>
                <w:p w14:paraId="04F08386">
                  <w:pPr>
                    <w:pStyle w:val="83"/>
                    <w:rPr>
                      <w:rFonts w:hint="default"/>
                    </w:rPr>
                  </w:pPr>
                  <w:r>
                    <w:t>检测纤维、切片、样品色差、色浓度，数字化记录颜色数据，对比配色配方深浅偏差</w:t>
                  </w:r>
                </w:p>
              </w:tc>
            </w:tr>
            <w:tr w14:paraId="7B0B5F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0E62278">
                  <w:pPr>
                    <w:pStyle w:val="83"/>
                    <w:rPr>
                      <w:rFonts w:hint="default"/>
                    </w:rPr>
                  </w:pPr>
                  <w:r>
                    <w:t>数控纱线色卡绕线机</w:t>
                  </w:r>
                </w:p>
              </w:tc>
              <w:tc>
                <w:tcPr>
                  <w:tcW w:w="6172" w:type="dxa"/>
                  <w:tcBorders>
                    <w:tl2br w:val="nil"/>
                    <w:tr2bl w:val="nil"/>
                  </w:tcBorders>
                  <w:vAlign w:val="center"/>
                </w:tcPr>
                <w:p w14:paraId="17C4FC2F">
                  <w:pPr>
                    <w:pStyle w:val="83"/>
                    <w:rPr>
                      <w:rFonts w:hint="default"/>
                    </w:rPr>
                  </w:pPr>
                  <w:r>
                    <w:t>将试制样品长丝均匀绕制成标准色卡，统一试样缠绕密度，为人工对色、仪器测色提供标准化样品</w:t>
                  </w:r>
                </w:p>
              </w:tc>
            </w:tr>
            <w:tr w14:paraId="55430F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7E59DC50">
                  <w:pPr>
                    <w:pStyle w:val="83"/>
                    <w:rPr>
                      <w:rFonts w:hint="default"/>
                    </w:rPr>
                  </w:pPr>
                  <w:r>
                    <w:t>对色灯箱</w:t>
                  </w:r>
                </w:p>
              </w:tc>
              <w:tc>
                <w:tcPr>
                  <w:tcW w:w="6172" w:type="dxa"/>
                  <w:tcBorders>
                    <w:tl2br w:val="nil"/>
                    <w:tr2bl w:val="nil"/>
                  </w:tcBorders>
                  <w:vAlign w:val="center"/>
                </w:tcPr>
                <w:p w14:paraId="5865D256">
                  <w:pPr>
                    <w:pStyle w:val="83"/>
                    <w:rPr>
                      <w:rFonts w:hint="default"/>
                    </w:rPr>
                  </w:pPr>
                  <w:r>
                    <w:t>模拟多种标准光源，比对纱线、织物色差，判定配色合格性</w:t>
                  </w:r>
                </w:p>
              </w:tc>
            </w:tr>
            <w:tr w14:paraId="0DECFC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8A43499">
                  <w:pPr>
                    <w:pStyle w:val="83"/>
                    <w:rPr>
                      <w:rFonts w:hint="default"/>
                    </w:rPr>
                  </w:pPr>
                  <w:r>
                    <w:t>数位眼颜色相似仪</w:t>
                  </w:r>
                </w:p>
              </w:tc>
              <w:tc>
                <w:tcPr>
                  <w:tcW w:w="6172" w:type="dxa"/>
                  <w:tcBorders>
                    <w:tl2br w:val="nil"/>
                    <w:tr2bl w:val="nil"/>
                  </w:tcBorders>
                  <w:vAlign w:val="center"/>
                </w:tcPr>
                <w:p w14:paraId="1E8275C6">
                  <w:pPr>
                    <w:pStyle w:val="83"/>
                    <w:rPr>
                      <w:rFonts w:hint="default"/>
                    </w:rPr>
                  </w:pPr>
                  <w:r>
                    <w:t>光学成像自动对比试样与标准样的色彩相似度，辅助测色仪完成客观配色判定，减少人工目视误差</w:t>
                  </w:r>
                </w:p>
              </w:tc>
            </w:tr>
            <w:tr w14:paraId="55A059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579FB6F4">
                  <w:pPr>
                    <w:pStyle w:val="83"/>
                    <w:rPr>
                      <w:rFonts w:hint="default"/>
                    </w:rPr>
                  </w:pPr>
                  <w:r>
                    <w:t>织物扫描仪</w:t>
                  </w:r>
                </w:p>
              </w:tc>
              <w:tc>
                <w:tcPr>
                  <w:tcW w:w="6172" w:type="dxa"/>
                  <w:tcBorders>
                    <w:tl2br w:val="nil"/>
                    <w:tr2bl w:val="nil"/>
                  </w:tcBorders>
                  <w:vAlign w:val="center"/>
                </w:tcPr>
                <w:p w14:paraId="253AA388">
                  <w:pPr>
                    <w:pStyle w:val="83"/>
                    <w:rPr>
                      <w:rFonts w:hint="default"/>
                    </w:rPr>
                  </w:pPr>
                  <w:r>
                    <w:t>扫描纤维表层，分析纤维毛丝、条干、斑点、色差、疵点，记录外观缺陷</w:t>
                  </w:r>
                </w:p>
              </w:tc>
            </w:tr>
            <w:tr w14:paraId="3FB6EC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39CD6FB">
                  <w:pPr>
                    <w:pStyle w:val="83"/>
                    <w:rPr>
                      <w:rFonts w:hint="default"/>
                    </w:rPr>
                  </w:pPr>
                  <w:r>
                    <w:t>悬臂梁冲击试验机</w:t>
                  </w:r>
                </w:p>
              </w:tc>
              <w:tc>
                <w:tcPr>
                  <w:tcW w:w="6172" w:type="dxa"/>
                  <w:tcBorders>
                    <w:tl2br w:val="nil"/>
                    <w:tr2bl w:val="nil"/>
                  </w:tcBorders>
                  <w:vAlign w:val="center"/>
                </w:tcPr>
                <w:p w14:paraId="32F01734">
                  <w:pPr>
                    <w:pStyle w:val="83"/>
                    <w:rPr>
                      <w:rFonts w:hint="default"/>
                    </w:rPr>
                  </w:pPr>
                  <w:r>
                    <w:t>测试改性纤维、切片抗冲击强度，评价增韧、改性配方力学性能</w:t>
                  </w:r>
                </w:p>
              </w:tc>
            </w:tr>
            <w:tr w14:paraId="41762D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794FC19">
                  <w:pPr>
                    <w:pStyle w:val="83"/>
                    <w:rPr>
                      <w:rFonts w:hint="default"/>
                    </w:rPr>
                  </w:pPr>
                  <w:r>
                    <w:t>热变形温度测定仪</w:t>
                  </w:r>
                </w:p>
              </w:tc>
              <w:tc>
                <w:tcPr>
                  <w:tcW w:w="6172" w:type="dxa"/>
                  <w:tcBorders>
                    <w:tl2br w:val="nil"/>
                    <w:tr2bl w:val="nil"/>
                  </w:tcBorders>
                  <w:vAlign w:val="center"/>
                </w:tcPr>
                <w:p w14:paraId="59984404">
                  <w:pPr>
                    <w:pStyle w:val="83"/>
                    <w:rPr>
                      <w:rFonts w:hint="default"/>
                    </w:rPr>
                  </w:pPr>
                  <w:r>
                    <w:t>测定改性母粒受热变形临界温度，评估纤维耐高温后整理、热定型耐受能力</w:t>
                  </w:r>
                </w:p>
              </w:tc>
            </w:tr>
            <w:tr w14:paraId="6EA289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DC56ECB">
                  <w:pPr>
                    <w:pStyle w:val="83"/>
                    <w:rPr>
                      <w:rFonts w:hint="default"/>
                    </w:rPr>
                  </w:pPr>
                  <w:r>
                    <w:t>毛细管/旋转流变仪</w:t>
                  </w:r>
                </w:p>
              </w:tc>
              <w:tc>
                <w:tcPr>
                  <w:tcW w:w="6172" w:type="dxa"/>
                  <w:tcBorders>
                    <w:tl2br w:val="nil"/>
                    <w:tr2bl w:val="nil"/>
                  </w:tcBorders>
                  <w:vAlign w:val="center"/>
                </w:tcPr>
                <w:p w14:paraId="4A38585B">
                  <w:pPr>
                    <w:pStyle w:val="83"/>
                    <w:rPr>
                      <w:rFonts w:hint="default"/>
                    </w:rPr>
                  </w:pPr>
                  <w:r>
                    <w:t>检测熔融状态下切片、母粒熔体粘度、剪切流动性，模拟纺丝螺杆挤出工况，优化纺丝温度、压力参数</w:t>
                  </w:r>
                </w:p>
              </w:tc>
            </w:tr>
            <w:tr w14:paraId="1A8B6BE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C84C988">
                  <w:pPr>
                    <w:pStyle w:val="83"/>
                    <w:rPr>
                      <w:rFonts w:hint="default"/>
                    </w:rPr>
                  </w:pPr>
                  <w:r>
                    <w:t>熔融指数仪（MFI）</w:t>
                  </w:r>
                </w:p>
              </w:tc>
              <w:tc>
                <w:tcPr>
                  <w:tcW w:w="6172" w:type="dxa"/>
                  <w:tcBorders>
                    <w:tl2br w:val="nil"/>
                    <w:tr2bl w:val="nil"/>
                  </w:tcBorders>
                  <w:vAlign w:val="center"/>
                </w:tcPr>
                <w:p w14:paraId="3D344D6F">
                  <w:pPr>
                    <w:pStyle w:val="83"/>
                    <w:rPr>
                      <w:rFonts w:hint="default"/>
                    </w:rPr>
                  </w:pPr>
                  <w:r>
                    <w:t>测定熔体流动速率，表征原料分子量、流动性，判断原料批次稳定性、可纺性</w:t>
                  </w:r>
                </w:p>
              </w:tc>
            </w:tr>
            <w:tr w14:paraId="3F167C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71B62DF7">
                  <w:pPr>
                    <w:pStyle w:val="83"/>
                    <w:rPr>
                      <w:rFonts w:hint="default"/>
                    </w:rPr>
                  </w:pPr>
                  <w:r>
                    <w:t>纤维拉伸试验机</w:t>
                  </w:r>
                </w:p>
              </w:tc>
              <w:tc>
                <w:tcPr>
                  <w:tcW w:w="6172" w:type="dxa"/>
                  <w:tcBorders>
                    <w:tl2br w:val="nil"/>
                    <w:tr2bl w:val="nil"/>
                  </w:tcBorders>
                  <w:vAlign w:val="center"/>
                </w:tcPr>
                <w:p w14:paraId="750E4268">
                  <w:pPr>
                    <w:pStyle w:val="83"/>
                    <w:rPr>
                      <w:rFonts w:hint="default"/>
                    </w:rPr>
                  </w:pPr>
                  <w:r>
                    <w:t>测试试制锦纶长丝断裂强度、断裂伸长、模量、回弹等核心力学指标</w:t>
                  </w:r>
                </w:p>
              </w:tc>
            </w:tr>
            <w:tr w14:paraId="3CFB40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5CAD6A2D">
                  <w:pPr>
                    <w:pStyle w:val="83"/>
                    <w:rPr>
                      <w:rFonts w:hint="default"/>
                    </w:rPr>
                  </w:pPr>
                  <w:r>
                    <w:t>恒温恒湿箱</w:t>
                  </w:r>
                </w:p>
              </w:tc>
              <w:tc>
                <w:tcPr>
                  <w:tcW w:w="6172" w:type="dxa"/>
                  <w:tcBorders>
                    <w:tl2br w:val="nil"/>
                    <w:tr2bl w:val="nil"/>
                  </w:tcBorders>
                  <w:vAlign w:val="center"/>
                </w:tcPr>
                <w:p w14:paraId="03CF2641">
                  <w:pPr>
                    <w:pStyle w:val="83"/>
                    <w:rPr>
                      <w:rFonts w:hint="default"/>
                    </w:rPr>
                  </w:pPr>
                  <w:r>
                    <w:t>模拟高低温、不同湿度环境，开展纤维耐候、尺寸收缩、吸湿性能老化试验，验证纤维使用环境稳定性</w:t>
                  </w:r>
                </w:p>
              </w:tc>
            </w:tr>
            <w:tr w14:paraId="191972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DDE24F6">
                  <w:pPr>
                    <w:pStyle w:val="83"/>
                    <w:rPr>
                      <w:rFonts w:hint="default"/>
                    </w:rPr>
                  </w:pPr>
                  <w:r>
                    <w:t>多工位磁力搅拌器</w:t>
                  </w:r>
                </w:p>
              </w:tc>
              <w:tc>
                <w:tcPr>
                  <w:tcW w:w="6172" w:type="dxa"/>
                  <w:tcBorders>
                    <w:tl2br w:val="nil"/>
                    <w:tr2bl w:val="nil"/>
                  </w:tcBorders>
                  <w:vAlign w:val="center"/>
                </w:tcPr>
                <w:p w14:paraId="1E3CAF2F">
                  <w:pPr>
                    <w:pStyle w:val="83"/>
                    <w:rPr>
                      <w:rFonts w:hint="default"/>
                    </w:rPr>
                  </w:pPr>
                  <w:r>
                    <w:t>同步多组样品溶液搅拌反应，平行对比不同助剂配比反应效果</w:t>
                  </w:r>
                </w:p>
              </w:tc>
            </w:tr>
            <w:tr w14:paraId="0FDDE3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0428762">
                  <w:pPr>
                    <w:pStyle w:val="83"/>
                    <w:rPr>
                      <w:rFonts w:hint="default"/>
                    </w:rPr>
                  </w:pPr>
                  <w:r>
                    <w:t>水热合成釜</w:t>
                  </w:r>
                </w:p>
              </w:tc>
              <w:tc>
                <w:tcPr>
                  <w:tcW w:w="6172" w:type="dxa"/>
                  <w:tcBorders>
                    <w:tl2br w:val="nil"/>
                    <w:tr2bl w:val="nil"/>
                  </w:tcBorders>
                  <w:vAlign w:val="center"/>
                </w:tcPr>
                <w:p w14:paraId="13506FCE">
                  <w:pPr>
                    <w:pStyle w:val="83"/>
                    <w:rPr>
                      <w:rFonts w:hint="default"/>
                    </w:rPr>
                  </w:pPr>
                  <w:r>
                    <w:t>高温高压水相环境合成不同功能改性辅料</w:t>
                  </w:r>
                </w:p>
              </w:tc>
            </w:tr>
            <w:tr w14:paraId="1F7963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4E7F506E">
                  <w:pPr>
                    <w:pStyle w:val="83"/>
                    <w:rPr>
                      <w:rFonts w:hint="default"/>
                    </w:rPr>
                  </w:pPr>
                  <w:r>
                    <w:t>超声微流体纳米合成仪/分散机</w:t>
                  </w:r>
                </w:p>
              </w:tc>
              <w:tc>
                <w:tcPr>
                  <w:tcW w:w="6172" w:type="dxa"/>
                  <w:tcBorders>
                    <w:tl2br w:val="nil"/>
                    <w:tr2bl w:val="nil"/>
                  </w:tcBorders>
                  <w:vAlign w:val="center"/>
                </w:tcPr>
                <w:p w14:paraId="053D65DC">
                  <w:pPr>
                    <w:pStyle w:val="83"/>
                    <w:rPr>
                      <w:rFonts w:hint="default"/>
                    </w:rPr>
                  </w:pPr>
                  <w:r>
                    <w:t>超声+微流控工艺制备纳米功能粒子，开发抗菌、导电、吸附型改性填料</w:t>
                  </w:r>
                </w:p>
              </w:tc>
            </w:tr>
            <w:tr w14:paraId="59559B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EDA5B38">
                  <w:pPr>
                    <w:pStyle w:val="83"/>
                    <w:rPr>
                      <w:rFonts w:hint="default"/>
                    </w:rPr>
                  </w:pPr>
                  <w:r>
                    <w:t>高效液相色谱仪</w:t>
                  </w:r>
                </w:p>
              </w:tc>
              <w:tc>
                <w:tcPr>
                  <w:tcW w:w="6172" w:type="dxa"/>
                  <w:tcBorders>
                    <w:tl2br w:val="nil"/>
                    <w:tr2bl w:val="nil"/>
                  </w:tcBorders>
                  <w:vAlign w:val="center"/>
                </w:tcPr>
                <w:p w14:paraId="69EA373A">
                  <w:pPr>
                    <w:pStyle w:val="83"/>
                    <w:rPr>
                      <w:rFonts w:hint="default"/>
                    </w:rPr>
                  </w:pPr>
                  <w:r>
                    <w:t>检测切片、功能母粒、纤维中单体、小分子残留、功能性助剂含量，定量分析有机组分</w:t>
                  </w:r>
                </w:p>
              </w:tc>
            </w:tr>
            <w:tr w14:paraId="6CF4BB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4440A7D0">
                  <w:pPr>
                    <w:pStyle w:val="83"/>
                    <w:rPr>
                      <w:rFonts w:hint="default"/>
                    </w:rPr>
                  </w:pPr>
                  <w:r>
                    <w:t>差示扫描量热仪（DSC）</w:t>
                  </w:r>
                </w:p>
              </w:tc>
              <w:tc>
                <w:tcPr>
                  <w:tcW w:w="6172" w:type="dxa"/>
                  <w:tcBorders>
                    <w:tl2br w:val="nil"/>
                    <w:tr2bl w:val="nil"/>
                  </w:tcBorders>
                  <w:vAlign w:val="center"/>
                </w:tcPr>
                <w:p w14:paraId="7F72AA1B">
                  <w:pPr>
                    <w:pStyle w:val="83"/>
                    <w:rPr>
                      <w:rFonts w:hint="default"/>
                    </w:rPr>
                  </w:pPr>
                  <w:r>
                    <w:t>测定切片、脱模母粒熔点、玻璃化转变温度、结晶度，评价原料热稳定性能</w:t>
                  </w:r>
                </w:p>
              </w:tc>
            </w:tr>
            <w:tr w14:paraId="6A18CC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3DB5A15">
                  <w:pPr>
                    <w:pStyle w:val="83"/>
                    <w:rPr>
                      <w:rFonts w:hint="default"/>
                    </w:rPr>
                  </w:pPr>
                  <w:r>
                    <w:t>耐水洗色牢度实验仪</w:t>
                  </w:r>
                </w:p>
              </w:tc>
              <w:tc>
                <w:tcPr>
                  <w:tcW w:w="6172" w:type="dxa"/>
                  <w:tcBorders>
                    <w:tl2br w:val="nil"/>
                    <w:tr2bl w:val="nil"/>
                  </w:tcBorders>
                  <w:vAlign w:val="center"/>
                </w:tcPr>
                <w:p w14:paraId="111B9466">
                  <w:pPr>
                    <w:pStyle w:val="83"/>
                    <w:rPr>
                      <w:rFonts w:hint="default"/>
                    </w:rPr>
                  </w:pPr>
                  <w:r>
                    <w:t>模拟水洗工况，测试纤维水洗后褪色、沾色等级</w:t>
                  </w:r>
                </w:p>
              </w:tc>
            </w:tr>
            <w:tr w14:paraId="5B910E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5467FE84">
                  <w:pPr>
                    <w:pStyle w:val="83"/>
                    <w:rPr>
                      <w:rFonts w:hint="default"/>
                    </w:rPr>
                  </w:pPr>
                  <w:r>
                    <w:t>耐汗渍色牢度仪</w:t>
                  </w:r>
                </w:p>
              </w:tc>
              <w:tc>
                <w:tcPr>
                  <w:tcW w:w="6172" w:type="dxa"/>
                  <w:tcBorders>
                    <w:tl2br w:val="nil"/>
                    <w:tr2bl w:val="nil"/>
                  </w:tcBorders>
                  <w:vAlign w:val="center"/>
                </w:tcPr>
                <w:p w14:paraId="349BE446">
                  <w:pPr>
                    <w:pStyle w:val="83"/>
                    <w:rPr>
                      <w:rFonts w:hint="default"/>
                    </w:rPr>
                  </w:pPr>
                  <w:r>
                    <w:t>模拟人体汗液酸碱环境，测试纤维遇汗液后的褪色、沾色程度</w:t>
                  </w:r>
                </w:p>
              </w:tc>
            </w:tr>
            <w:tr w14:paraId="7D37AE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6E5F966">
                  <w:pPr>
                    <w:pStyle w:val="83"/>
                    <w:rPr>
                      <w:rFonts w:hint="default"/>
                    </w:rPr>
                  </w:pPr>
                  <w:r>
                    <w:t>袜机</w:t>
                  </w:r>
                </w:p>
              </w:tc>
              <w:tc>
                <w:tcPr>
                  <w:tcW w:w="6172" w:type="dxa"/>
                  <w:tcBorders>
                    <w:tl2br w:val="nil"/>
                    <w:tr2bl w:val="nil"/>
                  </w:tcBorders>
                  <w:vAlign w:val="center"/>
                </w:tcPr>
                <w:p w14:paraId="1F9DA10A">
                  <w:pPr>
                    <w:pStyle w:val="83"/>
                    <w:rPr>
                      <w:rFonts w:hint="default"/>
                    </w:rPr>
                  </w:pPr>
                  <w:r>
                    <w:t>小批量编织试制长丝成袜样，用于全套色牢度、触感、功能性上机验证，模拟下游织造应用效果</w:t>
                  </w:r>
                </w:p>
              </w:tc>
            </w:tr>
            <w:tr w14:paraId="67E3F6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5C1E5756">
                  <w:pPr>
                    <w:pStyle w:val="83"/>
                    <w:rPr>
                      <w:rFonts w:hint="default"/>
                    </w:rPr>
                  </w:pPr>
                  <w:r>
                    <w:t>全自动表、界面张力仪</w:t>
                  </w:r>
                </w:p>
              </w:tc>
              <w:tc>
                <w:tcPr>
                  <w:tcW w:w="6172" w:type="dxa"/>
                  <w:tcBorders>
                    <w:tl2br w:val="nil"/>
                    <w:tr2bl w:val="nil"/>
                  </w:tcBorders>
                  <w:vAlign w:val="center"/>
                </w:tcPr>
                <w:p w14:paraId="130953E3">
                  <w:pPr>
                    <w:pStyle w:val="83"/>
                    <w:rPr>
                      <w:rFonts w:hint="default"/>
                    </w:rPr>
                  </w:pPr>
                  <w:r>
                    <w:t>测试纺丝油剂、改性溶液、助剂表面张力，评价油剂浸润纤维能力、助剂相容性</w:t>
                  </w:r>
                </w:p>
              </w:tc>
            </w:tr>
            <w:tr w14:paraId="7F568E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2F760C7C">
                  <w:pPr>
                    <w:pStyle w:val="83"/>
                    <w:rPr>
                      <w:rFonts w:hint="default"/>
                    </w:rPr>
                  </w:pPr>
                  <w:r>
                    <w:t>全自动单纱强力仪</w:t>
                  </w:r>
                </w:p>
              </w:tc>
              <w:tc>
                <w:tcPr>
                  <w:tcW w:w="6172" w:type="dxa"/>
                  <w:tcBorders>
                    <w:tl2br w:val="nil"/>
                    <w:tr2bl w:val="nil"/>
                  </w:tcBorders>
                  <w:vAlign w:val="center"/>
                </w:tcPr>
                <w:p w14:paraId="5EC9D0A7">
                  <w:pPr>
                    <w:pStyle w:val="83"/>
                    <w:rPr>
                      <w:rFonts w:hint="default"/>
                    </w:rPr>
                  </w:pPr>
                  <w:r>
                    <w:t>测试单根纤维断裂强力、断裂伸长率，表征纤维力学强度，筛选纺丝牵伸工艺参数</w:t>
                  </w:r>
                </w:p>
              </w:tc>
            </w:tr>
            <w:tr w14:paraId="47FACE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369949B0">
                  <w:pPr>
                    <w:pStyle w:val="83"/>
                    <w:rPr>
                      <w:rFonts w:hint="default"/>
                    </w:rPr>
                  </w:pPr>
                  <w:r>
                    <w:t>条干仪</w:t>
                  </w:r>
                </w:p>
              </w:tc>
              <w:tc>
                <w:tcPr>
                  <w:tcW w:w="6172" w:type="dxa"/>
                  <w:tcBorders>
                    <w:tl2br w:val="nil"/>
                    <w:tr2bl w:val="nil"/>
                  </w:tcBorders>
                  <w:vAlign w:val="center"/>
                </w:tcPr>
                <w:p w14:paraId="31ACA9CC">
                  <w:pPr>
                    <w:pStyle w:val="83"/>
                    <w:rPr>
                      <w:rFonts w:hint="default"/>
                    </w:rPr>
                  </w:pPr>
                  <w:r>
                    <w:t>检测丝束条干均匀度、粗节、细节、毛粒，评判纺丝过程喷丝、牵伸稳定性</w:t>
                  </w:r>
                </w:p>
              </w:tc>
            </w:tr>
            <w:tr w14:paraId="539290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7BC470BB">
                  <w:pPr>
                    <w:pStyle w:val="83"/>
                    <w:rPr>
                      <w:rFonts w:hint="default"/>
                    </w:rPr>
                  </w:pPr>
                  <w:r>
                    <w:t>全自动卷缩仪</w:t>
                  </w:r>
                </w:p>
              </w:tc>
              <w:tc>
                <w:tcPr>
                  <w:tcW w:w="6172" w:type="dxa"/>
                  <w:tcBorders>
                    <w:tl2br w:val="nil"/>
                    <w:tr2bl w:val="nil"/>
                  </w:tcBorders>
                  <w:vAlign w:val="center"/>
                </w:tcPr>
                <w:p w14:paraId="3A25B4B7">
                  <w:pPr>
                    <w:pStyle w:val="83"/>
                    <w:rPr>
                      <w:rFonts w:hint="default"/>
                    </w:rPr>
                  </w:pPr>
                  <w:r>
                    <w:t>测定丝束卷曲收缩率、卷曲弹性回复率，评价弹力纤维、短纤蓬松回弹性能</w:t>
                  </w:r>
                </w:p>
              </w:tc>
            </w:tr>
            <w:tr w14:paraId="65561A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38CB896F">
                  <w:pPr>
                    <w:pStyle w:val="83"/>
                    <w:rPr>
                      <w:rFonts w:hint="default"/>
                    </w:rPr>
                  </w:pPr>
                  <w:r>
                    <w:t>电子缕纱测长仪</w:t>
                  </w:r>
                </w:p>
              </w:tc>
              <w:tc>
                <w:tcPr>
                  <w:tcW w:w="6172" w:type="dxa"/>
                  <w:tcBorders>
                    <w:tl2br w:val="nil"/>
                    <w:tr2bl w:val="nil"/>
                  </w:tcBorders>
                  <w:vAlign w:val="center"/>
                </w:tcPr>
                <w:p w14:paraId="73642E6E">
                  <w:pPr>
                    <w:pStyle w:val="83"/>
                    <w:rPr>
                      <w:rFonts w:hint="default"/>
                    </w:rPr>
                  </w:pPr>
                  <w:r>
                    <w:t>精准测量缕纱长度，配套称量计算纤维线密度（纤度、分特）</w:t>
                  </w:r>
                </w:p>
              </w:tc>
            </w:tr>
            <w:tr w14:paraId="5C9315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333A5030">
                  <w:pPr>
                    <w:pStyle w:val="83"/>
                    <w:rPr>
                      <w:rFonts w:hint="default"/>
                    </w:rPr>
                  </w:pPr>
                  <w:r>
                    <w:t>含油仪、纤维油脂快速抽取器</w:t>
                  </w:r>
                </w:p>
              </w:tc>
              <w:tc>
                <w:tcPr>
                  <w:tcW w:w="6172" w:type="dxa"/>
                  <w:tcBorders>
                    <w:tl2br w:val="nil"/>
                    <w:tr2bl w:val="nil"/>
                  </w:tcBorders>
                  <w:vAlign w:val="center"/>
                </w:tcPr>
                <w:p w14:paraId="5F22FEBA">
                  <w:pPr>
                    <w:pStyle w:val="83"/>
                    <w:rPr>
                      <w:rFonts w:hint="default"/>
                    </w:rPr>
                  </w:pPr>
                  <w:r>
                    <w:t>溶剂萃取纤维表面纺丝油剂，定量检测纤维含油率，调整纺丝机上油喷淋量</w:t>
                  </w:r>
                </w:p>
              </w:tc>
            </w:tr>
            <w:tr w14:paraId="42F69D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11B5CA48">
                  <w:pPr>
                    <w:pStyle w:val="83"/>
                    <w:rPr>
                      <w:rFonts w:hint="default"/>
                    </w:rPr>
                  </w:pPr>
                  <w:r>
                    <w:t>捻度仪</w:t>
                  </w:r>
                </w:p>
              </w:tc>
              <w:tc>
                <w:tcPr>
                  <w:tcW w:w="6172" w:type="dxa"/>
                  <w:tcBorders>
                    <w:tl2br w:val="nil"/>
                    <w:tr2bl w:val="nil"/>
                  </w:tcBorders>
                  <w:vAlign w:val="center"/>
                </w:tcPr>
                <w:p w14:paraId="061DDEBD">
                  <w:pPr>
                    <w:pStyle w:val="83"/>
                    <w:rPr>
                      <w:rFonts w:hint="default"/>
                    </w:rPr>
                  </w:pPr>
                  <w:r>
                    <w:t>测定纱线捻度、捻缩，优化加弹、加捻工艺</w:t>
                  </w:r>
                </w:p>
              </w:tc>
            </w:tr>
            <w:tr w14:paraId="4967F7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9F4C663">
                  <w:pPr>
                    <w:pStyle w:val="83"/>
                    <w:rPr>
                      <w:rFonts w:hint="default"/>
                    </w:rPr>
                  </w:pPr>
                  <w:r>
                    <w:t>残余扭矩仪</w:t>
                  </w:r>
                </w:p>
              </w:tc>
              <w:tc>
                <w:tcPr>
                  <w:tcW w:w="6172" w:type="dxa"/>
                  <w:tcBorders>
                    <w:tl2br w:val="nil"/>
                    <w:tr2bl w:val="nil"/>
                  </w:tcBorders>
                  <w:vAlign w:val="center"/>
                </w:tcPr>
                <w:p w14:paraId="0E6B6756">
                  <w:pPr>
                    <w:pStyle w:val="83"/>
                    <w:rPr>
                      <w:rFonts w:hint="default"/>
                    </w:rPr>
                  </w:pPr>
                  <w:r>
                    <w:t>测试加捻丝束残余扭转应力，预判织物起扭、起皱缺陷，调整定型工艺消除扭矩</w:t>
                  </w:r>
                </w:p>
              </w:tc>
            </w:tr>
            <w:tr w14:paraId="50AA68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348FD31B">
                  <w:pPr>
                    <w:pStyle w:val="83"/>
                    <w:rPr>
                      <w:rFonts w:hint="default"/>
                    </w:rPr>
                  </w:pPr>
                  <w:r>
                    <w:t>粘度仪</w:t>
                  </w:r>
                </w:p>
              </w:tc>
              <w:tc>
                <w:tcPr>
                  <w:tcW w:w="6172" w:type="dxa"/>
                  <w:tcBorders>
                    <w:tl2br w:val="nil"/>
                    <w:tr2bl w:val="nil"/>
                  </w:tcBorders>
                  <w:vAlign w:val="center"/>
                </w:tcPr>
                <w:p w14:paraId="0CA27D37">
                  <w:pPr>
                    <w:pStyle w:val="83"/>
                    <w:rPr>
                      <w:rFonts w:hint="default"/>
                    </w:rPr>
                  </w:pPr>
                  <w:r>
                    <w:t>测定切片特性粘度、熔体黏度，表征原料分子量，判断原料可纺性与批次稳定性</w:t>
                  </w:r>
                </w:p>
              </w:tc>
            </w:tr>
            <w:tr w14:paraId="79F29E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347C53BC">
                  <w:pPr>
                    <w:pStyle w:val="83"/>
                    <w:rPr>
                      <w:rFonts w:hint="default"/>
                    </w:rPr>
                  </w:pPr>
                  <w:r>
                    <w:t>水分仪</w:t>
                  </w:r>
                </w:p>
              </w:tc>
              <w:tc>
                <w:tcPr>
                  <w:tcW w:w="6172" w:type="dxa"/>
                  <w:tcBorders>
                    <w:tl2br w:val="nil"/>
                    <w:tr2bl w:val="nil"/>
                  </w:tcBorders>
                  <w:vAlign w:val="center"/>
                </w:tcPr>
                <w:p w14:paraId="20A52113">
                  <w:pPr>
                    <w:pStyle w:val="83"/>
                    <w:rPr>
                      <w:rFonts w:hint="default"/>
                    </w:rPr>
                  </w:pPr>
                  <w:r>
                    <w:t>快速检测切片、母粒含水率，管控原料干燥工序，避免纺丝高温水解产生断丝、气泡丝</w:t>
                  </w:r>
                </w:p>
              </w:tc>
            </w:tr>
            <w:tr w14:paraId="0F0FCA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BAC3BF5">
                  <w:pPr>
                    <w:pStyle w:val="83"/>
                    <w:rPr>
                      <w:rFonts w:hint="default"/>
                    </w:rPr>
                  </w:pPr>
                  <w:r>
                    <w:t>全自动水分灰分测试仪</w:t>
                  </w:r>
                </w:p>
              </w:tc>
              <w:tc>
                <w:tcPr>
                  <w:tcW w:w="6172" w:type="dxa"/>
                  <w:tcBorders>
                    <w:tl2br w:val="nil"/>
                    <w:tr2bl w:val="nil"/>
                  </w:tcBorders>
                  <w:vAlign w:val="center"/>
                </w:tcPr>
                <w:p w14:paraId="498504A3">
                  <w:pPr>
                    <w:pStyle w:val="83"/>
                    <w:rPr>
                      <w:rFonts w:hint="default"/>
                    </w:rPr>
                  </w:pPr>
                  <w:r>
                    <w:t>同步检测样品水分含量、灼烧后灰分占比，测算切片中无机填料、杂质添加量</w:t>
                  </w:r>
                </w:p>
              </w:tc>
            </w:tr>
            <w:tr w14:paraId="7B5B3D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BE93E57">
                  <w:pPr>
                    <w:pStyle w:val="83"/>
                    <w:rPr>
                      <w:rFonts w:hint="default"/>
                    </w:rPr>
                  </w:pPr>
                  <w:r>
                    <w:t>远红外发射率测试仪</w:t>
                  </w:r>
                </w:p>
              </w:tc>
              <w:tc>
                <w:tcPr>
                  <w:tcW w:w="6172" w:type="dxa"/>
                  <w:tcBorders>
                    <w:tl2br w:val="nil"/>
                    <w:tr2bl w:val="nil"/>
                  </w:tcBorders>
                  <w:vAlign w:val="center"/>
                </w:tcPr>
                <w:p w14:paraId="6E0971AF">
                  <w:pPr>
                    <w:pStyle w:val="83"/>
                    <w:rPr>
                      <w:rFonts w:hint="default"/>
                    </w:rPr>
                  </w:pPr>
                  <w:r>
                    <w:t>测试丝束远红外辐射发射率，评价纤维保暖理疗性能</w:t>
                  </w:r>
                </w:p>
              </w:tc>
            </w:tr>
            <w:tr w14:paraId="216267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7663E14C">
                  <w:pPr>
                    <w:pStyle w:val="83"/>
                    <w:rPr>
                      <w:rFonts w:hint="default"/>
                    </w:rPr>
                  </w:pPr>
                  <w:r>
                    <w:t>纺织品远红外辐射温升测试仪</w:t>
                  </w:r>
                </w:p>
              </w:tc>
              <w:tc>
                <w:tcPr>
                  <w:tcW w:w="6172" w:type="dxa"/>
                  <w:tcBorders>
                    <w:tl2br w:val="nil"/>
                    <w:tr2bl w:val="nil"/>
                  </w:tcBorders>
                  <w:vAlign w:val="center"/>
                </w:tcPr>
                <w:p w14:paraId="70C71AF7">
                  <w:pPr>
                    <w:pStyle w:val="83"/>
                    <w:rPr>
                      <w:rFonts w:hint="default"/>
                    </w:rPr>
                  </w:pPr>
                  <w:r>
                    <w:t>检测丝束远红外照射下升温幅度，量化远红外保暖效果</w:t>
                  </w:r>
                </w:p>
              </w:tc>
            </w:tr>
            <w:tr w14:paraId="3FAAE3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57257CA9">
                  <w:pPr>
                    <w:pStyle w:val="83"/>
                    <w:rPr>
                      <w:rFonts w:hint="default"/>
                    </w:rPr>
                  </w:pPr>
                  <w:r>
                    <w:t>纺织品光蓄热性能测试仪</w:t>
                  </w:r>
                </w:p>
              </w:tc>
              <w:tc>
                <w:tcPr>
                  <w:tcW w:w="6172" w:type="dxa"/>
                  <w:tcBorders>
                    <w:tl2br w:val="nil"/>
                    <w:tr2bl w:val="nil"/>
                  </w:tcBorders>
                  <w:vAlign w:val="center"/>
                </w:tcPr>
                <w:p w14:paraId="542C399B">
                  <w:pPr>
                    <w:pStyle w:val="83"/>
                    <w:rPr>
                      <w:rFonts w:hint="default"/>
                    </w:rPr>
                  </w:pPr>
                  <w:r>
                    <w:t>测试丝束吸收光能后蓄热、放热能力，开发蓄热保暖功能性纤维</w:t>
                  </w:r>
                </w:p>
              </w:tc>
            </w:tr>
            <w:tr w14:paraId="2A1A61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19F2DA70">
                  <w:pPr>
                    <w:pStyle w:val="83"/>
                    <w:rPr>
                      <w:rFonts w:hint="default"/>
                    </w:rPr>
                  </w:pPr>
                  <w:r>
                    <w:t>纺织品吸湿发热性能测试仪</w:t>
                  </w:r>
                </w:p>
              </w:tc>
              <w:tc>
                <w:tcPr>
                  <w:tcW w:w="6172" w:type="dxa"/>
                  <w:tcBorders>
                    <w:tl2br w:val="nil"/>
                    <w:tr2bl w:val="nil"/>
                  </w:tcBorders>
                  <w:vAlign w:val="center"/>
                </w:tcPr>
                <w:p w14:paraId="14B2CACA">
                  <w:pPr>
                    <w:pStyle w:val="83"/>
                    <w:rPr>
                      <w:rFonts w:hint="default"/>
                    </w:rPr>
                  </w:pPr>
                  <w:r>
                    <w:t>测定丝束吸湿过程放热温度变化，评价吸湿发热保暖面料性能</w:t>
                  </w:r>
                </w:p>
              </w:tc>
            </w:tr>
            <w:tr w14:paraId="1888C3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511C5015">
                  <w:pPr>
                    <w:pStyle w:val="83"/>
                    <w:rPr>
                      <w:rFonts w:hint="default"/>
                    </w:rPr>
                  </w:pPr>
                  <w:r>
                    <w:t>织物保温性能测试仪</w:t>
                  </w:r>
                </w:p>
              </w:tc>
              <w:tc>
                <w:tcPr>
                  <w:tcW w:w="6172" w:type="dxa"/>
                  <w:tcBorders>
                    <w:tl2br w:val="nil"/>
                    <w:tr2bl w:val="nil"/>
                  </w:tcBorders>
                  <w:vAlign w:val="center"/>
                </w:tcPr>
                <w:p w14:paraId="46391FE1">
                  <w:pPr>
                    <w:pStyle w:val="83"/>
                    <w:rPr>
                      <w:rFonts w:hint="default"/>
                    </w:rPr>
                  </w:pPr>
                  <w:r>
                    <w:t>检测丝束热传导、热阻，评定纤维保暖隔热能力</w:t>
                  </w:r>
                </w:p>
              </w:tc>
            </w:tr>
            <w:tr w14:paraId="00BB75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51D1E026">
                  <w:pPr>
                    <w:pStyle w:val="83"/>
                    <w:rPr>
                      <w:rFonts w:hint="default"/>
                    </w:rPr>
                  </w:pPr>
                  <w:r>
                    <w:t>纺织品水分蒸发速率测试仪</w:t>
                  </w:r>
                </w:p>
              </w:tc>
              <w:tc>
                <w:tcPr>
                  <w:tcW w:w="6172" w:type="dxa"/>
                  <w:tcBorders>
                    <w:tl2br w:val="nil"/>
                    <w:tr2bl w:val="nil"/>
                  </w:tcBorders>
                  <w:vAlign w:val="center"/>
                </w:tcPr>
                <w:p w14:paraId="7B90E559">
                  <w:pPr>
                    <w:pStyle w:val="83"/>
                    <w:rPr>
                      <w:rFonts w:hint="default"/>
                    </w:rPr>
                  </w:pPr>
                  <w:r>
                    <w:t>测试丝束表面水分挥发快慢，表征速干性能</w:t>
                  </w:r>
                </w:p>
              </w:tc>
            </w:tr>
            <w:tr w14:paraId="3F5A47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3296A3C3">
                  <w:pPr>
                    <w:pStyle w:val="83"/>
                    <w:rPr>
                      <w:rFonts w:hint="default"/>
                    </w:rPr>
                  </w:pPr>
                  <w:r>
                    <w:t>纺织品液态水分传递性能测试仪</w:t>
                  </w:r>
                </w:p>
              </w:tc>
              <w:tc>
                <w:tcPr>
                  <w:tcW w:w="6172" w:type="dxa"/>
                  <w:tcBorders>
                    <w:tl2br w:val="nil"/>
                    <w:tr2bl w:val="nil"/>
                  </w:tcBorders>
                  <w:vAlign w:val="center"/>
                </w:tcPr>
                <w:p w14:paraId="58152C88">
                  <w:pPr>
                    <w:pStyle w:val="83"/>
                    <w:rPr>
                      <w:rFonts w:hint="default"/>
                    </w:rPr>
                  </w:pPr>
                  <w:r>
                    <w:t>检测液态水在丝束内部单向/双向传导能力，开发导湿排汗纤维</w:t>
                  </w:r>
                </w:p>
              </w:tc>
            </w:tr>
            <w:tr w14:paraId="561881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57D3137">
                  <w:pPr>
                    <w:pStyle w:val="83"/>
                    <w:rPr>
                      <w:rFonts w:hint="default"/>
                    </w:rPr>
                  </w:pPr>
                  <w:r>
                    <w:t>织物透气性能测试仪</w:t>
                  </w:r>
                </w:p>
              </w:tc>
              <w:tc>
                <w:tcPr>
                  <w:tcW w:w="6172" w:type="dxa"/>
                  <w:tcBorders>
                    <w:tl2br w:val="nil"/>
                    <w:tr2bl w:val="nil"/>
                  </w:tcBorders>
                  <w:vAlign w:val="center"/>
                </w:tcPr>
                <w:p w14:paraId="2ED5AB47">
                  <w:pPr>
                    <w:pStyle w:val="83"/>
                    <w:rPr>
                      <w:rFonts w:hint="default"/>
                    </w:rPr>
                  </w:pPr>
                  <w:r>
                    <w:t>测定空气穿透织物速率，评价纤维透气舒适性能</w:t>
                  </w:r>
                </w:p>
              </w:tc>
            </w:tr>
            <w:tr w14:paraId="3CBE80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052493BB">
                  <w:pPr>
                    <w:pStyle w:val="83"/>
                    <w:rPr>
                      <w:rFonts w:hint="default"/>
                    </w:rPr>
                  </w:pPr>
                  <w:r>
                    <w:t>织物透湿量仪</w:t>
                  </w:r>
                </w:p>
              </w:tc>
              <w:tc>
                <w:tcPr>
                  <w:tcW w:w="6172" w:type="dxa"/>
                  <w:tcBorders>
                    <w:tl2br w:val="nil"/>
                    <w:tr2bl w:val="nil"/>
                  </w:tcBorders>
                  <w:vAlign w:val="center"/>
                </w:tcPr>
                <w:p w14:paraId="674427FA">
                  <w:pPr>
                    <w:pStyle w:val="83"/>
                    <w:rPr>
                      <w:rFonts w:hint="default"/>
                    </w:rPr>
                  </w:pPr>
                  <w:r>
                    <w:t>检测水蒸气穿透织物总量，表征面料透湿不闷湿能力</w:t>
                  </w:r>
                </w:p>
              </w:tc>
            </w:tr>
            <w:tr w14:paraId="0F11FB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735E4B45">
                  <w:pPr>
                    <w:pStyle w:val="83"/>
                    <w:rPr>
                      <w:rFonts w:hint="default"/>
                    </w:rPr>
                  </w:pPr>
                  <w:r>
                    <w:t>织物沾水度测定仪</w:t>
                  </w:r>
                </w:p>
              </w:tc>
              <w:tc>
                <w:tcPr>
                  <w:tcW w:w="6172" w:type="dxa"/>
                  <w:tcBorders>
                    <w:tl2br w:val="nil"/>
                    <w:tr2bl w:val="nil"/>
                  </w:tcBorders>
                  <w:vAlign w:val="center"/>
                </w:tcPr>
                <w:p w14:paraId="037A8A22">
                  <w:pPr>
                    <w:pStyle w:val="83"/>
                    <w:rPr>
                      <w:rFonts w:hint="default"/>
                    </w:rPr>
                  </w:pPr>
                  <w:r>
                    <w:t>测试丝束表面拒水、亲水等级</w:t>
                  </w:r>
                </w:p>
              </w:tc>
            </w:tr>
            <w:tr w14:paraId="7E82C6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3FF457A2">
                  <w:pPr>
                    <w:pStyle w:val="83"/>
                    <w:rPr>
                      <w:rFonts w:hint="default"/>
                    </w:rPr>
                  </w:pPr>
                  <w:r>
                    <w:t>织物感应式静电测定仪</w:t>
                  </w:r>
                </w:p>
              </w:tc>
              <w:tc>
                <w:tcPr>
                  <w:tcW w:w="6172" w:type="dxa"/>
                  <w:tcBorders>
                    <w:tl2br w:val="nil"/>
                    <w:tr2bl w:val="nil"/>
                  </w:tcBorders>
                  <w:vAlign w:val="center"/>
                </w:tcPr>
                <w:p w14:paraId="1BD2BBFE">
                  <w:pPr>
                    <w:pStyle w:val="83"/>
                    <w:rPr>
                      <w:rFonts w:hint="default"/>
                    </w:rPr>
                  </w:pPr>
                  <w:r>
                    <w:t>测试丝束静电衰减半衰期，评价抗静电纤维消除静电能力</w:t>
                  </w:r>
                </w:p>
              </w:tc>
            </w:tr>
            <w:tr w14:paraId="2209FE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7A043F68">
                  <w:pPr>
                    <w:pStyle w:val="83"/>
                    <w:rPr>
                      <w:rFonts w:hint="default"/>
                    </w:rPr>
                  </w:pPr>
                  <w:r>
                    <w:t>织物电阻率测试仪</w:t>
                  </w:r>
                </w:p>
              </w:tc>
              <w:tc>
                <w:tcPr>
                  <w:tcW w:w="6172" w:type="dxa"/>
                  <w:tcBorders>
                    <w:tl2br w:val="nil"/>
                    <w:tr2bl w:val="nil"/>
                  </w:tcBorders>
                  <w:vAlign w:val="center"/>
                </w:tcPr>
                <w:p w14:paraId="10016EF2">
                  <w:pPr>
                    <w:pStyle w:val="83"/>
                    <w:rPr>
                      <w:rFonts w:hint="default"/>
                    </w:rPr>
                  </w:pPr>
                  <w:r>
                    <w:t>测定纤维表面/体积电阻，表征导电、防静电改性效果</w:t>
                  </w:r>
                </w:p>
              </w:tc>
            </w:tr>
            <w:tr w14:paraId="11D10D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747A0941">
                  <w:pPr>
                    <w:pStyle w:val="83"/>
                    <w:rPr>
                      <w:rFonts w:hint="default"/>
                    </w:rPr>
                  </w:pPr>
                  <w:r>
                    <w:t>织物摩擦电荷量测试仪</w:t>
                  </w:r>
                </w:p>
              </w:tc>
              <w:tc>
                <w:tcPr>
                  <w:tcW w:w="6172" w:type="dxa"/>
                  <w:tcBorders>
                    <w:tl2br w:val="nil"/>
                    <w:tr2bl w:val="nil"/>
                  </w:tcBorders>
                  <w:vAlign w:val="center"/>
                </w:tcPr>
                <w:p w14:paraId="08C1E73F">
                  <w:pPr>
                    <w:pStyle w:val="83"/>
                    <w:rPr>
                      <w:rFonts w:hint="default"/>
                    </w:rPr>
                  </w:pPr>
                  <w:r>
                    <w:t>检测丝束摩擦产生静电电荷量，评判静电起毛、吸附灰尘风险</w:t>
                  </w:r>
                </w:p>
              </w:tc>
            </w:tr>
            <w:tr w14:paraId="2C916A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1BF6B815">
                  <w:pPr>
                    <w:pStyle w:val="83"/>
                    <w:rPr>
                      <w:rFonts w:hint="default"/>
                    </w:rPr>
                  </w:pPr>
                  <w:r>
                    <w:t>织物防电磁辐射性能测试仪</w:t>
                  </w:r>
                </w:p>
              </w:tc>
              <w:tc>
                <w:tcPr>
                  <w:tcW w:w="6172" w:type="dxa"/>
                  <w:tcBorders>
                    <w:tl2br w:val="nil"/>
                    <w:tr2bl w:val="nil"/>
                  </w:tcBorders>
                  <w:vAlign w:val="center"/>
                </w:tcPr>
                <w:p w14:paraId="6300B0F4">
                  <w:pPr>
                    <w:pStyle w:val="83"/>
                    <w:rPr>
                      <w:rFonts w:hint="default"/>
                    </w:rPr>
                  </w:pPr>
                  <w:r>
                    <w:t>测试织物电磁屏蔽衰减率，开发防电磁辐射功能性纤维</w:t>
                  </w:r>
                </w:p>
              </w:tc>
            </w:tr>
            <w:tr w14:paraId="66C514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1B8B64A">
                  <w:pPr>
                    <w:pStyle w:val="83"/>
                    <w:rPr>
                      <w:rFonts w:hint="default"/>
                    </w:rPr>
                  </w:pPr>
                  <w:r>
                    <w:t>马丁代尔耐磨仪</w:t>
                  </w:r>
                </w:p>
              </w:tc>
              <w:tc>
                <w:tcPr>
                  <w:tcW w:w="6172" w:type="dxa"/>
                  <w:tcBorders>
                    <w:tl2br w:val="nil"/>
                    <w:tr2bl w:val="nil"/>
                  </w:tcBorders>
                  <w:vAlign w:val="center"/>
                </w:tcPr>
                <w:p w14:paraId="063628BA">
                  <w:pPr>
                    <w:pStyle w:val="83"/>
                    <w:rPr>
                      <w:rFonts w:hint="default"/>
                    </w:rPr>
                  </w:pPr>
                  <w:r>
                    <w:t>往复摩擦织物试样，测定耐磨次数，评价纤维耐磨耐用性能</w:t>
                  </w:r>
                </w:p>
              </w:tc>
            </w:tr>
            <w:tr w14:paraId="7A06AF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319D3930">
                  <w:pPr>
                    <w:pStyle w:val="83"/>
                    <w:rPr>
                      <w:rFonts w:hint="default"/>
                    </w:rPr>
                  </w:pPr>
                  <w:r>
                    <w:t>织物阻燃性能测试仪</w:t>
                  </w:r>
                </w:p>
              </w:tc>
              <w:tc>
                <w:tcPr>
                  <w:tcW w:w="6172" w:type="dxa"/>
                  <w:tcBorders>
                    <w:tl2br w:val="nil"/>
                    <w:tr2bl w:val="nil"/>
                  </w:tcBorders>
                  <w:vAlign w:val="center"/>
                </w:tcPr>
                <w:p w14:paraId="77A7C392">
                  <w:pPr>
                    <w:pStyle w:val="83"/>
                    <w:rPr>
                      <w:rFonts w:hint="default"/>
                    </w:rPr>
                  </w:pPr>
                  <w:r>
                    <w:t>分45°/水平/垂直三种标准工况测试织物续燃、阴燃时间、损毁长度，检测阻燃纤维阻燃等级</w:t>
                  </w:r>
                </w:p>
              </w:tc>
            </w:tr>
            <w:tr w14:paraId="233991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6D9222F5">
                  <w:pPr>
                    <w:pStyle w:val="83"/>
                    <w:rPr>
                      <w:rFonts w:hint="default"/>
                    </w:rPr>
                  </w:pPr>
                  <w:r>
                    <w:t>抗紫外性能测试仪</w:t>
                  </w:r>
                </w:p>
              </w:tc>
              <w:tc>
                <w:tcPr>
                  <w:tcW w:w="6172" w:type="dxa"/>
                  <w:tcBorders>
                    <w:tl2br w:val="nil"/>
                    <w:tr2bl w:val="nil"/>
                  </w:tcBorders>
                  <w:vAlign w:val="center"/>
                </w:tcPr>
                <w:p w14:paraId="1A53FDBA">
                  <w:pPr>
                    <w:pStyle w:val="83"/>
                    <w:rPr>
                      <w:rFonts w:hint="default"/>
                    </w:rPr>
                  </w:pPr>
                  <w:r>
                    <w:t>检测织物紫外线透过率，计算防护指数，开发防晒功能性纤维</w:t>
                  </w:r>
                </w:p>
              </w:tc>
            </w:tr>
            <w:tr w14:paraId="72F442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16" w:type="dxa"/>
                  <w:tcBorders>
                    <w:tl2br w:val="nil"/>
                    <w:tr2bl w:val="nil"/>
                  </w:tcBorders>
                  <w:vAlign w:val="center"/>
                </w:tcPr>
                <w:p w14:paraId="729484C8">
                  <w:pPr>
                    <w:pStyle w:val="83"/>
                    <w:rPr>
                      <w:rFonts w:hint="default"/>
                    </w:rPr>
                  </w:pPr>
                  <w:r>
                    <w:t>织物凉感性能测试仪</w:t>
                  </w:r>
                </w:p>
              </w:tc>
              <w:tc>
                <w:tcPr>
                  <w:tcW w:w="6172" w:type="dxa"/>
                  <w:tcBorders>
                    <w:tl2br w:val="nil"/>
                    <w:tr2bl w:val="nil"/>
                  </w:tcBorders>
                  <w:vAlign w:val="center"/>
                </w:tcPr>
                <w:p w14:paraId="46B6EECE">
                  <w:pPr>
                    <w:pStyle w:val="83"/>
                    <w:rPr>
                      <w:rFonts w:hint="default"/>
                    </w:rPr>
                  </w:pPr>
                  <w:r>
                    <w:t>测试织物接触瞬间凉感系数，研发凉感冰丝类时尚服饰纤维</w:t>
                  </w:r>
                </w:p>
              </w:tc>
            </w:tr>
          </w:tbl>
          <w:p w14:paraId="1FA092A3">
            <w:pPr>
              <w:pStyle w:val="4"/>
              <w:spacing w:before="120" w:after="0" w:afterLines="0"/>
            </w:pPr>
            <w:r>
              <w:rPr>
                <w:rFonts w:hint="eastAsia"/>
              </w:rPr>
              <w:t>2.2.2 产污环节</w:t>
            </w:r>
          </w:p>
          <w:p w14:paraId="6E264B0F">
            <w:pPr>
              <w:ind w:firstLine="480"/>
            </w:pPr>
            <w:r>
              <w:rPr>
                <w:rFonts w:hint="eastAsia"/>
              </w:rPr>
              <w:t>项目产污情况见表2.2-1。</w:t>
            </w:r>
          </w:p>
          <w:p w14:paraId="4E1A621A">
            <w:pPr>
              <w:pStyle w:val="13"/>
            </w:pPr>
            <w:r>
              <w:rPr>
                <w:rFonts w:hint="eastAsia"/>
              </w:rPr>
              <w:t>表2.2-1  项目产污情况一览表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96"/>
              <w:gridCol w:w="1750"/>
              <w:gridCol w:w="5105"/>
            </w:tblGrid>
            <w:tr w14:paraId="3B42A3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9" w:type="pct"/>
                  <w:gridSpan w:val="2"/>
                  <w:vAlign w:val="center"/>
                </w:tcPr>
                <w:p w14:paraId="65326FC3">
                  <w:pPr>
                    <w:pStyle w:val="83"/>
                    <w:rPr>
                      <w:rFonts w:hint="default"/>
                    </w:rPr>
                  </w:pPr>
                  <w:r>
                    <w:t>产污工序</w:t>
                  </w:r>
                </w:p>
              </w:tc>
              <w:tc>
                <w:tcPr>
                  <w:tcW w:w="3020" w:type="pct"/>
                  <w:vAlign w:val="center"/>
                </w:tcPr>
                <w:p w14:paraId="5AF67064">
                  <w:pPr>
                    <w:pStyle w:val="83"/>
                    <w:rPr>
                      <w:rFonts w:hint="default"/>
                    </w:rPr>
                  </w:pPr>
                  <w:r>
                    <w:t>主要污染因子</w:t>
                  </w:r>
                </w:p>
              </w:tc>
            </w:tr>
            <w:tr w14:paraId="41873E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restart"/>
                  <w:vAlign w:val="center"/>
                </w:tcPr>
                <w:p w14:paraId="0682FEDC">
                  <w:pPr>
                    <w:pStyle w:val="83"/>
                    <w:rPr>
                      <w:rFonts w:hint="default"/>
                    </w:rPr>
                  </w:pPr>
                  <w:r>
                    <w:t>FDY/POY锦纶长丝制造</w:t>
                  </w:r>
                </w:p>
              </w:tc>
              <w:tc>
                <w:tcPr>
                  <w:tcW w:w="1034" w:type="pct"/>
                  <w:vAlign w:val="center"/>
                </w:tcPr>
                <w:p w14:paraId="6A77F4FE">
                  <w:pPr>
                    <w:pStyle w:val="83"/>
                    <w:rPr>
                      <w:rFonts w:hint="default"/>
                    </w:rPr>
                  </w:pPr>
                  <w:r>
                    <w:t>纺丝工序</w:t>
                  </w:r>
                </w:p>
              </w:tc>
              <w:tc>
                <w:tcPr>
                  <w:tcW w:w="3020" w:type="pct"/>
                  <w:vAlign w:val="center"/>
                </w:tcPr>
                <w:p w14:paraId="16FEA186">
                  <w:pPr>
                    <w:pStyle w:val="83"/>
                    <w:rPr>
                      <w:rFonts w:hint="default"/>
                    </w:rPr>
                  </w:pPr>
                  <w:r>
                    <w:t>设备噪声、锦纶废丝</w:t>
                  </w:r>
                </w:p>
              </w:tc>
            </w:tr>
            <w:tr w14:paraId="4B9162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7C7DAC52">
                  <w:pPr>
                    <w:pStyle w:val="83"/>
                    <w:rPr>
                      <w:rFonts w:hint="default"/>
                    </w:rPr>
                  </w:pPr>
                </w:p>
              </w:tc>
              <w:tc>
                <w:tcPr>
                  <w:tcW w:w="1034" w:type="pct"/>
                  <w:vAlign w:val="center"/>
                </w:tcPr>
                <w:p w14:paraId="7C48CEAE">
                  <w:pPr>
                    <w:pStyle w:val="83"/>
                    <w:rPr>
                      <w:rFonts w:hint="default"/>
                    </w:rPr>
                  </w:pPr>
                  <w:r>
                    <w:t>上油工序</w:t>
                  </w:r>
                </w:p>
              </w:tc>
              <w:tc>
                <w:tcPr>
                  <w:tcW w:w="3020" w:type="pct"/>
                  <w:vAlign w:val="center"/>
                </w:tcPr>
                <w:p w14:paraId="102DE406">
                  <w:pPr>
                    <w:pStyle w:val="83"/>
                    <w:rPr>
                      <w:rFonts w:hint="default"/>
                    </w:rPr>
                  </w:pPr>
                  <w:r>
                    <w:t>油剂废气</w:t>
                  </w:r>
                </w:p>
              </w:tc>
            </w:tr>
            <w:tr w14:paraId="4930EA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237F2AD8">
                  <w:pPr>
                    <w:pStyle w:val="83"/>
                    <w:rPr>
                      <w:rFonts w:hint="default"/>
                    </w:rPr>
                  </w:pPr>
                </w:p>
              </w:tc>
              <w:tc>
                <w:tcPr>
                  <w:tcW w:w="1034" w:type="pct"/>
                  <w:vAlign w:val="center"/>
                </w:tcPr>
                <w:p w14:paraId="609B75F6">
                  <w:pPr>
                    <w:pStyle w:val="83"/>
                    <w:rPr>
                      <w:rFonts w:hint="default"/>
                    </w:rPr>
                  </w:pPr>
                  <w:r>
                    <w:t>单体抽吸</w:t>
                  </w:r>
                </w:p>
              </w:tc>
              <w:tc>
                <w:tcPr>
                  <w:tcW w:w="3020" w:type="pct"/>
                  <w:vAlign w:val="center"/>
                </w:tcPr>
                <w:p w14:paraId="470941DF">
                  <w:pPr>
                    <w:pStyle w:val="83"/>
                    <w:rPr>
                      <w:rFonts w:hint="default"/>
                    </w:rPr>
                  </w:pPr>
                  <w:r>
                    <w:t>单体抽吸废气、设备噪声</w:t>
                  </w:r>
                </w:p>
              </w:tc>
            </w:tr>
            <w:tr w14:paraId="0ABC80E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74972B61">
                  <w:pPr>
                    <w:pStyle w:val="83"/>
                    <w:rPr>
                      <w:rFonts w:hint="default"/>
                    </w:rPr>
                  </w:pPr>
                </w:p>
              </w:tc>
              <w:tc>
                <w:tcPr>
                  <w:tcW w:w="1034" w:type="pct"/>
                  <w:vAlign w:val="center"/>
                </w:tcPr>
                <w:p w14:paraId="666826CA">
                  <w:pPr>
                    <w:pStyle w:val="83"/>
                    <w:rPr>
                      <w:rFonts w:hint="default"/>
                    </w:rPr>
                  </w:pPr>
                  <w:r>
                    <w:t>卷绕</w:t>
                  </w:r>
                </w:p>
              </w:tc>
              <w:tc>
                <w:tcPr>
                  <w:tcW w:w="3020" w:type="pct"/>
                  <w:vAlign w:val="center"/>
                </w:tcPr>
                <w:p w14:paraId="44A50BA5">
                  <w:pPr>
                    <w:pStyle w:val="83"/>
                    <w:rPr>
                      <w:rFonts w:hint="default"/>
                    </w:rPr>
                  </w:pPr>
                  <w:r>
                    <w:t>设备噪声、锦纶废丝</w:t>
                  </w:r>
                </w:p>
              </w:tc>
            </w:tr>
            <w:tr w14:paraId="10334A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7CA8D33C">
                  <w:pPr>
                    <w:pStyle w:val="83"/>
                    <w:rPr>
                      <w:rFonts w:hint="default"/>
                    </w:rPr>
                  </w:pPr>
                </w:p>
              </w:tc>
              <w:tc>
                <w:tcPr>
                  <w:tcW w:w="1034" w:type="pct"/>
                  <w:vAlign w:val="center"/>
                </w:tcPr>
                <w:p w14:paraId="73BC9809">
                  <w:pPr>
                    <w:pStyle w:val="83"/>
                    <w:rPr>
                      <w:rFonts w:hint="default"/>
                    </w:rPr>
                  </w:pPr>
                  <w:r>
                    <w:t>包装</w:t>
                  </w:r>
                </w:p>
              </w:tc>
              <w:tc>
                <w:tcPr>
                  <w:tcW w:w="3020" w:type="pct"/>
                  <w:vAlign w:val="center"/>
                </w:tcPr>
                <w:p w14:paraId="25217932">
                  <w:pPr>
                    <w:pStyle w:val="83"/>
                    <w:rPr>
                      <w:rFonts w:hint="default"/>
                    </w:rPr>
                  </w:pPr>
                  <w:r>
                    <w:t>废包装材料</w:t>
                  </w:r>
                </w:p>
              </w:tc>
            </w:tr>
            <w:tr w14:paraId="62B6A7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1AC1F52D">
                  <w:pPr>
                    <w:pStyle w:val="83"/>
                    <w:rPr>
                      <w:rFonts w:hint="default"/>
                    </w:rPr>
                  </w:pPr>
                </w:p>
              </w:tc>
              <w:tc>
                <w:tcPr>
                  <w:tcW w:w="1034" w:type="pct"/>
                  <w:vAlign w:val="center"/>
                </w:tcPr>
                <w:p w14:paraId="1DE78329">
                  <w:pPr>
                    <w:pStyle w:val="83"/>
                    <w:rPr>
                      <w:rFonts w:hint="default"/>
                    </w:rPr>
                  </w:pPr>
                  <w:r>
                    <w:t>组件清洗</w:t>
                  </w:r>
                </w:p>
              </w:tc>
              <w:tc>
                <w:tcPr>
                  <w:tcW w:w="3020" w:type="pct"/>
                  <w:vAlign w:val="center"/>
                </w:tcPr>
                <w:p w14:paraId="559F7E21">
                  <w:pPr>
                    <w:pStyle w:val="83"/>
                    <w:rPr>
                      <w:rFonts w:hint="default"/>
                    </w:rPr>
                  </w:pPr>
                  <w:r>
                    <w:t>煅烧废气、设备噪声、组件清洗废水</w:t>
                  </w:r>
                </w:p>
              </w:tc>
            </w:tr>
            <w:tr w14:paraId="400350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restart"/>
                  <w:vAlign w:val="center"/>
                </w:tcPr>
                <w:p w14:paraId="144C9DED">
                  <w:pPr>
                    <w:pStyle w:val="83"/>
                    <w:rPr>
                      <w:rFonts w:hint="default"/>
                    </w:rPr>
                  </w:pPr>
                  <w:r>
                    <w:t>再生切片、脱模母粒制造</w:t>
                  </w:r>
                </w:p>
              </w:tc>
              <w:tc>
                <w:tcPr>
                  <w:tcW w:w="1034" w:type="pct"/>
                  <w:vAlign w:val="center"/>
                </w:tcPr>
                <w:p w14:paraId="5A535866">
                  <w:pPr>
                    <w:pStyle w:val="83"/>
                    <w:rPr>
                      <w:rFonts w:hint="default"/>
                    </w:rPr>
                  </w:pPr>
                  <w:r>
                    <w:t>原料分拣</w:t>
                  </w:r>
                </w:p>
              </w:tc>
              <w:tc>
                <w:tcPr>
                  <w:tcW w:w="3020" w:type="pct"/>
                  <w:vAlign w:val="center"/>
                </w:tcPr>
                <w:p w14:paraId="4A732FF3">
                  <w:pPr>
                    <w:pStyle w:val="83"/>
                    <w:rPr>
                      <w:rFonts w:hint="default"/>
                    </w:rPr>
                  </w:pPr>
                  <w:r>
                    <w:t>不合格原料、废包装材料</w:t>
                  </w:r>
                </w:p>
              </w:tc>
            </w:tr>
            <w:tr w14:paraId="369177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5A34F6F3">
                  <w:pPr>
                    <w:pStyle w:val="83"/>
                    <w:rPr>
                      <w:rFonts w:hint="default"/>
                    </w:rPr>
                  </w:pPr>
                </w:p>
              </w:tc>
              <w:tc>
                <w:tcPr>
                  <w:tcW w:w="1034" w:type="pct"/>
                  <w:vAlign w:val="center"/>
                </w:tcPr>
                <w:p w14:paraId="3CF2B30D">
                  <w:pPr>
                    <w:pStyle w:val="83"/>
                    <w:rPr>
                      <w:rFonts w:hint="default"/>
                    </w:rPr>
                  </w:pPr>
                  <w:r>
                    <w:t>熔融挤出</w:t>
                  </w:r>
                </w:p>
              </w:tc>
              <w:tc>
                <w:tcPr>
                  <w:tcW w:w="3020" w:type="pct"/>
                  <w:vAlign w:val="center"/>
                </w:tcPr>
                <w:p w14:paraId="45CBCD58">
                  <w:pPr>
                    <w:pStyle w:val="83"/>
                    <w:rPr>
                      <w:rFonts w:hint="default"/>
                    </w:rPr>
                  </w:pPr>
                  <w:r>
                    <w:t>熔融废气</w:t>
                  </w:r>
                </w:p>
              </w:tc>
            </w:tr>
            <w:tr w14:paraId="0D24E0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05AAA404">
                  <w:pPr>
                    <w:pStyle w:val="83"/>
                    <w:rPr>
                      <w:rFonts w:hint="default"/>
                    </w:rPr>
                  </w:pPr>
                </w:p>
              </w:tc>
              <w:tc>
                <w:tcPr>
                  <w:tcW w:w="1034" w:type="pct"/>
                  <w:vAlign w:val="center"/>
                </w:tcPr>
                <w:p w14:paraId="7E62DC94">
                  <w:pPr>
                    <w:pStyle w:val="83"/>
                    <w:rPr>
                      <w:rFonts w:hint="default"/>
                    </w:rPr>
                  </w:pPr>
                  <w:r>
                    <w:t>冷却固化</w:t>
                  </w:r>
                </w:p>
              </w:tc>
              <w:tc>
                <w:tcPr>
                  <w:tcW w:w="3020" w:type="pct"/>
                  <w:vAlign w:val="center"/>
                </w:tcPr>
                <w:p w14:paraId="31B523A3">
                  <w:pPr>
                    <w:pStyle w:val="83"/>
                    <w:rPr>
                      <w:rFonts w:hint="default"/>
                    </w:rPr>
                  </w:pPr>
                  <w:r>
                    <w:t>切粒冷却废水</w:t>
                  </w:r>
                </w:p>
              </w:tc>
            </w:tr>
            <w:tr w14:paraId="7B2ED6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5AB5647D">
                  <w:pPr>
                    <w:pStyle w:val="83"/>
                    <w:rPr>
                      <w:rFonts w:hint="default"/>
                    </w:rPr>
                  </w:pPr>
                </w:p>
              </w:tc>
              <w:tc>
                <w:tcPr>
                  <w:tcW w:w="1034" w:type="pct"/>
                  <w:vAlign w:val="center"/>
                </w:tcPr>
                <w:p w14:paraId="7BDCE799">
                  <w:pPr>
                    <w:pStyle w:val="83"/>
                    <w:rPr>
                      <w:rFonts w:hint="default"/>
                    </w:rPr>
                  </w:pPr>
                  <w:r>
                    <w:t>切粒筛分</w:t>
                  </w:r>
                </w:p>
              </w:tc>
              <w:tc>
                <w:tcPr>
                  <w:tcW w:w="3020" w:type="pct"/>
                  <w:vAlign w:val="center"/>
                </w:tcPr>
                <w:p w14:paraId="64ADD0C4">
                  <w:pPr>
                    <w:pStyle w:val="83"/>
                    <w:rPr>
                      <w:rFonts w:hint="default"/>
                    </w:rPr>
                  </w:pPr>
                  <w:r>
                    <w:t>设备噪声、切粒粉尘</w:t>
                  </w:r>
                </w:p>
              </w:tc>
            </w:tr>
            <w:tr w14:paraId="38EE1F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44" w:type="pct"/>
                  <w:vMerge w:val="continue"/>
                  <w:vAlign w:val="center"/>
                </w:tcPr>
                <w:p w14:paraId="4EE8E564">
                  <w:pPr>
                    <w:pStyle w:val="83"/>
                    <w:rPr>
                      <w:rFonts w:hint="default"/>
                    </w:rPr>
                  </w:pPr>
                </w:p>
              </w:tc>
              <w:tc>
                <w:tcPr>
                  <w:tcW w:w="1034" w:type="pct"/>
                  <w:vAlign w:val="center"/>
                </w:tcPr>
                <w:p w14:paraId="57B4F9FB">
                  <w:pPr>
                    <w:pStyle w:val="83"/>
                    <w:rPr>
                      <w:rFonts w:hint="default"/>
                    </w:rPr>
                  </w:pPr>
                  <w:r>
                    <w:t>除湿干燥</w:t>
                  </w:r>
                </w:p>
              </w:tc>
              <w:tc>
                <w:tcPr>
                  <w:tcW w:w="3020" w:type="pct"/>
                  <w:vAlign w:val="center"/>
                </w:tcPr>
                <w:p w14:paraId="54E6E50E">
                  <w:pPr>
                    <w:pStyle w:val="83"/>
                    <w:rPr>
                      <w:rFonts w:hint="default"/>
                    </w:rPr>
                  </w:pPr>
                  <w:r>
                    <w:t>设备噪声、干燥冷凝水</w:t>
                  </w:r>
                </w:p>
              </w:tc>
            </w:tr>
            <w:tr w14:paraId="05232C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9" w:type="pct"/>
                  <w:gridSpan w:val="2"/>
                  <w:vAlign w:val="center"/>
                </w:tcPr>
                <w:p w14:paraId="2249D3C1">
                  <w:pPr>
                    <w:pStyle w:val="83"/>
                    <w:rPr>
                      <w:rFonts w:hint="default"/>
                    </w:rPr>
                  </w:pPr>
                  <w:r>
                    <w:t>研发、测试</w:t>
                  </w:r>
                </w:p>
              </w:tc>
              <w:tc>
                <w:tcPr>
                  <w:tcW w:w="3020" w:type="pct"/>
                  <w:vAlign w:val="center"/>
                </w:tcPr>
                <w:p w14:paraId="054D64DD">
                  <w:pPr>
                    <w:pStyle w:val="83"/>
                    <w:rPr>
                      <w:rFonts w:hint="default"/>
                    </w:rPr>
                  </w:pPr>
                  <w:r>
                    <w:t>废弃边角料、研发设备排水、实验废液、废试剂瓶、器皿清洗废水、实验室废气、研发废气</w:t>
                  </w:r>
                </w:p>
              </w:tc>
            </w:tr>
            <w:tr w14:paraId="480592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9" w:type="pct"/>
                  <w:gridSpan w:val="2"/>
                  <w:vAlign w:val="center"/>
                </w:tcPr>
                <w:p w14:paraId="31669043">
                  <w:pPr>
                    <w:pStyle w:val="83"/>
                    <w:rPr>
                      <w:rFonts w:hint="default"/>
                    </w:rPr>
                  </w:pPr>
                  <w:r>
                    <w:t>废气处理</w:t>
                  </w:r>
                </w:p>
              </w:tc>
              <w:tc>
                <w:tcPr>
                  <w:tcW w:w="3020" w:type="pct"/>
                  <w:vAlign w:val="center"/>
                </w:tcPr>
                <w:p w14:paraId="46B92678">
                  <w:pPr>
                    <w:pStyle w:val="83"/>
                    <w:rPr>
                      <w:rFonts w:hint="default"/>
                    </w:rPr>
                  </w:pPr>
                  <w:r>
                    <w:t>废油剂、喷淋废水、废活性炭</w:t>
                  </w:r>
                </w:p>
              </w:tc>
            </w:tr>
            <w:tr w14:paraId="114C75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9" w:type="pct"/>
                  <w:gridSpan w:val="2"/>
                  <w:vAlign w:val="center"/>
                </w:tcPr>
                <w:p w14:paraId="18C0C901">
                  <w:pPr>
                    <w:pStyle w:val="83"/>
                    <w:rPr>
                      <w:rFonts w:hint="default"/>
                    </w:rPr>
                  </w:pPr>
                  <w:r>
                    <w:t>其他</w:t>
                  </w:r>
                </w:p>
              </w:tc>
              <w:tc>
                <w:tcPr>
                  <w:tcW w:w="3020" w:type="pct"/>
                  <w:vAlign w:val="center"/>
                </w:tcPr>
                <w:p w14:paraId="36EBDB65">
                  <w:pPr>
                    <w:pStyle w:val="83"/>
                    <w:rPr>
                      <w:rFonts w:hint="default"/>
                    </w:rPr>
                  </w:pPr>
                  <w:r>
                    <w:t>车间清洗废水、空调加湿系统排水、废离子交换树脂、废RO膜</w:t>
                  </w:r>
                </w:p>
              </w:tc>
            </w:tr>
            <w:tr w14:paraId="1B070A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9" w:type="pct"/>
                  <w:gridSpan w:val="2"/>
                  <w:vAlign w:val="center"/>
                </w:tcPr>
                <w:p w14:paraId="3D4D37B6">
                  <w:pPr>
                    <w:pStyle w:val="83"/>
                    <w:rPr>
                      <w:rFonts w:hint="default"/>
                    </w:rPr>
                  </w:pPr>
                  <w:r>
                    <w:t>职工生活</w:t>
                  </w:r>
                </w:p>
              </w:tc>
              <w:tc>
                <w:tcPr>
                  <w:tcW w:w="3020" w:type="pct"/>
                  <w:vAlign w:val="center"/>
                </w:tcPr>
                <w:p w14:paraId="565F2479">
                  <w:pPr>
                    <w:pStyle w:val="83"/>
                    <w:rPr>
                      <w:rFonts w:hint="default"/>
                    </w:rPr>
                  </w:pPr>
                  <w:r>
                    <w:t>生活垃圾、生活污水</w:t>
                  </w:r>
                </w:p>
              </w:tc>
            </w:tr>
          </w:tbl>
          <w:p w14:paraId="78212059">
            <w:pPr>
              <w:pStyle w:val="13"/>
            </w:pPr>
          </w:p>
        </w:tc>
      </w:tr>
    </w:tbl>
    <w:p w14:paraId="02BCBBA9">
      <w:pPr>
        <w:ind w:firstLine="480"/>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tbl>
      <w:tblPr>
        <w:tblStyle w:val="17"/>
        <w:tblpPr w:leftFromText="180" w:rightFromText="180" w:vertAnchor="text" w:tblpXSpec="center" w:tblpY="1"/>
        <w:tblOverlap w:val="never"/>
        <w:tblW w:w="5071"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57" w:type="dxa"/>
          <w:left w:w="57" w:type="dxa"/>
          <w:bottom w:w="57" w:type="dxa"/>
          <w:right w:w="57" w:type="dxa"/>
        </w:tblCellMar>
      </w:tblPr>
      <w:tblGrid>
        <w:gridCol w:w="483"/>
        <w:gridCol w:w="20331"/>
      </w:tblGrid>
      <w:tr w14:paraId="38422C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2819" w:hRule="atLeast"/>
        </w:trPr>
        <w:tc>
          <w:tcPr>
            <w:tcW w:w="116" w:type="pct"/>
            <w:vAlign w:val="center"/>
          </w:tcPr>
          <w:p w14:paraId="1D77E6D0">
            <w:pPr>
              <w:pStyle w:val="14"/>
              <w:adjustRightInd w:val="0"/>
              <w:snapToGrid w:val="0"/>
              <w:spacing w:before="0" w:beforeAutospacing="0" w:after="0" w:afterAutospacing="0"/>
              <w:ind w:firstLine="0" w:firstLineChars="0"/>
              <w:jc w:val="center"/>
              <w:rPr>
                <w:rFonts w:hint="eastAsia" w:cs="宋体"/>
                <w:sz w:val="21"/>
                <w:szCs w:val="21"/>
              </w:rPr>
            </w:pPr>
            <w:r>
              <w:rPr>
                <w:rFonts w:hint="eastAsia" w:cs="宋体"/>
                <w:bCs/>
                <w:kern w:val="2"/>
                <w:sz w:val="21"/>
                <w:szCs w:val="21"/>
              </w:rPr>
              <w:t>与项目有关的原有环境污染问题</w:t>
            </w:r>
          </w:p>
        </w:tc>
        <w:tc>
          <w:tcPr>
            <w:tcW w:w="4884" w:type="pct"/>
          </w:tcPr>
          <w:p w14:paraId="1BDE77AF">
            <w:pPr>
              <w:pStyle w:val="3"/>
              <w:spacing w:before="120" w:after="0" w:afterLines="0"/>
            </w:pPr>
            <w:r>
              <w:rPr>
                <w:rFonts w:hint="eastAsia"/>
              </w:rPr>
              <w:t>2.3 现有工程概况</w:t>
            </w:r>
          </w:p>
          <w:p w14:paraId="40A22EF2">
            <w:pPr>
              <w:pStyle w:val="4"/>
              <w:spacing w:before="120" w:after="0" w:afterLines="0"/>
            </w:pPr>
            <w:r>
              <w:rPr>
                <w:rFonts w:hint="eastAsia"/>
              </w:rPr>
              <w:t>2.3.1 现有工程主要建设内容</w:t>
            </w:r>
          </w:p>
          <w:p w14:paraId="28EFC080">
            <w:pPr>
              <w:pStyle w:val="13"/>
            </w:pPr>
            <w:r>
              <w:rPr>
                <w:rFonts w:hint="eastAsia"/>
              </w:rPr>
              <w:t>表2.3-1现有工程主要建设内容一览表</w:t>
            </w:r>
          </w:p>
          <w:tbl>
            <w:tblPr>
              <w:tblStyle w:val="17"/>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396"/>
              <w:gridCol w:w="710"/>
              <w:gridCol w:w="1931"/>
              <w:gridCol w:w="2359"/>
              <w:gridCol w:w="1713"/>
              <w:gridCol w:w="1641"/>
              <w:gridCol w:w="2223"/>
              <w:gridCol w:w="1500"/>
              <w:gridCol w:w="1718"/>
              <w:gridCol w:w="2029"/>
              <w:gridCol w:w="1940"/>
              <w:gridCol w:w="2049"/>
            </w:tblGrid>
            <w:tr w14:paraId="66A0D1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273" w:type="pct"/>
                  <w:gridSpan w:val="2"/>
                  <w:vAlign w:val="center"/>
                </w:tcPr>
                <w:p w14:paraId="10B8A606">
                  <w:pPr>
                    <w:pStyle w:val="83"/>
                    <w:rPr>
                      <w:rFonts w:hint="default"/>
                      <w:sz w:val="18"/>
                      <w:szCs w:val="18"/>
                    </w:rPr>
                  </w:pPr>
                  <w:r>
                    <w:rPr>
                      <w:sz w:val="18"/>
                      <w:szCs w:val="18"/>
                    </w:rPr>
                    <w:t>项目组成</w:t>
                  </w:r>
                </w:p>
              </w:tc>
              <w:tc>
                <w:tcPr>
                  <w:tcW w:w="478" w:type="pct"/>
                  <w:vAlign w:val="center"/>
                </w:tcPr>
                <w:p w14:paraId="16C5FE83">
                  <w:pPr>
                    <w:pStyle w:val="83"/>
                    <w:rPr>
                      <w:rFonts w:hint="default"/>
                      <w:sz w:val="18"/>
                      <w:szCs w:val="18"/>
                    </w:rPr>
                  </w:pPr>
                  <w:r>
                    <w:rPr>
                      <w:sz w:val="18"/>
                      <w:szCs w:val="18"/>
                    </w:rPr>
                    <w:t>纺丝一期、二期</w:t>
                  </w:r>
                </w:p>
              </w:tc>
              <w:tc>
                <w:tcPr>
                  <w:tcW w:w="584" w:type="pct"/>
                  <w:vAlign w:val="center"/>
                </w:tcPr>
                <w:p w14:paraId="44C1A242">
                  <w:pPr>
                    <w:pStyle w:val="83"/>
                    <w:rPr>
                      <w:rFonts w:hint="default"/>
                      <w:sz w:val="18"/>
                      <w:szCs w:val="18"/>
                    </w:rPr>
                  </w:pPr>
                  <w:r>
                    <w:rPr>
                      <w:sz w:val="18"/>
                      <w:szCs w:val="18"/>
                    </w:rPr>
                    <w:t>纺丝三期</w:t>
                  </w:r>
                </w:p>
              </w:tc>
              <w:tc>
                <w:tcPr>
                  <w:tcW w:w="423" w:type="pct"/>
                  <w:vAlign w:val="center"/>
                </w:tcPr>
                <w:p w14:paraId="537AA06E">
                  <w:pPr>
                    <w:pStyle w:val="83"/>
                    <w:rPr>
                      <w:rFonts w:hint="default"/>
                      <w:sz w:val="18"/>
                      <w:szCs w:val="18"/>
                    </w:rPr>
                  </w:pPr>
                  <w:r>
                    <w:rPr>
                      <w:sz w:val="18"/>
                      <w:szCs w:val="18"/>
                    </w:rPr>
                    <w:t>纺丝四期</w:t>
                  </w:r>
                </w:p>
              </w:tc>
              <w:tc>
                <w:tcPr>
                  <w:tcW w:w="406" w:type="pct"/>
                  <w:vAlign w:val="center"/>
                </w:tcPr>
                <w:p w14:paraId="22698FBA">
                  <w:pPr>
                    <w:pStyle w:val="83"/>
                    <w:rPr>
                      <w:rFonts w:hint="default"/>
                      <w:sz w:val="18"/>
                      <w:szCs w:val="18"/>
                    </w:rPr>
                  </w:pPr>
                  <w:r>
                    <w:rPr>
                      <w:sz w:val="18"/>
                      <w:szCs w:val="18"/>
                    </w:rPr>
                    <w:t>纺丝五期</w:t>
                  </w:r>
                </w:p>
              </w:tc>
              <w:tc>
                <w:tcPr>
                  <w:tcW w:w="550" w:type="pct"/>
                  <w:vAlign w:val="center"/>
                </w:tcPr>
                <w:p w14:paraId="46BB9E66">
                  <w:pPr>
                    <w:pStyle w:val="83"/>
                    <w:rPr>
                      <w:rFonts w:hint="default"/>
                      <w:sz w:val="18"/>
                      <w:szCs w:val="18"/>
                    </w:rPr>
                  </w:pPr>
                  <w:r>
                    <w:rPr>
                      <w:sz w:val="18"/>
                      <w:szCs w:val="18"/>
                    </w:rPr>
                    <w:t>纺丝六期（6万吨纺丝、加弹，在建）</w:t>
                  </w:r>
                </w:p>
              </w:tc>
              <w:tc>
                <w:tcPr>
                  <w:tcW w:w="370" w:type="pct"/>
                  <w:vAlign w:val="center"/>
                </w:tcPr>
                <w:p w14:paraId="26B88201">
                  <w:pPr>
                    <w:pStyle w:val="83"/>
                    <w:rPr>
                      <w:rFonts w:hint="default"/>
                      <w:sz w:val="18"/>
                      <w:szCs w:val="18"/>
                    </w:rPr>
                  </w:pPr>
                  <w:r>
                    <w:rPr>
                      <w:sz w:val="18"/>
                      <w:szCs w:val="18"/>
                    </w:rPr>
                    <w:t>加弹项目</w:t>
                  </w:r>
                </w:p>
              </w:tc>
              <w:tc>
                <w:tcPr>
                  <w:tcW w:w="424" w:type="pct"/>
                  <w:vAlign w:val="center"/>
                </w:tcPr>
                <w:p w14:paraId="0F6016C4">
                  <w:pPr>
                    <w:pStyle w:val="83"/>
                    <w:rPr>
                      <w:rFonts w:hint="default"/>
                      <w:sz w:val="18"/>
                      <w:szCs w:val="18"/>
                    </w:rPr>
                  </w:pPr>
                  <w:r>
                    <w:rPr>
                      <w:sz w:val="18"/>
                      <w:szCs w:val="18"/>
                    </w:rPr>
                    <w:t>再生切片项目</w:t>
                  </w:r>
                </w:p>
              </w:tc>
              <w:tc>
                <w:tcPr>
                  <w:tcW w:w="502" w:type="pct"/>
                  <w:vAlign w:val="center"/>
                </w:tcPr>
                <w:p w14:paraId="74560BBB">
                  <w:pPr>
                    <w:pStyle w:val="83"/>
                    <w:rPr>
                      <w:rFonts w:hint="default"/>
                      <w:sz w:val="18"/>
                      <w:szCs w:val="18"/>
                    </w:rPr>
                  </w:pPr>
                  <w:r>
                    <w:rPr>
                      <w:sz w:val="18"/>
                      <w:szCs w:val="18"/>
                    </w:rPr>
                    <w:t>聚合一期</w:t>
                  </w:r>
                </w:p>
              </w:tc>
              <w:tc>
                <w:tcPr>
                  <w:tcW w:w="480" w:type="pct"/>
                  <w:vAlign w:val="center"/>
                </w:tcPr>
                <w:p w14:paraId="240CFD6C">
                  <w:pPr>
                    <w:pStyle w:val="83"/>
                    <w:rPr>
                      <w:rFonts w:hint="default"/>
                      <w:sz w:val="18"/>
                      <w:szCs w:val="18"/>
                    </w:rPr>
                  </w:pPr>
                  <w:r>
                    <w:rPr>
                      <w:sz w:val="18"/>
                      <w:szCs w:val="18"/>
                    </w:rPr>
                    <w:t>聚合二期</w:t>
                  </w:r>
                </w:p>
              </w:tc>
              <w:tc>
                <w:tcPr>
                  <w:tcW w:w="506" w:type="pct"/>
                  <w:vAlign w:val="center"/>
                </w:tcPr>
                <w:p w14:paraId="2162CEB6">
                  <w:pPr>
                    <w:pStyle w:val="83"/>
                    <w:rPr>
                      <w:rFonts w:hint="default"/>
                      <w:sz w:val="18"/>
                      <w:szCs w:val="18"/>
                    </w:rPr>
                  </w:pPr>
                  <w:r>
                    <w:rPr>
                      <w:sz w:val="18"/>
                      <w:szCs w:val="18"/>
                    </w:rPr>
                    <w:t>聚合三期</w:t>
                  </w:r>
                </w:p>
              </w:tc>
            </w:tr>
            <w:tr w14:paraId="69D633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Align w:val="center"/>
                </w:tcPr>
                <w:p w14:paraId="42966866">
                  <w:pPr>
                    <w:pStyle w:val="83"/>
                    <w:rPr>
                      <w:rFonts w:hint="default"/>
                      <w:sz w:val="18"/>
                      <w:szCs w:val="18"/>
                    </w:rPr>
                  </w:pPr>
                  <w:r>
                    <w:rPr>
                      <w:sz w:val="18"/>
                      <w:szCs w:val="18"/>
                    </w:rPr>
                    <w:t>主体工程</w:t>
                  </w:r>
                </w:p>
              </w:tc>
              <w:tc>
                <w:tcPr>
                  <w:tcW w:w="175" w:type="pct"/>
                  <w:vAlign w:val="center"/>
                </w:tcPr>
                <w:p w14:paraId="1F2FEE45">
                  <w:pPr>
                    <w:pStyle w:val="83"/>
                    <w:rPr>
                      <w:rFonts w:hint="default"/>
                      <w:sz w:val="18"/>
                      <w:szCs w:val="18"/>
                    </w:rPr>
                  </w:pPr>
                  <w:r>
                    <w:rPr>
                      <w:sz w:val="18"/>
                      <w:szCs w:val="18"/>
                    </w:rPr>
                    <w:t>生产</w:t>
                  </w:r>
                </w:p>
                <w:p w14:paraId="0CD47F0C">
                  <w:pPr>
                    <w:pStyle w:val="83"/>
                    <w:rPr>
                      <w:rFonts w:hint="default"/>
                      <w:sz w:val="18"/>
                      <w:szCs w:val="18"/>
                    </w:rPr>
                  </w:pPr>
                  <w:r>
                    <w:rPr>
                      <w:sz w:val="18"/>
                      <w:szCs w:val="18"/>
                    </w:rPr>
                    <w:t>车间</w:t>
                  </w:r>
                </w:p>
              </w:tc>
              <w:tc>
                <w:tcPr>
                  <w:tcW w:w="478" w:type="pct"/>
                  <w:vAlign w:val="center"/>
                </w:tcPr>
                <w:p w14:paraId="4F1AA8C1">
                  <w:pPr>
                    <w:pStyle w:val="83"/>
                    <w:rPr>
                      <w:rFonts w:hint="default"/>
                      <w:sz w:val="18"/>
                      <w:szCs w:val="18"/>
                    </w:rPr>
                  </w:pPr>
                  <w:r>
                    <w:rPr>
                      <w:sz w:val="18"/>
                      <w:szCs w:val="18"/>
                    </w:rPr>
                    <w:t>由生产车间、辅助生产车间、仓库及办公生活设施等四部分组成，建设锦纶66、锦纶6纺丝生产线，纺丝生产能力60000t/a</w:t>
                  </w:r>
                </w:p>
              </w:tc>
              <w:tc>
                <w:tcPr>
                  <w:tcW w:w="584" w:type="pct"/>
                  <w:vAlign w:val="center"/>
                </w:tcPr>
                <w:p w14:paraId="4CC8D332">
                  <w:pPr>
                    <w:pStyle w:val="83"/>
                    <w:rPr>
                      <w:rFonts w:hint="default"/>
                      <w:sz w:val="18"/>
                      <w:szCs w:val="18"/>
                    </w:rPr>
                  </w:pPr>
                  <w:r>
                    <w:rPr>
                      <w:sz w:val="18"/>
                      <w:szCs w:val="18"/>
                    </w:rPr>
                    <w:t>建设生产车间及配套辅助生产车间、仓库等，建设HOY、FDY差别化锦纶纤维生产线，纺丝生产能力70000t/a</w:t>
                  </w:r>
                </w:p>
              </w:tc>
              <w:tc>
                <w:tcPr>
                  <w:tcW w:w="423" w:type="pct"/>
                  <w:vAlign w:val="center"/>
                </w:tcPr>
                <w:p w14:paraId="4F5B1242">
                  <w:pPr>
                    <w:pStyle w:val="83"/>
                    <w:rPr>
                      <w:rFonts w:hint="default"/>
                      <w:sz w:val="18"/>
                      <w:szCs w:val="18"/>
                    </w:rPr>
                  </w:pPr>
                  <w:r>
                    <w:rPr>
                      <w:sz w:val="18"/>
                      <w:szCs w:val="18"/>
                    </w:rPr>
                    <w:t>建设四期纺丝生产车间，并配套相应的辅助生产车间和仓库，建设HOY、FDY差别化锦纶纤维生产线</w:t>
                  </w:r>
                </w:p>
              </w:tc>
              <w:tc>
                <w:tcPr>
                  <w:tcW w:w="406" w:type="pct"/>
                  <w:vAlign w:val="center"/>
                </w:tcPr>
                <w:p w14:paraId="73D859CC">
                  <w:pPr>
                    <w:pStyle w:val="83"/>
                    <w:rPr>
                      <w:rFonts w:hint="default"/>
                      <w:sz w:val="18"/>
                      <w:szCs w:val="18"/>
                    </w:rPr>
                  </w:pPr>
                  <w:r>
                    <w:rPr>
                      <w:sz w:val="18"/>
                      <w:szCs w:val="18"/>
                    </w:rPr>
                    <w:t>建设生产车间及配套辅助车间、仓库等，建设10条高效智能化锦纶生产线，纺丝生产能力70000t/a</w:t>
                  </w:r>
                </w:p>
              </w:tc>
              <w:tc>
                <w:tcPr>
                  <w:tcW w:w="550" w:type="pct"/>
                  <w:vAlign w:val="center"/>
                </w:tcPr>
                <w:p w14:paraId="4DF9CF8F">
                  <w:pPr>
                    <w:pStyle w:val="83"/>
                    <w:rPr>
                      <w:rFonts w:hint="default"/>
                      <w:sz w:val="18"/>
                      <w:szCs w:val="18"/>
                    </w:rPr>
                  </w:pPr>
                  <w:r>
                    <w:rPr>
                      <w:sz w:val="18"/>
                      <w:szCs w:val="18"/>
                    </w:rPr>
                    <w:t>建设生产车间及配套辅助车间、仓库等，建设6条高效智能化锦纶纺丝及加弹一体化生产线，年产6万吨锦纶纤维、3万吨锦纶加弹纤维</w:t>
                  </w:r>
                </w:p>
              </w:tc>
              <w:tc>
                <w:tcPr>
                  <w:tcW w:w="370" w:type="pct"/>
                  <w:vAlign w:val="center"/>
                </w:tcPr>
                <w:p w14:paraId="039C82E2">
                  <w:pPr>
                    <w:pStyle w:val="83"/>
                    <w:rPr>
                      <w:rFonts w:hint="default"/>
                      <w:sz w:val="18"/>
                      <w:szCs w:val="18"/>
                    </w:rPr>
                  </w:pPr>
                  <w:r>
                    <w:rPr>
                      <w:sz w:val="18"/>
                      <w:szCs w:val="18"/>
                    </w:rPr>
                    <w:t>建设厂房及附属设施，建设聚酰胺纤维环吹超细化纺丝及加弹生产线</w:t>
                  </w:r>
                </w:p>
              </w:tc>
              <w:tc>
                <w:tcPr>
                  <w:tcW w:w="424" w:type="pct"/>
                  <w:vAlign w:val="center"/>
                </w:tcPr>
                <w:p w14:paraId="2655DB17">
                  <w:pPr>
                    <w:pStyle w:val="83"/>
                    <w:rPr>
                      <w:rFonts w:hint="default"/>
                      <w:sz w:val="18"/>
                      <w:szCs w:val="18"/>
                    </w:rPr>
                  </w:pPr>
                  <w:r>
                    <w:rPr>
                      <w:sz w:val="18"/>
                      <w:szCs w:val="18"/>
                    </w:rPr>
                    <w:t>企业现有8#C车间内建设4条再生切片和1条改性工塑生产线，年产0.8万吨再生切片和0.2万吨脱模母粒</w:t>
                  </w:r>
                </w:p>
              </w:tc>
              <w:tc>
                <w:tcPr>
                  <w:tcW w:w="502" w:type="pct"/>
                  <w:vAlign w:val="center"/>
                </w:tcPr>
                <w:p w14:paraId="46C2C3AB">
                  <w:pPr>
                    <w:pStyle w:val="83"/>
                    <w:rPr>
                      <w:rFonts w:hint="default"/>
                      <w:sz w:val="18"/>
                      <w:szCs w:val="18"/>
                    </w:rPr>
                  </w:pPr>
                  <w:r>
                    <w:rPr>
                      <w:sz w:val="18"/>
                      <w:szCs w:val="18"/>
                    </w:rPr>
                    <w:t>建设有CPL仓库、萃取水装置、己内酰胺熔融装置和储罐、聚合车间、切片包装车间与纺丝车间，建设日产260吨聚酰胺生产线</w:t>
                  </w:r>
                </w:p>
              </w:tc>
              <w:tc>
                <w:tcPr>
                  <w:tcW w:w="480" w:type="pct"/>
                  <w:vAlign w:val="center"/>
                </w:tcPr>
                <w:p w14:paraId="38D94772">
                  <w:pPr>
                    <w:pStyle w:val="83"/>
                    <w:rPr>
                      <w:rFonts w:hint="default"/>
                      <w:sz w:val="18"/>
                      <w:szCs w:val="18"/>
                    </w:rPr>
                  </w:pPr>
                  <w:r>
                    <w:rPr>
                      <w:sz w:val="18"/>
                      <w:szCs w:val="18"/>
                    </w:rPr>
                    <w:t>在一期己内酰胺储罐附近扩建，其他公用工程均在原来一期聚合车间内配套，在一期聚合车间增加2条130t/d的生产线</w:t>
                  </w:r>
                </w:p>
              </w:tc>
              <w:tc>
                <w:tcPr>
                  <w:tcW w:w="506" w:type="pct"/>
                  <w:vAlign w:val="center"/>
                </w:tcPr>
                <w:p w14:paraId="0296AF78">
                  <w:pPr>
                    <w:pStyle w:val="83"/>
                    <w:rPr>
                      <w:rFonts w:hint="default"/>
                      <w:sz w:val="18"/>
                      <w:szCs w:val="18"/>
                    </w:rPr>
                  </w:pPr>
                  <w:r>
                    <w:rPr>
                      <w:sz w:val="18"/>
                      <w:szCs w:val="18"/>
                    </w:rPr>
                    <w:t>新建车间及配套辅助生产车间等，仓库利用现有，在车间东侧新增4个己内酰胺储罐，新增公用工程，建设年产15万吨聚酰胺生产线</w:t>
                  </w:r>
                </w:p>
              </w:tc>
            </w:tr>
            <w:tr w14:paraId="056D37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restart"/>
                  <w:vAlign w:val="center"/>
                </w:tcPr>
                <w:p w14:paraId="599236A8">
                  <w:pPr>
                    <w:pStyle w:val="83"/>
                    <w:rPr>
                      <w:rFonts w:hint="default"/>
                      <w:sz w:val="18"/>
                      <w:szCs w:val="18"/>
                    </w:rPr>
                  </w:pPr>
                  <w:r>
                    <w:rPr>
                      <w:sz w:val="18"/>
                      <w:szCs w:val="18"/>
                    </w:rPr>
                    <w:t>公辅工程</w:t>
                  </w:r>
                </w:p>
              </w:tc>
              <w:tc>
                <w:tcPr>
                  <w:tcW w:w="175" w:type="pct"/>
                  <w:vAlign w:val="center"/>
                </w:tcPr>
                <w:p w14:paraId="5947A0AC">
                  <w:pPr>
                    <w:pStyle w:val="83"/>
                    <w:rPr>
                      <w:rFonts w:hint="default"/>
                      <w:sz w:val="18"/>
                      <w:szCs w:val="18"/>
                    </w:rPr>
                  </w:pPr>
                  <w:r>
                    <w:rPr>
                      <w:sz w:val="18"/>
                      <w:szCs w:val="18"/>
                    </w:rPr>
                    <w:t>冷冻站</w:t>
                  </w:r>
                </w:p>
              </w:tc>
              <w:tc>
                <w:tcPr>
                  <w:tcW w:w="1486" w:type="pct"/>
                  <w:gridSpan w:val="3"/>
                  <w:vAlign w:val="center"/>
                </w:tcPr>
                <w:p w14:paraId="2BEBD7ED">
                  <w:pPr>
                    <w:pStyle w:val="83"/>
                    <w:rPr>
                      <w:rFonts w:hint="default"/>
                      <w:sz w:val="18"/>
                      <w:szCs w:val="18"/>
                    </w:rPr>
                  </w:pPr>
                  <w:r>
                    <w:rPr>
                      <w:sz w:val="18"/>
                      <w:szCs w:val="18"/>
                    </w:rPr>
                    <w:t>螺杆式冷水机组2台、离心式冷水机组6台</w:t>
                  </w:r>
                </w:p>
              </w:tc>
              <w:tc>
                <w:tcPr>
                  <w:tcW w:w="406" w:type="pct"/>
                  <w:vAlign w:val="center"/>
                </w:tcPr>
                <w:p w14:paraId="11C77917">
                  <w:pPr>
                    <w:pStyle w:val="83"/>
                    <w:rPr>
                      <w:rFonts w:hint="default"/>
                      <w:sz w:val="18"/>
                      <w:szCs w:val="18"/>
                    </w:rPr>
                  </w:pPr>
                  <w:r>
                    <w:rPr>
                      <w:sz w:val="18"/>
                      <w:szCs w:val="18"/>
                    </w:rPr>
                    <w:t>3台冷冻机、6台冷冻机冷却塔</w:t>
                  </w:r>
                </w:p>
              </w:tc>
              <w:tc>
                <w:tcPr>
                  <w:tcW w:w="550" w:type="pct"/>
                  <w:vAlign w:val="center"/>
                </w:tcPr>
                <w:p w14:paraId="2C7D209A">
                  <w:pPr>
                    <w:pStyle w:val="83"/>
                    <w:rPr>
                      <w:rFonts w:hint="default"/>
                      <w:sz w:val="18"/>
                      <w:szCs w:val="18"/>
                    </w:rPr>
                  </w:pPr>
                  <w:r>
                    <w:rPr>
                      <w:sz w:val="18"/>
                      <w:szCs w:val="18"/>
                    </w:rPr>
                    <w:t>2套600t冷却塔、3台600kW冷冻机</w:t>
                  </w:r>
                </w:p>
              </w:tc>
              <w:tc>
                <w:tcPr>
                  <w:tcW w:w="370" w:type="pct"/>
                  <w:vAlign w:val="center"/>
                </w:tcPr>
                <w:p w14:paraId="57588517">
                  <w:pPr>
                    <w:pStyle w:val="83"/>
                    <w:rPr>
                      <w:rFonts w:hint="default"/>
                      <w:sz w:val="18"/>
                      <w:szCs w:val="18"/>
                    </w:rPr>
                  </w:pPr>
                  <w:r>
                    <w:rPr>
                      <w:sz w:val="18"/>
                      <w:szCs w:val="18"/>
                    </w:rPr>
                    <w:t>/</w:t>
                  </w:r>
                </w:p>
              </w:tc>
              <w:tc>
                <w:tcPr>
                  <w:tcW w:w="424" w:type="pct"/>
                  <w:vAlign w:val="center"/>
                </w:tcPr>
                <w:p w14:paraId="79F6B8B1">
                  <w:pPr>
                    <w:pStyle w:val="83"/>
                    <w:rPr>
                      <w:rFonts w:hint="default"/>
                      <w:sz w:val="18"/>
                      <w:szCs w:val="18"/>
                    </w:rPr>
                  </w:pPr>
                  <w:r>
                    <w:rPr>
                      <w:sz w:val="18"/>
                      <w:szCs w:val="18"/>
                    </w:rPr>
                    <w:t>/</w:t>
                  </w:r>
                </w:p>
              </w:tc>
              <w:tc>
                <w:tcPr>
                  <w:tcW w:w="982" w:type="pct"/>
                  <w:gridSpan w:val="2"/>
                  <w:vAlign w:val="center"/>
                </w:tcPr>
                <w:p w14:paraId="09184961">
                  <w:pPr>
                    <w:pStyle w:val="83"/>
                    <w:rPr>
                      <w:rFonts w:hint="default"/>
                      <w:sz w:val="18"/>
                      <w:szCs w:val="18"/>
                    </w:rPr>
                  </w:pPr>
                  <w:r>
                    <w:rPr>
                      <w:sz w:val="18"/>
                      <w:szCs w:val="18"/>
                    </w:rPr>
                    <w:t>2套整体式冷冻水系统</w:t>
                  </w:r>
                </w:p>
              </w:tc>
              <w:tc>
                <w:tcPr>
                  <w:tcW w:w="506" w:type="pct"/>
                  <w:vAlign w:val="center"/>
                </w:tcPr>
                <w:p w14:paraId="03C3B115">
                  <w:pPr>
                    <w:pStyle w:val="83"/>
                    <w:rPr>
                      <w:rFonts w:hint="default"/>
                      <w:sz w:val="18"/>
                      <w:szCs w:val="18"/>
                    </w:rPr>
                  </w:pPr>
                  <w:r>
                    <w:rPr>
                      <w:sz w:val="18"/>
                      <w:szCs w:val="18"/>
                    </w:rPr>
                    <w:t>2套横流式冷却塔、2套冷却水系统</w:t>
                  </w:r>
                </w:p>
              </w:tc>
            </w:tr>
            <w:tr w14:paraId="6FC5CA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4A04ECD4">
                  <w:pPr>
                    <w:pStyle w:val="83"/>
                    <w:rPr>
                      <w:rFonts w:hint="default"/>
                      <w:sz w:val="18"/>
                      <w:szCs w:val="18"/>
                    </w:rPr>
                  </w:pPr>
                </w:p>
              </w:tc>
              <w:tc>
                <w:tcPr>
                  <w:tcW w:w="175" w:type="pct"/>
                  <w:vAlign w:val="center"/>
                </w:tcPr>
                <w:p w14:paraId="39FE6F29">
                  <w:pPr>
                    <w:pStyle w:val="83"/>
                    <w:rPr>
                      <w:rFonts w:hint="default"/>
                      <w:sz w:val="18"/>
                      <w:szCs w:val="18"/>
                    </w:rPr>
                  </w:pPr>
                  <w:r>
                    <w:rPr>
                      <w:sz w:val="18"/>
                      <w:szCs w:val="18"/>
                    </w:rPr>
                    <w:t>空压站</w:t>
                  </w:r>
                </w:p>
              </w:tc>
              <w:tc>
                <w:tcPr>
                  <w:tcW w:w="1486" w:type="pct"/>
                  <w:gridSpan w:val="3"/>
                  <w:vAlign w:val="center"/>
                </w:tcPr>
                <w:p w14:paraId="70FB522E">
                  <w:pPr>
                    <w:pStyle w:val="83"/>
                    <w:rPr>
                      <w:rFonts w:hint="default"/>
                      <w:sz w:val="18"/>
                      <w:szCs w:val="18"/>
                    </w:rPr>
                  </w:pPr>
                  <w:r>
                    <w:rPr>
                      <w:sz w:val="18"/>
                      <w:szCs w:val="18"/>
                    </w:rPr>
                    <w:t>0.8MPa空压机4台，1.2MPa空压机2台，0.85MPa空压机28台，1.3MPa空压机12台</w:t>
                  </w:r>
                </w:p>
              </w:tc>
              <w:tc>
                <w:tcPr>
                  <w:tcW w:w="406" w:type="pct"/>
                  <w:vAlign w:val="center"/>
                </w:tcPr>
                <w:p w14:paraId="748CAA31">
                  <w:pPr>
                    <w:pStyle w:val="83"/>
                    <w:rPr>
                      <w:rFonts w:hint="default"/>
                      <w:sz w:val="18"/>
                      <w:szCs w:val="18"/>
                    </w:rPr>
                  </w:pPr>
                  <w:r>
                    <w:rPr>
                      <w:sz w:val="18"/>
                      <w:szCs w:val="18"/>
                    </w:rPr>
                    <w:t>5KG螺杆空压机3台、12KG螺杆空压机1台</w:t>
                  </w:r>
                </w:p>
              </w:tc>
              <w:tc>
                <w:tcPr>
                  <w:tcW w:w="550" w:type="pct"/>
                  <w:vAlign w:val="center"/>
                </w:tcPr>
                <w:p w14:paraId="536A00D4">
                  <w:pPr>
                    <w:pStyle w:val="83"/>
                    <w:rPr>
                      <w:rFonts w:hint="default"/>
                      <w:sz w:val="18"/>
                      <w:szCs w:val="18"/>
                    </w:rPr>
                  </w:pPr>
                  <w:r>
                    <w:rPr>
                      <w:sz w:val="18"/>
                      <w:szCs w:val="18"/>
                    </w:rPr>
                    <w:t>2台250kW和1台560kW螺杆空压机</w:t>
                  </w:r>
                </w:p>
              </w:tc>
              <w:tc>
                <w:tcPr>
                  <w:tcW w:w="370" w:type="pct"/>
                  <w:vAlign w:val="center"/>
                </w:tcPr>
                <w:p w14:paraId="24AE9591">
                  <w:pPr>
                    <w:pStyle w:val="83"/>
                    <w:rPr>
                      <w:rFonts w:hint="default"/>
                      <w:sz w:val="18"/>
                      <w:szCs w:val="18"/>
                    </w:rPr>
                  </w:pPr>
                  <w:r>
                    <w:rPr>
                      <w:sz w:val="18"/>
                      <w:szCs w:val="18"/>
                    </w:rPr>
                    <w:t>/</w:t>
                  </w:r>
                </w:p>
              </w:tc>
              <w:tc>
                <w:tcPr>
                  <w:tcW w:w="424" w:type="pct"/>
                  <w:vAlign w:val="center"/>
                </w:tcPr>
                <w:p w14:paraId="58AC9944">
                  <w:pPr>
                    <w:pStyle w:val="83"/>
                    <w:rPr>
                      <w:rFonts w:hint="default"/>
                      <w:sz w:val="18"/>
                      <w:szCs w:val="18"/>
                    </w:rPr>
                  </w:pPr>
                  <w:r>
                    <w:rPr>
                      <w:sz w:val="18"/>
                      <w:szCs w:val="18"/>
                    </w:rPr>
                    <w:t>/</w:t>
                  </w:r>
                </w:p>
              </w:tc>
              <w:tc>
                <w:tcPr>
                  <w:tcW w:w="982" w:type="pct"/>
                  <w:gridSpan w:val="2"/>
                  <w:vAlign w:val="center"/>
                </w:tcPr>
                <w:p w14:paraId="7080AB61">
                  <w:pPr>
                    <w:pStyle w:val="83"/>
                    <w:rPr>
                      <w:rFonts w:hint="default"/>
                      <w:sz w:val="18"/>
                      <w:szCs w:val="18"/>
                    </w:rPr>
                  </w:pPr>
                  <w:r>
                    <w:rPr>
                      <w:sz w:val="18"/>
                      <w:szCs w:val="18"/>
                    </w:rPr>
                    <w:t>4台型号为GA15-7.5的空压机</w:t>
                  </w:r>
                </w:p>
              </w:tc>
              <w:tc>
                <w:tcPr>
                  <w:tcW w:w="506" w:type="pct"/>
                  <w:vAlign w:val="center"/>
                </w:tcPr>
                <w:p w14:paraId="133B94BD">
                  <w:pPr>
                    <w:pStyle w:val="83"/>
                    <w:rPr>
                      <w:rFonts w:hint="default"/>
                      <w:sz w:val="18"/>
                      <w:szCs w:val="18"/>
                    </w:rPr>
                  </w:pPr>
                  <w:r>
                    <w:rPr>
                      <w:sz w:val="18"/>
                      <w:szCs w:val="18"/>
                    </w:rPr>
                    <w:t>1台空压机</w:t>
                  </w:r>
                </w:p>
              </w:tc>
            </w:tr>
            <w:tr w14:paraId="24547C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11FF715B">
                  <w:pPr>
                    <w:pStyle w:val="83"/>
                    <w:rPr>
                      <w:rFonts w:hint="default"/>
                      <w:sz w:val="18"/>
                      <w:szCs w:val="18"/>
                    </w:rPr>
                  </w:pPr>
                </w:p>
              </w:tc>
              <w:tc>
                <w:tcPr>
                  <w:tcW w:w="175" w:type="pct"/>
                  <w:vAlign w:val="center"/>
                </w:tcPr>
                <w:p w14:paraId="0FAC68A2">
                  <w:pPr>
                    <w:pStyle w:val="83"/>
                    <w:rPr>
                      <w:rFonts w:hint="default"/>
                      <w:sz w:val="18"/>
                      <w:szCs w:val="18"/>
                    </w:rPr>
                  </w:pPr>
                  <w:r>
                    <w:rPr>
                      <w:sz w:val="18"/>
                      <w:szCs w:val="18"/>
                    </w:rPr>
                    <w:t>脱盐</w:t>
                  </w:r>
                </w:p>
                <w:p w14:paraId="6436C7A5">
                  <w:pPr>
                    <w:pStyle w:val="83"/>
                    <w:rPr>
                      <w:rFonts w:hint="default"/>
                      <w:sz w:val="18"/>
                      <w:szCs w:val="18"/>
                    </w:rPr>
                  </w:pPr>
                  <w:r>
                    <w:rPr>
                      <w:sz w:val="18"/>
                      <w:szCs w:val="18"/>
                    </w:rPr>
                    <w:t>水站</w:t>
                  </w:r>
                </w:p>
              </w:tc>
              <w:tc>
                <w:tcPr>
                  <w:tcW w:w="478" w:type="pct"/>
                  <w:vAlign w:val="center"/>
                </w:tcPr>
                <w:p w14:paraId="2495F902">
                  <w:pPr>
                    <w:pStyle w:val="83"/>
                    <w:rPr>
                      <w:rFonts w:hint="default"/>
                      <w:sz w:val="18"/>
                      <w:szCs w:val="18"/>
                    </w:rPr>
                  </w:pPr>
                </w:p>
              </w:tc>
              <w:tc>
                <w:tcPr>
                  <w:tcW w:w="3741" w:type="pct"/>
                  <w:gridSpan w:val="8"/>
                  <w:vAlign w:val="center"/>
                </w:tcPr>
                <w:p w14:paraId="287E8311">
                  <w:pPr>
                    <w:pStyle w:val="83"/>
                    <w:rPr>
                      <w:rFonts w:hint="default"/>
                      <w:sz w:val="18"/>
                      <w:szCs w:val="18"/>
                    </w:rPr>
                  </w:pPr>
                  <w:r>
                    <w:rPr>
                      <w:sz w:val="18"/>
                      <w:szCs w:val="18"/>
                    </w:rPr>
                    <w:t>1套30m3/h除盐水系统</w:t>
                  </w:r>
                </w:p>
              </w:tc>
              <w:tc>
                <w:tcPr>
                  <w:tcW w:w="506" w:type="pct"/>
                  <w:vAlign w:val="center"/>
                </w:tcPr>
                <w:p w14:paraId="1876E5A4">
                  <w:pPr>
                    <w:pStyle w:val="83"/>
                    <w:rPr>
                      <w:rFonts w:hint="default"/>
                      <w:sz w:val="18"/>
                      <w:szCs w:val="18"/>
                    </w:rPr>
                  </w:pPr>
                  <w:r>
                    <w:rPr>
                      <w:sz w:val="18"/>
                      <w:szCs w:val="18"/>
                    </w:rPr>
                    <w:t>1套30m3/h除盐水系统</w:t>
                  </w:r>
                </w:p>
              </w:tc>
            </w:tr>
            <w:tr w14:paraId="5ED1AD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58381B20">
                  <w:pPr>
                    <w:pStyle w:val="83"/>
                    <w:rPr>
                      <w:rFonts w:hint="default"/>
                      <w:sz w:val="18"/>
                      <w:szCs w:val="18"/>
                    </w:rPr>
                  </w:pPr>
                </w:p>
              </w:tc>
              <w:tc>
                <w:tcPr>
                  <w:tcW w:w="175" w:type="pct"/>
                  <w:vAlign w:val="center"/>
                </w:tcPr>
                <w:p w14:paraId="7B758D69">
                  <w:pPr>
                    <w:pStyle w:val="83"/>
                    <w:rPr>
                      <w:rFonts w:hint="default"/>
                      <w:sz w:val="18"/>
                      <w:szCs w:val="18"/>
                    </w:rPr>
                  </w:pPr>
                  <w:r>
                    <w:rPr>
                      <w:sz w:val="18"/>
                      <w:szCs w:val="18"/>
                    </w:rPr>
                    <w:t>软化水系统</w:t>
                  </w:r>
                </w:p>
              </w:tc>
              <w:tc>
                <w:tcPr>
                  <w:tcW w:w="478" w:type="pct"/>
                  <w:vAlign w:val="center"/>
                </w:tcPr>
                <w:p w14:paraId="67BEFFD6">
                  <w:pPr>
                    <w:pStyle w:val="83"/>
                    <w:rPr>
                      <w:rFonts w:hint="default"/>
                      <w:sz w:val="18"/>
                      <w:szCs w:val="18"/>
                    </w:rPr>
                  </w:pPr>
                </w:p>
              </w:tc>
              <w:tc>
                <w:tcPr>
                  <w:tcW w:w="4248" w:type="pct"/>
                  <w:gridSpan w:val="9"/>
                  <w:vAlign w:val="center"/>
                </w:tcPr>
                <w:p w14:paraId="256996FA">
                  <w:pPr>
                    <w:pStyle w:val="83"/>
                    <w:rPr>
                      <w:rFonts w:hint="default"/>
                      <w:sz w:val="18"/>
                      <w:szCs w:val="18"/>
                    </w:rPr>
                  </w:pPr>
                  <w:r>
                    <w:rPr>
                      <w:sz w:val="18"/>
                      <w:szCs w:val="18"/>
                    </w:rPr>
                    <w:t>1套150m3/h的软化水设施，供冷却水塔及蒸汽锅炉房使用</w:t>
                  </w:r>
                </w:p>
              </w:tc>
            </w:tr>
            <w:tr w14:paraId="3D5AB0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2CF2D49E">
                  <w:pPr>
                    <w:pStyle w:val="83"/>
                    <w:rPr>
                      <w:rFonts w:hint="default"/>
                      <w:sz w:val="18"/>
                      <w:szCs w:val="18"/>
                    </w:rPr>
                  </w:pPr>
                </w:p>
              </w:tc>
              <w:tc>
                <w:tcPr>
                  <w:tcW w:w="175" w:type="pct"/>
                  <w:vAlign w:val="center"/>
                </w:tcPr>
                <w:p w14:paraId="7AD38338">
                  <w:pPr>
                    <w:pStyle w:val="83"/>
                    <w:rPr>
                      <w:rFonts w:hint="default"/>
                      <w:sz w:val="18"/>
                      <w:szCs w:val="18"/>
                    </w:rPr>
                  </w:pPr>
                  <w:r>
                    <w:rPr>
                      <w:sz w:val="18"/>
                      <w:szCs w:val="18"/>
                    </w:rPr>
                    <w:t>制氮</w:t>
                  </w:r>
                </w:p>
                <w:p w14:paraId="1F5DE2AC">
                  <w:pPr>
                    <w:pStyle w:val="83"/>
                    <w:rPr>
                      <w:rFonts w:hint="default"/>
                      <w:sz w:val="18"/>
                      <w:szCs w:val="18"/>
                    </w:rPr>
                  </w:pPr>
                  <w:r>
                    <w:rPr>
                      <w:sz w:val="18"/>
                      <w:szCs w:val="18"/>
                    </w:rPr>
                    <w:t>装置</w:t>
                  </w:r>
                </w:p>
              </w:tc>
              <w:tc>
                <w:tcPr>
                  <w:tcW w:w="478" w:type="pct"/>
                  <w:vAlign w:val="center"/>
                </w:tcPr>
                <w:p w14:paraId="6FCDA68A">
                  <w:pPr>
                    <w:pStyle w:val="83"/>
                    <w:rPr>
                      <w:rFonts w:hint="default"/>
                      <w:sz w:val="18"/>
                      <w:szCs w:val="18"/>
                    </w:rPr>
                  </w:pPr>
                  <w:r>
                    <w:rPr>
                      <w:sz w:val="18"/>
                      <w:szCs w:val="18"/>
                    </w:rPr>
                    <w:t>/</w:t>
                  </w:r>
                </w:p>
              </w:tc>
              <w:tc>
                <w:tcPr>
                  <w:tcW w:w="584" w:type="pct"/>
                  <w:vAlign w:val="center"/>
                </w:tcPr>
                <w:p w14:paraId="3F7AF5F7">
                  <w:pPr>
                    <w:pStyle w:val="83"/>
                    <w:rPr>
                      <w:rFonts w:hint="default"/>
                      <w:sz w:val="18"/>
                      <w:szCs w:val="18"/>
                    </w:rPr>
                  </w:pPr>
                  <w:r>
                    <w:rPr>
                      <w:sz w:val="18"/>
                      <w:szCs w:val="18"/>
                    </w:rPr>
                    <w:t>/</w:t>
                  </w:r>
                </w:p>
              </w:tc>
              <w:tc>
                <w:tcPr>
                  <w:tcW w:w="423" w:type="pct"/>
                  <w:vAlign w:val="center"/>
                </w:tcPr>
                <w:p w14:paraId="6B3AEC0E">
                  <w:pPr>
                    <w:pStyle w:val="83"/>
                    <w:rPr>
                      <w:rFonts w:hint="default"/>
                      <w:sz w:val="18"/>
                      <w:szCs w:val="18"/>
                    </w:rPr>
                  </w:pPr>
                  <w:r>
                    <w:rPr>
                      <w:sz w:val="18"/>
                      <w:szCs w:val="18"/>
                    </w:rPr>
                    <w:t>/</w:t>
                  </w:r>
                </w:p>
              </w:tc>
              <w:tc>
                <w:tcPr>
                  <w:tcW w:w="406" w:type="pct"/>
                  <w:vAlign w:val="center"/>
                </w:tcPr>
                <w:p w14:paraId="4E7EC16F">
                  <w:pPr>
                    <w:pStyle w:val="83"/>
                    <w:rPr>
                      <w:rFonts w:hint="default"/>
                      <w:sz w:val="18"/>
                      <w:szCs w:val="18"/>
                    </w:rPr>
                  </w:pPr>
                  <w:r>
                    <w:rPr>
                      <w:sz w:val="18"/>
                      <w:szCs w:val="18"/>
                    </w:rPr>
                    <w:t>/</w:t>
                  </w:r>
                </w:p>
              </w:tc>
              <w:tc>
                <w:tcPr>
                  <w:tcW w:w="550" w:type="pct"/>
                  <w:vAlign w:val="center"/>
                </w:tcPr>
                <w:p w14:paraId="6FCF8BF9">
                  <w:pPr>
                    <w:pStyle w:val="83"/>
                    <w:rPr>
                      <w:rFonts w:hint="default"/>
                      <w:sz w:val="18"/>
                      <w:szCs w:val="18"/>
                    </w:rPr>
                  </w:pPr>
                  <w:r>
                    <w:rPr>
                      <w:sz w:val="18"/>
                      <w:szCs w:val="18"/>
                    </w:rPr>
                    <w:t>/</w:t>
                  </w:r>
                </w:p>
              </w:tc>
              <w:tc>
                <w:tcPr>
                  <w:tcW w:w="370" w:type="pct"/>
                  <w:vAlign w:val="center"/>
                </w:tcPr>
                <w:p w14:paraId="0839C8B2">
                  <w:pPr>
                    <w:pStyle w:val="83"/>
                    <w:rPr>
                      <w:rFonts w:hint="default"/>
                      <w:sz w:val="18"/>
                      <w:szCs w:val="18"/>
                    </w:rPr>
                  </w:pPr>
                  <w:r>
                    <w:rPr>
                      <w:sz w:val="18"/>
                      <w:szCs w:val="18"/>
                    </w:rPr>
                    <w:t>/</w:t>
                  </w:r>
                </w:p>
              </w:tc>
              <w:tc>
                <w:tcPr>
                  <w:tcW w:w="424" w:type="pct"/>
                  <w:vAlign w:val="center"/>
                </w:tcPr>
                <w:p w14:paraId="2BD5043F">
                  <w:pPr>
                    <w:pStyle w:val="83"/>
                    <w:rPr>
                      <w:rFonts w:hint="default"/>
                      <w:sz w:val="18"/>
                      <w:szCs w:val="18"/>
                    </w:rPr>
                  </w:pPr>
                  <w:r>
                    <w:rPr>
                      <w:sz w:val="18"/>
                      <w:szCs w:val="18"/>
                    </w:rPr>
                    <w:t>/</w:t>
                  </w:r>
                </w:p>
              </w:tc>
              <w:tc>
                <w:tcPr>
                  <w:tcW w:w="502" w:type="pct"/>
                  <w:vAlign w:val="center"/>
                </w:tcPr>
                <w:p w14:paraId="2610A57A">
                  <w:pPr>
                    <w:pStyle w:val="83"/>
                    <w:rPr>
                      <w:rFonts w:hint="default"/>
                      <w:sz w:val="18"/>
                      <w:szCs w:val="18"/>
                    </w:rPr>
                  </w:pPr>
                  <w:r>
                    <w:rPr>
                      <w:sz w:val="18"/>
                      <w:szCs w:val="18"/>
                    </w:rPr>
                    <w:t>/</w:t>
                  </w:r>
                </w:p>
              </w:tc>
              <w:tc>
                <w:tcPr>
                  <w:tcW w:w="480" w:type="pct"/>
                  <w:vAlign w:val="center"/>
                </w:tcPr>
                <w:p w14:paraId="67A902D3">
                  <w:pPr>
                    <w:pStyle w:val="83"/>
                    <w:rPr>
                      <w:rFonts w:hint="default"/>
                      <w:sz w:val="18"/>
                      <w:szCs w:val="18"/>
                    </w:rPr>
                  </w:pPr>
                  <w:r>
                    <w:rPr>
                      <w:sz w:val="18"/>
                      <w:szCs w:val="18"/>
                    </w:rPr>
                    <w:t>/</w:t>
                  </w:r>
                </w:p>
              </w:tc>
              <w:tc>
                <w:tcPr>
                  <w:tcW w:w="506" w:type="pct"/>
                  <w:vAlign w:val="center"/>
                </w:tcPr>
                <w:p w14:paraId="59DE39C2">
                  <w:pPr>
                    <w:pStyle w:val="83"/>
                    <w:rPr>
                      <w:rFonts w:hint="default"/>
                      <w:sz w:val="18"/>
                      <w:szCs w:val="18"/>
                    </w:rPr>
                  </w:pPr>
                  <w:r>
                    <w:rPr>
                      <w:sz w:val="18"/>
                      <w:szCs w:val="18"/>
                    </w:rPr>
                    <w:t>一套1000Nm3/h制氮气站</w:t>
                  </w:r>
                </w:p>
              </w:tc>
            </w:tr>
            <w:tr w14:paraId="3E6879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5B415732">
                  <w:pPr>
                    <w:pStyle w:val="83"/>
                    <w:rPr>
                      <w:rFonts w:hint="default"/>
                      <w:sz w:val="18"/>
                      <w:szCs w:val="18"/>
                    </w:rPr>
                  </w:pPr>
                </w:p>
              </w:tc>
              <w:tc>
                <w:tcPr>
                  <w:tcW w:w="175" w:type="pct"/>
                  <w:vAlign w:val="center"/>
                </w:tcPr>
                <w:p w14:paraId="74BB0BBA">
                  <w:pPr>
                    <w:pStyle w:val="83"/>
                    <w:rPr>
                      <w:rFonts w:hint="default"/>
                      <w:sz w:val="18"/>
                      <w:szCs w:val="18"/>
                    </w:rPr>
                  </w:pPr>
                  <w:r>
                    <w:rPr>
                      <w:sz w:val="18"/>
                      <w:szCs w:val="18"/>
                    </w:rPr>
                    <w:t>氢气钢瓶间</w:t>
                  </w:r>
                </w:p>
              </w:tc>
              <w:tc>
                <w:tcPr>
                  <w:tcW w:w="478" w:type="pct"/>
                  <w:vAlign w:val="center"/>
                </w:tcPr>
                <w:p w14:paraId="46BDD45C">
                  <w:pPr>
                    <w:pStyle w:val="83"/>
                    <w:rPr>
                      <w:rFonts w:hint="default"/>
                      <w:sz w:val="18"/>
                      <w:szCs w:val="18"/>
                    </w:rPr>
                  </w:pPr>
                  <w:r>
                    <w:rPr>
                      <w:sz w:val="18"/>
                      <w:szCs w:val="18"/>
                    </w:rPr>
                    <w:t>/</w:t>
                  </w:r>
                </w:p>
              </w:tc>
              <w:tc>
                <w:tcPr>
                  <w:tcW w:w="584" w:type="pct"/>
                  <w:vAlign w:val="center"/>
                </w:tcPr>
                <w:p w14:paraId="7B889593">
                  <w:pPr>
                    <w:pStyle w:val="83"/>
                    <w:rPr>
                      <w:rFonts w:hint="default"/>
                      <w:sz w:val="18"/>
                      <w:szCs w:val="18"/>
                    </w:rPr>
                  </w:pPr>
                  <w:r>
                    <w:rPr>
                      <w:sz w:val="18"/>
                      <w:szCs w:val="18"/>
                    </w:rPr>
                    <w:t>/</w:t>
                  </w:r>
                </w:p>
              </w:tc>
              <w:tc>
                <w:tcPr>
                  <w:tcW w:w="423" w:type="pct"/>
                  <w:vAlign w:val="center"/>
                </w:tcPr>
                <w:p w14:paraId="41DF2588">
                  <w:pPr>
                    <w:pStyle w:val="83"/>
                    <w:rPr>
                      <w:rFonts w:hint="default"/>
                      <w:sz w:val="18"/>
                      <w:szCs w:val="18"/>
                    </w:rPr>
                  </w:pPr>
                  <w:r>
                    <w:rPr>
                      <w:sz w:val="18"/>
                      <w:szCs w:val="18"/>
                    </w:rPr>
                    <w:t>/</w:t>
                  </w:r>
                </w:p>
              </w:tc>
              <w:tc>
                <w:tcPr>
                  <w:tcW w:w="406" w:type="pct"/>
                  <w:vAlign w:val="center"/>
                </w:tcPr>
                <w:p w14:paraId="28AFB96F">
                  <w:pPr>
                    <w:pStyle w:val="83"/>
                    <w:rPr>
                      <w:rFonts w:hint="default"/>
                      <w:sz w:val="18"/>
                      <w:szCs w:val="18"/>
                    </w:rPr>
                  </w:pPr>
                  <w:r>
                    <w:rPr>
                      <w:sz w:val="18"/>
                      <w:szCs w:val="18"/>
                    </w:rPr>
                    <w:t>/</w:t>
                  </w:r>
                </w:p>
              </w:tc>
              <w:tc>
                <w:tcPr>
                  <w:tcW w:w="550" w:type="pct"/>
                  <w:vAlign w:val="center"/>
                </w:tcPr>
                <w:p w14:paraId="7869A7CB">
                  <w:pPr>
                    <w:pStyle w:val="83"/>
                    <w:rPr>
                      <w:rFonts w:hint="default"/>
                      <w:sz w:val="18"/>
                      <w:szCs w:val="18"/>
                    </w:rPr>
                  </w:pPr>
                  <w:r>
                    <w:rPr>
                      <w:sz w:val="18"/>
                      <w:szCs w:val="18"/>
                    </w:rPr>
                    <w:t>/</w:t>
                  </w:r>
                </w:p>
              </w:tc>
              <w:tc>
                <w:tcPr>
                  <w:tcW w:w="370" w:type="pct"/>
                  <w:vAlign w:val="center"/>
                </w:tcPr>
                <w:p w14:paraId="08571A19">
                  <w:pPr>
                    <w:pStyle w:val="83"/>
                    <w:rPr>
                      <w:rFonts w:hint="default"/>
                      <w:sz w:val="18"/>
                      <w:szCs w:val="18"/>
                    </w:rPr>
                  </w:pPr>
                  <w:r>
                    <w:rPr>
                      <w:sz w:val="18"/>
                      <w:szCs w:val="18"/>
                    </w:rPr>
                    <w:t>/</w:t>
                  </w:r>
                </w:p>
              </w:tc>
              <w:tc>
                <w:tcPr>
                  <w:tcW w:w="424" w:type="pct"/>
                  <w:vAlign w:val="center"/>
                </w:tcPr>
                <w:p w14:paraId="1090F498">
                  <w:pPr>
                    <w:pStyle w:val="83"/>
                    <w:rPr>
                      <w:rFonts w:hint="default"/>
                      <w:sz w:val="18"/>
                      <w:szCs w:val="18"/>
                    </w:rPr>
                  </w:pPr>
                  <w:r>
                    <w:rPr>
                      <w:sz w:val="18"/>
                      <w:szCs w:val="18"/>
                    </w:rPr>
                    <w:t>/</w:t>
                  </w:r>
                </w:p>
              </w:tc>
              <w:tc>
                <w:tcPr>
                  <w:tcW w:w="502" w:type="pct"/>
                  <w:vAlign w:val="center"/>
                </w:tcPr>
                <w:p w14:paraId="240437F3">
                  <w:pPr>
                    <w:pStyle w:val="83"/>
                    <w:rPr>
                      <w:rFonts w:hint="default"/>
                      <w:sz w:val="18"/>
                      <w:szCs w:val="18"/>
                    </w:rPr>
                  </w:pPr>
                  <w:r>
                    <w:rPr>
                      <w:sz w:val="18"/>
                      <w:szCs w:val="18"/>
                    </w:rPr>
                    <w:t>/</w:t>
                  </w:r>
                </w:p>
              </w:tc>
              <w:tc>
                <w:tcPr>
                  <w:tcW w:w="480" w:type="pct"/>
                  <w:vAlign w:val="center"/>
                </w:tcPr>
                <w:p w14:paraId="50E318C1">
                  <w:pPr>
                    <w:pStyle w:val="83"/>
                    <w:rPr>
                      <w:rFonts w:hint="default"/>
                      <w:sz w:val="18"/>
                      <w:szCs w:val="18"/>
                    </w:rPr>
                  </w:pPr>
                  <w:r>
                    <w:rPr>
                      <w:sz w:val="18"/>
                      <w:szCs w:val="18"/>
                    </w:rPr>
                    <w:t>/</w:t>
                  </w:r>
                </w:p>
              </w:tc>
              <w:tc>
                <w:tcPr>
                  <w:tcW w:w="506" w:type="pct"/>
                  <w:vAlign w:val="center"/>
                </w:tcPr>
                <w:p w14:paraId="333975C9">
                  <w:pPr>
                    <w:pStyle w:val="83"/>
                    <w:rPr>
                      <w:rFonts w:hint="default"/>
                      <w:sz w:val="18"/>
                      <w:szCs w:val="18"/>
                    </w:rPr>
                  </w:pPr>
                  <w:r>
                    <w:rPr>
                      <w:sz w:val="18"/>
                      <w:szCs w:val="18"/>
                    </w:rPr>
                    <w:t>一个氢气钢瓶间，最大储存量为6*0.5kg</w:t>
                  </w:r>
                </w:p>
              </w:tc>
            </w:tr>
            <w:tr w14:paraId="73C89C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49067F5F">
                  <w:pPr>
                    <w:pStyle w:val="83"/>
                    <w:rPr>
                      <w:rFonts w:hint="default"/>
                      <w:sz w:val="18"/>
                      <w:szCs w:val="18"/>
                    </w:rPr>
                  </w:pPr>
                </w:p>
              </w:tc>
              <w:tc>
                <w:tcPr>
                  <w:tcW w:w="175" w:type="pct"/>
                  <w:vAlign w:val="center"/>
                </w:tcPr>
                <w:p w14:paraId="19512B44">
                  <w:pPr>
                    <w:pStyle w:val="83"/>
                    <w:rPr>
                      <w:rFonts w:hint="default"/>
                      <w:sz w:val="18"/>
                      <w:szCs w:val="18"/>
                    </w:rPr>
                  </w:pPr>
                  <w:r>
                    <w:rPr>
                      <w:sz w:val="18"/>
                      <w:szCs w:val="18"/>
                    </w:rPr>
                    <w:t>锅炉房</w:t>
                  </w:r>
                </w:p>
              </w:tc>
              <w:tc>
                <w:tcPr>
                  <w:tcW w:w="478" w:type="pct"/>
                  <w:vAlign w:val="center"/>
                </w:tcPr>
                <w:p w14:paraId="59F59BAE">
                  <w:pPr>
                    <w:pStyle w:val="83"/>
                    <w:rPr>
                      <w:rFonts w:hint="default"/>
                      <w:sz w:val="18"/>
                      <w:szCs w:val="18"/>
                    </w:rPr>
                  </w:pPr>
                  <w:r>
                    <w:rPr>
                      <w:sz w:val="18"/>
                      <w:szCs w:val="18"/>
                    </w:rPr>
                    <w:t>/</w:t>
                  </w:r>
                </w:p>
              </w:tc>
              <w:tc>
                <w:tcPr>
                  <w:tcW w:w="584" w:type="pct"/>
                  <w:vAlign w:val="center"/>
                </w:tcPr>
                <w:p w14:paraId="3E624318">
                  <w:pPr>
                    <w:pStyle w:val="83"/>
                    <w:rPr>
                      <w:rFonts w:hint="default"/>
                      <w:sz w:val="18"/>
                      <w:szCs w:val="18"/>
                    </w:rPr>
                  </w:pPr>
                  <w:r>
                    <w:rPr>
                      <w:sz w:val="18"/>
                      <w:szCs w:val="18"/>
                    </w:rPr>
                    <w:t>/</w:t>
                  </w:r>
                </w:p>
              </w:tc>
              <w:tc>
                <w:tcPr>
                  <w:tcW w:w="423" w:type="pct"/>
                  <w:vAlign w:val="center"/>
                </w:tcPr>
                <w:p w14:paraId="5AB4C43D">
                  <w:pPr>
                    <w:pStyle w:val="83"/>
                    <w:rPr>
                      <w:rFonts w:hint="default"/>
                      <w:sz w:val="18"/>
                      <w:szCs w:val="18"/>
                    </w:rPr>
                  </w:pPr>
                  <w:r>
                    <w:rPr>
                      <w:sz w:val="18"/>
                      <w:szCs w:val="18"/>
                    </w:rPr>
                    <w:t>/</w:t>
                  </w:r>
                </w:p>
              </w:tc>
              <w:tc>
                <w:tcPr>
                  <w:tcW w:w="406" w:type="pct"/>
                  <w:vAlign w:val="center"/>
                </w:tcPr>
                <w:p w14:paraId="63D92DCD">
                  <w:pPr>
                    <w:pStyle w:val="83"/>
                    <w:rPr>
                      <w:rFonts w:hint="default"/>
                      <w:sz w:val="18"/>
                      <w:szCs w:val="18"/>
                    </w:rPr>
                  </w:pPr>
                  <w:r>
                    <w:rPr>
                      <w:sz w:val="18"/>
                      <w:szCs w:val="18"/>
                    </w:rPr>
                    <w:t>/</w:t>
                  </w:r>
                </w:p>
              </w:tc>
              <w:tc>
                <w:tcPr>
                  <w:tcW w:w="550" w:type="pct"/>
                  <w:vAlign w:val="center"/>
                </w:tcPr>
                <w:p w14:paraId="1DBF02EB">
                  <w:pPr>
                    <w:pStyle w:val="83"/>
                    <w:rPr>
                      <w:rFonts w:hint="default"/>
                      <w:sz w:val="18"/>
                      <w:szCs w:val="18"/>
                    </w:rPr>
                  </w:pPr>
                  <w:r>
                    <w:rPr>
                      <w:sz w:val="18"/>
                      <w:szCs w:val="18"/>
                    </w:rPr>
                    <w:t>/</w:t>
                  </w:r>
                </w:p>
              </w:tc>
              <w:tc>
                <w:tcPr>
                  <w:tcW w:w="370" w:type="pct"/>
                  <w:vAlign w:val="center"/>
                </w:tcPr>
                <w:p w14:paraId="43DFA4FF">
                  <w:pPr>
                    <w:pStyle w:val="83"/>
                    <w:rPr>
                      <w:rFonts w:hint="default"/>
                      <w:sz w:val="18"/>
                      <w:szCs w:val="18"/>
                    </w:rPr>
                  </w:pPr>
                  <w:r>
                    <w:rPr>
                      <w:sz w:val="18"/>
                      <w:szCs w:val="18"/>
                    </w:rPr>
                    <w:t>/</w:t>
                  </w:r>
                </w:p>
              </w:tc>
              <w:tc>
                <w:tcPr>
                  <w:tcW w:w="424" w:type="pct"/>
                  <w:vAlign w:val="center"/>
                </w:tcPr>
                <w:p w14:paraId="75C9AA3E">
                  <w:pPr>
                    <w:pStyle w:val="83"/>
                    <w:rPr>
                      <w:rFonts w:hint="default"/>
                      <w:sz w:val="18"/>
                      <w:szCs w:val="18"/>
                    </w:rPr>
                  </w:pPr>
                  <w:r>
                    <w:rPr>
                      <w:sz w:val="18"/>
                      <w:szCs w:val="18"/>
                    </w:rPr>
                    <w:t>/</w:t>
                  </w:r>
                </w:p>
              </w:tc>
              <w:tc>
                <w:tcPr>
                  <w:tcW w:w="1488" w:type="pct"/>
                  <w:gridSpan w:val="3"/>
                  <w:vAlign w:val="center"/>
                </w:tcPr>
                <w:p w14:paraId="54950408">
                  <w:pPr>
                    <w:pStyle w:val="83"/>
                    <w:rPr>
                      <w:rFonts w:hint="default"/>
                      <w:sz w:val="18"/>
                      <w:szCs w:val="18"/>
                    </w:rPr>
                  </w:pPr>
                  <w:r>
                    <w:rPr>
                      <w:sz w:val="18"/>
                      <w:szCs w:val="18"/>
                    </w:rPr>
                    <w:t>1台42t/h的生物质制气锅炉作为常用锅炉，1台25t/h燃气蒸汽锅炉作为备用锅炉</w:t>
                  </w:r>
                </w:p>
              </w:tc>
            </w:tr>
            <w:tr w14:paraId="2D939E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7221C177">
                  <w:pPr>
                    <w:pStyle w:val="83"/>
                    <w:rPr>
                      <w:rFonts w:hint="default"/>
                      <w:sz w:val="18"/>
                      <w:szCs w:val="18"/>
                    </w:rPr>
                  </w:pPr>
                </w:p>
              </w:tc>
              <w:tc>
                <w:tcPr>
                  <w:tcW w:w="175" w:type="pct"/>
                  <w:vAlign w:val="center"/>
                </w:tcPr>
                <w:p w14:paraId="1407DDC1">
                  <w:pPr>
                    <w:pStyle w:val="83"/>
                    <w:rPr>
                      <w:rFonts w:hint="default"/>
                      <w:sz w:val="18"/>
                      <w:szCs w:val="18"/>
                    </w:rPr>
                  </w:pPr>
                  <w:r>
                    <w:rPr>
                      <w:sz w:val="18"/>
                      <w:szCs w:val="18"/>
                    </w:rPr>
                    <w:t>热媒站</w:t>
                  </w:r>
                </w:p>
              </w:tc>
              <w:tc>
                <w:tcPr>
                  <w:tcW w:w="478" w:type="pct"/>
                  <w:vAlign w:val="center"/>
                </w:tcPr>
                <w:p w14:paraId="0CD301C5">
                  <w:pPr>
                    <w:pStyle w:val="83"/>
                    <w:rPr>
                      <w:rFonts w:hint="default"/>
                      <w:sz w:val="18"/>
                      <w:szCs w:val="18"/>
                    </w:rPr>
                  </w:pPr>
                </w:p>
              </w:tc>
              <w:tc>
                <w:tcPr>
                  <w:tcW w:w="2335" w:type="pct"/>
                  <w:gridSpan w:val="5"/>
                  <w:vAlign w:val="center"/>
                </w:tcPr>
                <w:p w14:paraId="15F78F14">
                  <w:pPr>
                    <w:pStyle w:val="83"/>
                    <w:rPr>
                      <w:rFonts w:hint="default"/>
                      <w:sz w:val="18"/>
                      <w:szCs w:val="18"/>
                    </w:rPr>
                  </w:pPr>
                  <w:r>
                    <w:rPr>
                      <w:sz w:val="18"/>
                      <w:szCs w:val="18"/>
                    </w:rPr>
                    <w:t>配套162台热媒炉，以联苯-联苯醚作为热载体，使用电热管加热</w:t>
                  </w:r>
                </w:p>
              </w:tc>
              <w:tc>
                <w:tcPr>
                  <w:tcW w:w="424" w:type="pct"/>
                  <w:vAlign w:val="center"/>
                </w:tcPr>
                <w:p w14:paraId="5538A1B2">
                  <w:pPr>
                    <w:pStyle w:val="83"/>
                    <w:rPr>
                      <w:rFonts w:hint="default"/>
                      <w:sz w:val="18"/>
                      <w:szCs w:val="18"/>
                    </w:rPr>
                  </w:pPr>
                  <w:r>
                    <w:rPr>
                      <w:sz w:val="18"/>
                      <w:szCs w:val="18"/>
                    </w:rPr>
                    <w:t>/</w:t>
                  </w:r>
                </w:p>
              </w:tc>
              <w:tc>
                <w:tcPr>
                  <w:tcW w:w="1488" w:type="pct"/>
                  <w:gridSpan w:val="3"/>
                  <w:vAlign w:val="center"/>
                </w:tcPr>
                <w:p w14:paraId="78A002AD">
                  <w:pPr>
                    <w:pStyle w:val="83"/>
                    <w:rPr>
                      <w:rFonts w:hint="default"/>
                      <w:sz w:val="18"/>
                      <w:szCs w:val="18"/>
                    </w:rPr>
                  </w:pPr>
                  <w:r>
                    <w:rPr>
                      <w:sz w:val="18"/>
                      <w:szCs w:val="18"/>
                    </w:rPr>
                    <w:t>4台600万大卡的燃气导热油炉备用</w:t>
                  </w:r>
                </w:p>
              </w:tc>
            </w:tr>
            <w:tr w14:paraId="06A584A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1345FD71">
                  <w:pPr>
                    <w:pStyle w:val="83"/>
                    <w:rPr>
                      <w:rFonts w:hint="default"/>
                      <w:sz w:val="18"/>
                      <w:szCs w:val="18"/>
                    </w:rPr>
                  </w:pPr>
                </w:p>
              </w:tc>
              <w:tc>
                <w:tcPr>
                  <w:tcW w:w="175" w:type="pct"/>
                  <w:vAlign w:val="center"/>
                </w:tcPr>
                <w:p w14:paraId="7F1882C2">
                  <w:pPr>
                    <w:pStyle w:val="83"/>
                    <w:rPr>
                      <w:rFonts w:hint="default"/>
                      <w:sz w:val="18"/>
                      <w:szCs w:val="18"/>
                    </w:rPr>
                  </w:pPr>
                  <w:r>
                    <w:rPr>
                      <w:sz w:val="18"/>
                      <w:szCs w:val="18"/>
                    </w:rPr>
                    <w:t>给水</w:t>
                  </w:r>
                </w:p>
                <w:p w14:paraId="6A5D3AD8">
                  <w:pPr>
                    <w:pStyle w:val="83"/>
                    <w:rPr>
                      <w:rFonts w:hint="default"/>
                      <w:sz w:val="18"/>
                      <w:szCs w:val="18"/>
                    </w:rPr>
                  </w:pPr>
                  <w:r>
                    <w:rPr>
                      <w:sz w:val="18"/>
                      <w:szCs w:val="18"/>
                    </w:rPr>
                    <w:t>系统</w:t>
                  </w:r>
                </w:p>
              </w:tc>
              <w:tc>
                <w:tcPr>
                  <w:tcW w:w="478" w:type="pct"/>
                  <w:vAlign w:val="center"/>
                </w:tcPr>
                <w:p w14:paraId="15A75FBD">
                  <w:pPr>
                    <w:pStyle w:val="83"/>
                    <w:rPr>
                      <w:rFonts w:hint="default"/>
                      <w:sz w:val="18"/>
                      <w:szCs w:val="18"/>
                    </w:rPr>
                  </w:pPr>
                </w:p>
              </w:tc>
              <w:tc>
                <w:tcPr>
                  <w:tcW w:w="4248" w:type="pct"/>
                  <w:gridSpan w:val="9"/>
                  <w:vAlign w:val="center"/>
                </w:tcPr>
                <w:p w14:paraId="5110A562">
                  <w:pPr>
                    <w:pStyle w:val="83"/>
                    <w:rPr>
                      <w:rFonts w:hint="default"/>
                      <w:sz w:val="18"/>
                      <w:szCs w:val="18"/>
                    </w:rPr>
                  </w:pPr>
                  <w:r>
                    <w:rPr>
                      <w:sz w:val="18"/>
                      <w:szCs w:val="18"/>
                    </w:rPr>
                    <w:t>市政供水管网统一供水</w:t>
                  </w:r>
                </w:p>
              </w:tc>
            </w:tr>
            <w:tr w14:paraId="5132E2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16DE0123">
                  <w:pPr>
                    <w:pStyle w:val="83"/>
                    <w:rPr>
                      <w:rFonts w:hint="default"/>
                      <w:sz w:val="18"/>
                      <w:szCs w:val="18"/>
                    </w:rPr>
                  </w:pPr>
                </w:p>
              </w:tc>
              <w:tc>
                <w:tcPr>
                  <w:tcW w:w="175" w:type="pct"/>
                  <w:vAlign w:val="center"/>
                </w:tcPr>
                <w:p w14:paraId="5DDE5DBA">
                  <w:pPr>
                    <w:pStyle w:val="83"/>
                    <w:rPr>
                      <w:rFonts w:hint="default"/>
                      <w:sz w:val="18"/>
                      <w:szCs w:val="18"/>
                    </w:rPr>
                  </w:pPr>
                  <w:r>
                    <w:rPr>
                      <w:sz w:val="18"/>
                      <w:szCs w:val="18"/>
                    </w:rPr>
                    <w:t>排水</w:t>
                  </w:r>
                </w:p>
                <w:p w14:paraId="36BE8362">
                  <w:pPr>
                    <w:pStyle w:val="83"/>
                    <w:rPr>
                      <w:rFonts w:hint="default"/>
                      <w:sz w:val="18"/>
                      <w:szCs w:val="18"/>
                    </w:rPr>
                  </w:pPr>
                  <w:r>
                    <w:rPr>
                      <w:sz w:val="18"/>
                      <w:szCs w:val="18"/>
                    </w:rPr>
                    <w:t>系统</w:t>
                  </w:r>
                </w:p>
              </w:tc>
              <w:tc>
                <w:tcPr>
                  <w:tcW w:w="478" w:type="pct"/>
                  <w:vAlign w:val="center"/>
                </w:tcPr>
                <w:p w14:paraId="45C32623">
                  <w:pPr>
                    <w:pStyle w:val="83"/>
                    <w:rPr>
                      <w:rFonts w:hint="default"/>
                      <w:sz w:val="18"/>
                      <w:szCs w:val="18"/>
                    </w:rPr>
                  </w:pPr>
                </w:p>
              </w:tc>
              <w:tc>
                <w:tcPr>
                  <w:tcW w:w="4248" w:type="pct"/>
                  <w:gridSpan w:val="9"/>
                  <w:vAlign w:val="center"/>
                </w:tcPr>
                <w:p w14:paraId="6A9AD6E4">
                  <w:pPr>
                    <w:pStyle w:val="83"/>
                    <w:rPr>
                      <w:rFonts w:hint="default"/>
                      <w:sz w:val="18"/>
                      <w:szCs w:val="18"/>
                    </w:rPr>
                  </w:pPr>
                  <w:r>
                    <w:rPr>
                      <w:sz w:val="18"/>
                      <w:szCs w:val="18"/>
                    </w:rPr>
                    <w:t>排水采用雨污分流、清污分流制</w:t>
                  </w:r>
                </w:p>
              </w:tc>
            </w:tr>
            <w:tr w14:paraId="7F8E6F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281FF538">
                  <w:pPr>
                    <w:pStyle w:val="83"/>
                    <w:rPr>
                      <w:rFonts w:hint="default"/>
                      <w:sz w:val="18"/>
                      <w:szCs w:val="18"/>
                    </w:rPr>
                  </w:pPr>
                </w:p>
              </w:tc>
              <w:tc>
                <w:tcPr>
                  <w:tcW w:w="175" w:type="pct"/>
                  <w:vAlign w:val="center"/>
                </w:tcPr>
                <w:p w14:paraId="6D0F31FE">
                  <w:pPr>
                    <w:pStyle w:val="83"/>
                    <w:rPr>
                      <w:rFonts w:hint="default"/>
                      <w:sz w:val="18"/>
                      <w:szCs w:val="18"/>
                    </w:rPr>
                  </w:pPr>
                  <w:r>
                    <w:rPr>
                      <w:sz w:val="18"/>
                      <w:szCs w:val="18"/>
                    </w:rPr>
                    <w:t>供电</w:t>
                  </w:r>
                </w:p>
                <w:p w14:paraId="7AFDD681">
                  <w:pPr>
                    <w:pStyle w:val="83"/>
                    <w:rPr>
                      <w:rFonts w:hint="default"/>
                      <w:sz w:val="18"/>
                      <w:szCs w:val="18"/>
                    </w:rPr>
                  </w:pPr>
                  <w:r>
                    <w:rPr>
                      <w:sz w:val="18"/>
                      <w:szCs w:val="18"/>
                    </w:rPr>
                    <w:t>工程</w:t>
                  </w:r>
                </w:p>
              </w:tc>
              <w:tc>
                <w:tcPr>
                  <w:tcW w:w="478" w:type="pct"/>
                  <w:vAlign w:val="center"/>
                </w:tcPr>
                <w:p w14:paraId="771B0F2B">
                  <w:pPr>
                    <w:pStyle w:val="83"/>
                    <w:rPr>
                      <w:rFonts w:hint="default"/>
                      <w:sz w:val="18"/>
                      <w:szCs w:val="18"/>
                    </w:rPr>
                  </w:pPr>
                </w:p>
              </w:tc>
              <w:tc>
                <w:tcPr>
                  <w:tcW w:w="4248" w:type="pct"/>
                  <w:gridSpan w:val="9"/>
                  <w:vAlign w:val="center"/>
                </w:tcPr>
                <w:p w14:paraId="6421CBA5">
                  <w:pPr>
                    <w:pStyle w:val="83"/>
                    <w:rPr>
                      <w:rFonts w:hint="default"/>
                      <w:sz w:val="18"/>
                      <w:szCs w:val="18"/>
                    </w:rPr>
                  </w:pPr>
                  <w:r>
                    <w:rPr>
                      <w:sz w:val="18"/>
                      <w:szCs w:val="18"/>
                    </w:rPr>
                    <w:t>配套建设110kV变电站一座，其供电容量能满足整个厂区用电需求</w:t>
                  </w:r>
                </w:p>
              </w:tc>
            </w:tr>
            <w:tr w14:paraId="466F80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restart"/>
                  <w:vAlign w:val="center"/>
                </w:tcPr>
                <w:p w14:paraId="1665E227">
                  <w:pPr>
                    <w:pStyle w:val="83"/>
                    <w:rPr>
                      <w:rFonts w:hint="default"/>
                      <w:sz w:val="18"/>
                      <w:szCs w:val="18"/>
                    </w:rPr>
                  </w:pPr>
                  <w:r>
                    <w:rPr>
                      <w:sz w:val="18"/>
                      <w:szCs w:val="18"/>
                    </w:rPr>
                    <w:t>环保工程</w:t>
                  </w:r>
                </w:p>
              </w:tc>
              <w:tc>
                <w:tcPr>
                  <w:tcW w:w="175" w:type="pct"/>
                  <w:vAlign w:val="center"/>
                </w:tcPr>
                <w:p w14:paraId="5DA1B1A1">
                  <w:pPr>
                    <w:pStyle w:val="83"/>
                    <w:rPr>
                      <w:rFonts w:hint="default"/>
                      <w:sz w:val="18"/>
                      <w:szCs w:val="18"/>
                    </w:rPr>
                  </w:pPr>
                  <w:r>
                    <w:rPr>
                      <w:sz w:val="18"/>
                      <w:szCs w:val="18"/>
                    </w:rPr>
                    <w:t>废水</w:t>
                  </w:r>
                </w:p>
              </w:tc>
              <w:tc>
                <w:tcPr>
                  <w:tcW w:w="478" w:type="pct"/>
                  <w:vAlign w:val="center"/>
                </w:tcPr>
                <w:p w14:paraId="1F2867EC">
                  <w:pPr>
                    <w:pStyle w:val="83"/>
                    <w:rPr>
                      <w:rFonts w:hint="default"/>
                      <w:sz w:val="18"/>
                      <w:szCs w:val="18"/>
                    </w:rPr>
                  </w:pPr>
                </w:p>
              </w:tc>
              <w:tc>
                <w:tcPr>
                  <w:tcW w:w="4248" w:type="pct"/>
                  <w:gridSpan w:val="9"/>
                  <w:vAlign w:val="center"/>
                </w:tcPr>
                <w:p w14:paraId="6C279AEE">
                  <w:pPr>
                    <w:pStyle w:val="83"/>
                    <w:rPr>
                      <w:rFonts w:hint="default"/>
                      <w:sz w:val="18"/>
                      <w:szCs w:val="18"/>
                    </w:rPr>
                  </w:pPr>
                  <w:r>
                    <w:rPr>
                      <w:sz w:val="18"/>
                      <w:szCs w:val="18"/>
                    </w:rPr>
                    <w:t>纺丝一至六期项目、加弹项目、聚合一至二期项目、再生切片项目生产废水经综合废水处理站（预水解酸化+IEPI厌氧塔+ A/O+MBR+RO）处理后回用于生产；</w:t>
                  </w:r>
                  <w:r>
                    <w:rPr>
                      <w:sz w:val="18"/>
                      <w:szCs w:val="18"/>
                    </w:rPr>
                    <w:br w:type="textWrapping"/>
                  </w:r>
                  <w:r>
                    <w:rPr>
                      <w:sz w:val="18"/>
                      <w:szCs w:val="18"/>
                    </w:rPr>
                    <w:t>聚合三期生产废水经聚合三期配套污水处理站（预水解酸化+UASB +A/O）处理后尾水进入综合废水处理站中水回用系统（RO）处理后回用于生产；</w:t>
                  </w:r>
                  <w:r>
                    <w:rPr>
                      <w:sz w:val="18"/>
                      <w:szCs w:val="18"/>
                    </w:rPr>
                    <w:br w:type="textWrapping"/>
                  </w:r>
                  <w:r>
                    <w:rPr>
                      <w:sz w:val="18"/>
                      <w:szCs w:val="18"/>
                    </w:rPr>
                    <w:t>中水回用系统反渗透浓水纳入福州市滨海工业区污水处理厂统一处理；</w:t>
                  </w:r>
                  <w:r>
                    <w:rPr>
                      <w:sz w:val="18"/>
                      <w:szCs w:val="18"/>
                    </w:rPr>
                    <w:br w:type="textWrapping"/>
                  </w:r>
                  <w:r>
                    <w:rPr>
                      <w:sz w:val="18"/>
                      <w:szCs w:val="18"/>
                    </w:rPr>
                    <w:t>生活污水经化粪池处理后纳入福州市滨海工业区污水处理厂统一处理</w:t>
                  </w:r>
                </w:p>
              </w:tc>
            </w:tr>
            <w:tr w14:paraId="5BB6E5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3E988872">
                  <w:pPr>
                    <w:pStyle w:val="83"/>
                    <w:rPr>
                      <w:rFonts w:hint="default"/>
                      <w:sz w:val="18"/>
                      <w:szCs w:val="18"/>
                    </w:rPr>
                  </w:pPr>
                </w:p>
              </w:tc>
              <w:tc>
                <w:tcPr>
                  <w:tcW w:w="175" w:type="pct"/>
                  <w:vAlign w:val="center"/>
                </w:tcPr>
                <w:p w14:paraId="7CB74BC9">
                  <w:pPr>
                    <w:pStyle w:val="83"/>
                    <w:rPr>
                      <w:rFonts w:hint="default"/>
                      <w:sz w:val="18"/>
                      <w:szCs w:val="18"/>
                    </w:rPr>
                  </w:pPr>
                  <w:r>
                    <w:rPr>
                      <w:sz w:val="18"/>
                      <w:szCs w:val="18"/>
                    </w:rPr>
                    <w:t>废气</w:t>
                  </w:r>
                </w:p>
              </w:tc>
              <w:tc>
                <w:tcPr>
                  <w:tcW w:w="478" w:type="pct"/>
                  <w:vAlign w:val="center"/>
                </w:tcPr>
                <w:p w14:paraId="1EE35E13">
                  <w:pPr>
                    <w:pStyle w:val="83"/>
                    <w:rPr>
                      <w:rFonts w:hint="default"/>
                      <w:sz w:val="18"/>
                      <w:szCs w:val="18"/>
                    </w:rPr>
                  </w:pPr>
                  <w:r>
                    <w:rPr>
                      <w:sz w:val="18"/>
                      <w:szCs w:val="18"/>
                    </w:rPr>
                    <w:t>纺丝废气：水喷淋处理后经8根24m排气筒排放；</w:t>
                  </w:r>
                  <w:r>
                    <w:rPr>
                      <w:sz w:val="18"/>
                      <w:szCs w:val="18"/>
                    </w:rPr>
                    <w:br w:type="textWrapping"/>
                  </w:r>
                  <w:r>
                    <w:rPr>
                      <w:sz w:val="18"/>
                      <w:szCs w:val="18"/>
                    </w:rPr>
                    <w:t>油剂废气：2套静电除油装置处理后经2根26m排气筒排放</w:t>
                  </w:r>
                  <w:r>
                    <w:rPr>
                      <w:sz w:val="18"/>
                      <w:szCs w:val="18"/>
                    </w:rPr>
                    <w:br w:type="textWrapping"/>
                  </w:r>
                  <w:r>
                    <w:rPr>
                      <w:sz w:val="18"/>
                      <w:szCs w:val="18"/>
                    </w:rPr>
                    <w:t>煅烧废气：经3套水喷淋装置处理后通过2根20m排气筒排放</w:t>
                  </w:r>
                </w:p>
              </w:tc>
              <w:tc>
                <w:tcPr>
                  <w:tcW w:w="584" w:type="pct"/>
                  <w:vAlign w:val="center"/>
                </w:tcPr>
                <w:p w14:paraId="139CC2B7">
                  <w:pPr>
                    <w:pStyle w:val="83"/>
                    <w:rPr>
                      <w:rFonts w:hint="default"/>
                      <w:sz w:val="18"/>
                      <w:szCs w:val="18"/>
                    </w:rPr>
                  </w:pPr>
                  <w:r>
                    <w:rPr>
                      <w:sz w:val="18"/>
                      <w:szCs w:val="18"/>
                    </w:rPr>
                    <w:t>纺丝废气：水喷淋处理后通过6根24m排气筒排放；</w:t>
                  </w:r>
                  <w:r>
                    <w:rPr>
                      <w:sz w:val="18"/>
                      <w:szCs w:val="18"/>
                    </w:rPr>
                    <w:br w:type="textWrapping"/>
                  </w:r>
                  <w:r>
                    <w:rPr>
                      <w:sz w:val="18"/>
                      <w:szCs w:val="18"/>
                    </w:rPr>
                    <w:t>油剂废气：经13套静电除油装置处理后通过2根21m排气筒排放</w:t>
                  </w:r>
                  <w:r>
                    <w:rPr>
                      <w:sz w:val="18"/>
                      <w:szCs w:val="18"/>
                    </w:rPr>
                    <w:br w:type="textWrapping"/>
                  </w:r>
                  <w:r>
                    <w:rPr>
                      <w:sz w:val="18"/>
                      <w:szCs w:val="18"/>
                    </w:rPr>
                    <w:t>煅烧废气：经1套水喷淋装置处理后通过1根20m排气筒排放</w:t>
                  </w:r>
                </w:p>
              </w:tc>
              <w:tc>
                <w:tcPr>
                  <w:tcW w:w="423" w:type="pct"/>
                  <w:vAlign w:val="center"/>
                </w:tcPr>
                <w:p w14:paraId="7FE6A8B7">
                  <w:pPr>
                    <w:pStyle w:val="83"/>
                    <w:rPr>
                      <w:rFonts w:hint="default"/>
                      <w:sz w:val="18"/>
                      <w:szCs w:val="18"/>
                    </w:rPr>
                  </w:pPr>
                  <w:r>
                    <w:rPr>
                      <w:sz w:val="18"/>
                      <w:szCs w:val="18"/>
                    </w:rPr>
                    <w:t>纺丝废气：水喷淋处理后经8根24m排气筒排放；</w:t>
                  </w:r>
                  <w:r>
                    <w:rPr>
                      <w:sz w:val="18"/>
                      <w:szCs w:val="18"/>
                    </w:rPr>
                    <w:br w:type="textWrapping"/>
                  </w:r>
                  <w:r>
                    <w:rPr>
                      <w:sz w:val="18"/>
                      <w:szCs w:val="18"/>
                    </w:rPr>
                    <w:t>油剂废气：30套静电除油装置处理后经2根24m排气筒排放</w:t>
                  </w:r>
                  <w:r>
                    <w:rPr>
                      <w:sz w:val="18"/>
                      <w:szCs w:val="18"/>
                    </w:rPr>
                    <w:br w:type="textWrapping"/>
                  </w:r>
                  <w:r>
                    <w:rPr>
                      <w:sz w:val="18"/>
                      <w:szCs w:val="18"/>
                    </w:rPr>
                    <w:t>煅烧废气：经2套水喷淋装置处理后通过1根24m排气筒排放</w:t>
                  </w:r>
                </w:p>
              </w:tc>
              <w:tc>
                <w:tcPr>
                  <w:tcW w:w="406" w:type="pct"/>
                  <w:vAlign w:val="center"/>
                </w:tcPr>
                <w:p w14:paraId="4EE36433">
                  <w:pPr>
                    <w:pStyle w:val="83"/>
                    <w:rPr>
                      <w:rFonts w:hint="default"/>
                      <w:sz w:val="18"/>
                      <w:szCs w:val="18"/>
                    </w:rPr>
                  </w:pPr>
                  <w:r>
                    <w:rPr>
                      <w:sz w:val="18"/>
                      <w:szCs w:val="18"/>
                    </w:rPr>
                    <w:t>纺丝废气：水喷淋处理后由10根24m排气筒排放</w:t>
                  </w:r>
                  <w:r>
                    <w:rPr>
                      <w:sz w:val="18"/>
                      <w:szCs w:val="18"/>
                    </w:rPr>
                    <w:br w:type="textWrapping"/>
                  </w:r>
                  <w:r>
                    <w:rPr>
                      <w:sz w:val="18"/>
                      <w:szCs w:val="18"/>
                    </w:rPr>
                    <w:t>油剂废气：经2套静电除油装置处理后通过2根26m排气筒排放</w:t>
                  </w:r>
                  <w:r>
                    <w:rPr>
                      <w:sz w:val="18"/>
                      <w:szCs w:val="18"/>
                    </w:rPr>
                    <w:br w:type="textWrapping"/>
                  </w:r>
                  <w:r>
                    <w:rPr>
                      <w:sz w:val="18"/>
                      <w:szCs w:val="18"/>
                    </w:rPr>
                    <w:t>煅烧废气：经2套水喷淋装置处理后通过1根24m排气筒排放</w:t>
                  </w:r>
                </w:p>
              </w:tc>
              <w:tc>
                <w:tcPr>
                  <w:tcW w:w="550" w:type="pct"/>
                  <w:vAlign w:val="center"/>
                </w:tcPr>
                <w:p w14:paraId="0487CBC7">
                  <w:pPr>
                    <w:pStyle w:val="83"/>
                    <w:rPr>
                      <w:rFonts w:hint="default"/>
                      <w:sz w:val="18"/>
                      <w:szCs w:val="18"/>
                    </w:rPr>
                  </w:pPr>
                  <w:r>
                    <w:rPr>
                      <w:sz w:val="18"/>
                      <w:szCs w:val="18"/>
                    </w:rPr>
                    <w:t>纺丝废气：水喷淋处理后由2根25m排气筒排放</w:t>
                  </w:r>
                  <w:r>
                    <w:rPr>
                      <w:sz w:val="18"/>
                      <w:szCs w:val="18"/>
                    </w:rPr>
                    <w:br w:type="textWrapping"/>
                  </w:r>
                  <w:r>
                    <w:rPr>
                      <w:sz w:val="18"/>
                      <w:szCs w:val="18"/>
                    </w:rPr>
                    <w:t>油剂废气、煅烧废气：经静电除油装置处理后通过1根25m排气筒排放</w:t>
                  </w:r>
                </w:p>
                <w:p w14:paraId="68A13D33">
                  <w:pPr>
                    <w:pStyle w:val="83"/>
                    <w:rPr>
                      <w:rFonts w:hint="default"/>
                      <w:sz w:val="18"/>
                      <w:szCs w:val="18"/>
                    </w:rPr>
                  </w:pPr>
                  <w:r>
                    <w:rPr>
                      <w:sz w:val="18"/>
                      <w:szCs w:val="18"/>
                    </w:rPr>
                    <w:t>加弹废气：经静电除油装置处理后通过1根25m排气筒排放</w:t>
                  </w:r>
                </w:p>
              </w:tc>
              <w:tc>
                <w:tcPr>
                  <w:tcW w:w="370" w:type="pct"/>
                  <w:vAlign w:val="center"/>
                </w:tcPr>
                <w:p w14:paraId="0CB5B84E">
                  <w:pPr>
                    <w:pStyle w:val="83"/>
                    <w:rPr>
                      <w:rFonts w:hint="default"/>
                      <w:sz w:val="18"/>
                      <w:szCs w:val="18"/>
                    </w:rPr>
                  </w:pPr>
                  <w:r>
                    <w:rPr>
                      <w:sz w:val="18"/>
                      <w:szCs w:val="18"/>
                    </w:rPr>
                    <w:t>油剂废气：经4套静电除油装置处理后通过4根26m排气筒排放</w:t>
                  </w:r>
                </w:p>
              </w:tc>
              <w:tc>
                <w:tcPr>
                  <w:tcW w:w="424" w:type="pct"/>
                  <w:vAlign w:val="center"/>
                </w:tcPr>
                <w:p w14:paraId="326C3598">
                  <w:pPr>
                    <w:pStyle w:val="83"/>
                    <w:rPr>
                      <w:rFonts w:hint="default"/>
                      <w:sz w:val="18"/>
                      <w:szCs w:val="18"/>
                    </w:rPr>
                  </w:pPr>
                  <w:r>
                    <w:rPr>
                      <w:sz w:val="18"/>
                      <w:szCs w:val="18"/>
                    </w:rPr>
                    <w:t>熔融废气由集气罩收集后经1套烟气净化处理系统（喷淋塔+静电除尘+活性炭吸附）处理后尾气通过1根15m高排气筒排放</w:t>
                  </w:r>
                </w:p>
              </w:tc>
              <w:tc>
                <w:tcPr>
                  <w:tcW w:w="982" w:type="pct"/>
                  <w:gridSpan w:val="2"/>
                  <w:vAlign w:val="center"/>
                </w:tcPr>
                <w:p w14:paraId="7C50D6F7">
                  <w:pPr>
                    <w:pStyle w:val="83"/>
                    <w:rPr>
                      <w:rFonts w:hint="default"/>
                      <w:sz w:val="18"/>
                      <w:szCs w:val="18"/>
                    </w:rPr>
                  </w:pPr>
                  <w:r>
                    <w:rPr>
                      <w:sz w:val="18"/>
                      <w:szCs w:val="18"/>
                    </w:rPr>
                    <w:t>工艺废气经汽提塔和冷凝器处理后通过1根36m排气筒排放</w:t>
                  </w:r>
                </w:p>
              </w:tc>
              <w:tc>
                <w:tcPr>
                  <w:tcW w:w="506" w:type="pct"/>
                  <w:vAlign w:val="center"/>
                </w:tcPr>
                <w:p w14:paraId="4453BE43">
                  <w:pPr>
                    <w:pStyle w:val="83"/>
                    <w:rPr>
                      <w:rFonts w:hint="default"/>
                      <w:sz w:val="18"/>
                      <w:szCs w:val="18"/>
                    </w:rPr>
                  </w:pPr>
                  <w:r>
                    <w:rPr>
                      <w:sz w:val="18"/>
                      <w:szCs w:val="18"/>
                    </w:rPr>
                    <w:t>聚合废气：经填料塔洗涤+冷凝器冷凝+沉浸槽处理后和经配套单体抽吸设备+水喷淋塔洗涤处理的切片废气一起由1根36m排气筒排放</w:t>
                  </w:r>
                  <w:r>
                    <w:rPr>
                      <w:sz w:val="18"/>
                      <w:szCs w:val="18"/>
                    </w:rPr>
                    <w:br w:type="textWrapping"/>
                  </w:r>
                  <w:r>
                    <w:rPr>
                      <w:sz w:val="18"/>
                      <w:szCs w:val="18"/>
                    </w:rPr>
                    <w:t>生物质锅炉废气经低氮燃烧+陶瓷多管除尘+SCR脱硝+干法脱硫+布袋除尘处理后通过1根40m排气筒排放</w:t>
                  </w:r>
                  <w:r>
                    <w:rPr>
                      <w:sz w:val="18"/>
                      <w:szCs w:val="18"/>
                    </w:rPr>
                    <w:br w:type="textWrapping"/>
                  </w:r>
                  <w:r>
                    <w:rPr>
                      <w:sz w:val="18"/>
                      <w:szCs w:val="18"/>
                    </w:rPr>
                    <w:t>燃气锅炉烟气经3根25m排气筒排放</w:t>
                  </w:r>
                </w:p>
              </w:tc>
            </w:tr>
            <w:tr w14:paraId="1C91E6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12A1BFA1">
                  <w:pPr>
                    <w:pStyle w:val="83"/>
                    <w:rPr>
                      <w:rFonts w:hint="default"/>
                      <w:sz w:val="18"/>
                      <w:szCs w:val="18"/>
                    </w:rPr>
                  </w:pPr>
                </w:p>
              </w:tc>
              <w:tc>
                <w:tcPr>
                  <w:tcW w:w="175" w:type="pct"/>
                  <w:vAlign w:val="center"/>
                </w:tcPr>
                <w:p w14:paraId="6241371D">
                  <w:pPr>
                    <w:pStyle w:val="83"/>
                    <w:rPr>
                      <w:rFonts w:hint="default"/>
                      <w:sz w:val="18"/>
                      <w:szCs w:val="18"/>
                    </w:rPr>
                  </w:pPr>
                  <w:r>
                    <w:rPr>
                      <w:sz w:val="18"/>
                      <w:szCs w:val="18"/>
                    </w:rPr>
                    <w:t>固废</w:t>
                  </w:r>
                </w:p>
              </w:tc>
              <w:tc>
                <w:tcPr>
                  <w:tcW w:w="3237" w:type="pct"/>
                  <w:gridSpan w:val="7"/>
                  <w:vAlign w:val="center"/>
                </w:tcPr>
                <w:p w14:paraId="7AEC3324">
                  <w:pPr>
                    <w:pStyle w:val="83"/>
                    <w:rPr>
                      <w:rFonts w:hint="default"/>
                      <w:sz w:val="18"/>
                      <w:szCs w:val="18"/>
                    </w:rPr>
                  </w:pPr>
                  <w:r>
                    <w:rPr>
                      <w:sz w:val="18"/>
                      <w:szCs w:val="18"/>
                    </w:rPr>
                    <w:t>废锦纶丝在厂内回收综合利用；污水处理站污泥、废包装材料、不合格边角料外售综合利用；废油剂暂存在危废间后续委托福建绿洲固体废弃物处置有限公司处置；生活垃圾由环卫部门统一清运</w:t>
                  </w:r>
                </w:p>
              </w:tc>
              <w:tc>
                <w:tcPr>
                  <w:tcW w:w="1488" w:type="pct"/>
                  <w:gridSpan w:val="3"/>
                  <w:vAlign w:val="center"/>
                </w:tcPr>
                <w:p w14:paraId="5272E397">
                  <w:pPr>
                    <w:pStyle w:val="83"/>
                    <w:rPr>
                      <w:rFonts w:hint="default"/>
                      <w:sz w:val="18"/>
                      <w:szCs w:val="18"/>
                    </w:rPr>
                  </w:pPr>
                  <w:r>
                    <w:rPr>
                      <w:sz w:val="18"/>
                      <w:szCs w:val="18"/>
                    </w:rPr>
                    <w:t>生物质锅炉的炉渣开展危废鉴定，鉴定前暂存危废间按危险废物管理；催化剂、废离子交换树脂、废SCR催化剂及实验室废液等暂存在危废间后续委托福建三明海中环保科技有限公司处置；生活垃圾由环卫部门清运</w:t>
                  </w:r>
                </w:p>
              </w:tc>
            </w:tr>
            <w:tr w14:paraId="308019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7" w:type="pct"/>
                  <w:vMerge w:val="continue"/>
                  <w:vAlign w:val="center"/>
                </w:tcPr>
                <w:p w14:paraId="24541DF6">
                  <w:pPr>
                    <w:pStyle w:val="83"/>
                    <w:rPr>
                      <w:rFonts w:hint="default"/>
                      <w:sz w:val="18"/>
                      <w:szCs w:val="18"/>
                    </w:rPr>
                  </w:pPr>
                </w:p>
              </w:tc>
              <w:tc>
                <w:tcPr>
                  <w:tcW w:w="175" w:type="pct"/>
                  <w:vAlign w:val="center"/>
                </w:tcPr>
                <w:p w14:paraId="4A0E2B60">
                  <w:pPr>
                    <w:pStyle w:val="83"/>
                    <w:rPr>
                      <w:rFonts w:hint="default"/>
                      <w:sz w:val="18"/>
                      <w:szCs w:val="18"/>
                    </w:rPr>
                  </w:pPr>
                  <w:r>
                    <w:rPr>
                      <w:sz w:val="18"/>
                      <w:szCs w:val="18"/>
                    </w:rPr>
                    <w:t>环境风险防范</w:t>
                  </w:r>
                </w:p>
              </w:tc>
              <w:tc>
                <w:tcPr>
                  <w:tcW w:w="4726" w:type="pct"/>
                  <w:gridSpan w:val="10"/>
                  <w:vAlign w:val="center"/>
                </w:tcPr>
                <w:p w14:paraId="1CA2E6E1">
                  <w:pPr>
                    <w:pStyle w:val="83"/>
                    <w:rPr>
                      <w:rFonts w:hint="default"/>
                      <w:sz w:val="18"/>
                      <w:szCs w:val="18"/>
                    </w:rPr>
                  </w:pPr>
                  <w:r>
                    <w:rPr>
                      <w:sz w:val="18"/>
                      <w:szCs w:val="18"/>
                    </w:rPr>
                    <w:t>厂区现有3340m</w:t>
                  </w:r>
                  <w:r>
                    <w:rPr>
                      <w:sz w:val="18"/>
                      <w:szCs w:val="18"/>
                      <w:vertAlign w:val="superscript"/>
                    </w:rPr>
                    <w:t>3</w:t>
                  </w:r>
                  <w:r>
                    <w:rPr>
                      <w:sz w:val="18"/>
                      <w:szCs w:val="18"/>
                    </w:rPr>
                    <w:t>的事故应急池和490m</w:t>
                  </w:r>
                  <w:r>
                    <w:rPr>
                      <w:sz w:val="18"/>
                      <w:szCs w:val="18"/>
                      <w:vertAlign w:val="superscript"/>
                    </w:rPr>
                    <w:t>3</w:t>
                  </w:r>
                  <w:r>
                    <w:rPr>
                      <w:sz w:val="18"/>
                      <w:szCs w:val="18"/>
                    </w:rPr>
                    <w:t>（200m</w:t>
                  </w:r>
                  <w:r>
                    <w:rPr>
                      <w:sz w:val="18"/>
                      <w:szCs w:val="18"/>
                      <w:vertAlign w:val="superscript"/>
                    </w:rPr>
                    <w:t>3</w:t>
                  </w:r>
                  <w:r>
                    <w:rPr>
                      <w:sz w:val="18"/>
                      <w:szCs w:val="18"/>
                    </w:rPr>
                    <w:t>已建+290m</w:t>
                  </w:r>
                  <w:r>
                    <w:rPr>
                      <w:sz w:val="18"/>
                      <w:szCs w:val="18"/>
                      <w:vertAlign w:val="superscript"/>
                    </w:rPr>
                    <w:t>3</w:t>
                  </w:r>
                  <w:r>
                    <w:rPr>
                      <w:sz w:val="18"/>
                      <w:szCs w:val="18"/>
                    </w:rPr>
                    <w:t>在建）的初期雨水池。</w:t>
                  </w:r>
                </w:p>
              </w:tc>
            </w:tr>
          </w:tbl>
          <w:p w14:paraId="3D6DCC44">
            <w:pPr>
              <w:pStyle w:val="13"/>
              <w:rPr>
                <w:bCs w:val="0"/>
                <w:szCs w:val="24"/>
              </w:rPr>
            </w:pPr>
          </w:p>
        </w:tc>
      </w:tr>
    </w:tbl>
    <w:p w14:paraId="5DADAA14">
      <w:pPr>
        <w:pStyle w:val="14"/>
        <w:rPr>
          <w:rFonts w:hint="eastAsia" w:ascii="黑体" w:hAnsi="黑体" w:eastAsia="黑体"/>
          <w:snapToGrid w:val="0"/>
          <w:sz w:val="36"/>
          <w:szCs w:val="36"/>
        </w:rPr>
        <w:sectPr>
          <w:pgSz w:w="23811" w:h="16838"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634"/>
      </w:tblGrid>
      <w:tr w14:paraId="7D50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14:paraId="6A62B27B">
            <w:pPr>
              <w:pStyle w:val="14"/>
              <w:spacing w:after="0" w:afterAutospacing="0"/>
              <w:ind w:firstLine="0" w:firstLineChars="0"/>
              <w:jc w:val="center"/>
              <w:rPr>
                <w:rFonts w:hint="eastAsia" w:ascii="黑体" w:hAnsi="黑体" w:eastAsia="黑体"/>
                <w:snapToGrid w:val="0"/>
                <w:sz w:val="21"/>
                <w:szCs w:val="21"/>
              </w:rPr>
            </w:pPr>
            <w:r>
              <w:rPr>
                <w:rFonts w:hint="eastAsia" w:cs="宋体"/>
                <w:bCs/>
                <w:kern w:val="2"/>
                <w:sz w:val="21"/>
                <w:szCs w:val="21"/>
              </w:rPr>
              <w:t>与项目有关的原有环境污染问题</w:t>
            </w:r>
          </w:p>
        </w:tc>
        <w:tc>
          <w:tcPr>
            <w:tcW w:w="8634" w:type="dxa"/>
          </w:tcPr>
          <w:p w14:paraId="67660421">
            <w:pPr>
              <w:pStyle w:val="4"/>
              <w:spacing w:before="120" w:after="0" w:afterLines="0"/>
            </w:pPr>
            <w:r>
              <w:rPr>
                <w:rFonts w:hint="eastAsia"/>
              </w:rPr>
              <w:t>2.3.2 现有工程工艺流程和产污环节</w:t>
            </w:r>
          </w:p>
          <w:p w14:paraId="4FB951F6">
            <w:pPr>
              <w:pStyle w:val="5"/>
            </w:pPr>
            <w:r>
              <w:rPr>
                <w:rFonts w:hint="eastAsia"/>
              </w:rPr>
              <w:t>2.3.2.1 纺丝项目</w:t>
            </w:r>
          </w:p>
          <w:p w14:paraId="138A1A65">
            <w:pPr>
              <w:ind w:firstLine="480"/>
            </w:pPr>
            <w:r>
              <w:rPr>
                <w:rFonts w:hint="eastAsia"/>
              </w:rPr>
              <w:t>企业现已投产五期纺丝项目，一期纺丝项目在建，生产工艺基本相同，工艺主体为：进料—切片熔融—纺丝—单体抽吸—上油—卷绕—落筒包装-组件清洗。详见图2.3-1。</w:t>
            </w:r>
          </w:p>
          <w:p w14:paraId="342347DE">
            <w:pPr>
              <w:pStyle w:val="6"/>
            </w:pPr>
            <w:r>
              <w:rPr>
                <w:rFonts w:hint="eastAsia"/>
              </w:rPr>
              <w:drawing>
                <wp:inline distT="0" distB="0" distL="0" distR="0">
                  <wp:extent cx="2660015" cy="3959860"/>
                  <wp:effectExtent l="0" t="0" r="6985"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660015" cy="3959860"/>
                          </a:xfrm>
                          <a:prstGeom prst="rect">
                            <a:avLst/>
                          </a:prstGeom>
                          <a:noFill/>
                          <a:ln>
                            <a:noFill/>
                          </a:ln>
                        </pic:spPr>
                      </pic:pic>
                    </a:graphicData>
                  </a:graphic>
                </wp:inline>
              </w:drawing>
            </w:r>
          </w:p>
          <w:p w14:paraId="4888EBCF">
            <w:pPr>
              <w:pStyle w:val="13"/>
            </w:pPr>
            <w:r>
              <w:rPr>
                <w:rFonts w:hint="eastAsia"/>
              </w:rPr>
              <w:t>图2.3-1  现有纺丝项目工艺流程及产污环节示意图</w:t>
            </w:r>
          </w:p>
          <w:p w14:paraId="47CB4E13">
            <w:pPr>
              <w:pStyle w:val="5"/>
            </w:pPr>
            <w:r>
              <w:rPr>
                <w:rFonts w:hint="eastAsia"/>
              </w:rPr>
              <w:t>2.3.2.2 加弹项目</w:t>
            </w:r>
          </w:p>
          <w:p w14:paraId="5D7EFBA1">
            <w:pPr>
              <w:ind w:firstLine="480"/>
            </w:pPr>
            <w:r>
              <w:rPr>
                <w:rFonts w:hint="eastAsia"/>
              </w:rPr>
              <w:t>现有加弹项目采用的纺丝加弹加工生产线主要包括四个工艺主体，即：纺丝固定上支架—加捻成型—卷绕—包装。详见图2.3-2。</w:t>
            </w:r>
          </w:p>
          <w:p w14:paraId="6B882953">
            <w:pPr>
              <w:pStyle w:val="6"/>
            </w:pPr>
            <w:r>
              <w:rPr>
                <w:rFonts w:hint="eastAsia"/>
              </w:rPr>
              <w:drawing>
                <wp:inline distT="0" distB="0" distL="0" distR="0">
                  <wp:extent cx="4194175" cy="1259840"/>
                  <wp:effectExtent l="0" t="0" r="15875" b="1651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4194175" cy="1259840"/>
                          </a:xfrm>
                          <a:prstGeom prst="rect">
                            <a:avLst/>
                          </a:prstGeom>
                          <a:noFill/>
                          <a:ln>
                            <a:noFill/>
                          </a:ln>
                        </pic:spPr>
                      </pic:pic>
                    </a:graphicData>
                  </a:graphic>
                </wp:inline>
              </w:drawing>
            </w:r>
          </w:p>
          <w:p w14:paraId="61A64D30">
            <w:pPr>
              <w:pStyle w:val="13"/>
            </w:pPr>
            <w:r>
              <w:rPr>
                <w:rFonts w:hint="eastAsia"/>
              </w:rPr>
              <w:t>图2.3-2  现有加弹项目工艺流程及产污环节示意图</w:t>
            </w:r>
          </w:p>
          <w:p w14:paraId="43EC03FA">
            <w:pPr>
              <w:pStyle w:val="5"/>
            </w:pPr>
            <w:r>
              <w:rPr>
                <w:rFonts w:hint="eastAsia"/>
              </w:rPr>
              <w:t>2.3.2.4 再生切片项目</w:t>
            </w:r>
          </w:p>
          <w:p w14:paraId="506169FB">
            <w:pPr>
              <w:ind w:firstLine="480"/>
            </w:pPr>
            <w:r>
              <w:rPr>
                <w:rFonts w:hint="eastAsia"/>
              </w:rPr>
              <w:t>企业现有再生切片/改性工塑项目主要工艺为：废料分拣—均匀破碎—熔融挤出—冷却—筛分—包装—组件清洗。详见图2.3-3。</w:t>
            </w:r>
          </w:p>
          <w:p w14:paraId="442BAC0F">
            <w:pPr>
              <w:pStyle w:val="6"/>
            </w:pPr>
            <w:r>
              <w:rPr>
                <w:rFonts w:hint="eastAsia"/>
              </w:rPr>
              <w:drawing>
                <wp:inline distT="0" distB="0" distL="0" distR="0">
                  <wp:extent cx="3361055" cy="2160270"/>
                  <wp:effectExtent l="0" t="0" r="10795" b="11430"/>
                  <wp:docPr id="923089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89279" name="图片 1"/>
                          <pic:cNvPicPr>
                            <a:picLocks noChangeAspect="1"/>
                          </pic:cNvPicPr>
                        </pic:nvPicPr>
                        <pic:blipFill>
                          <a:blip r:embed="rId30"/>
                          <a:stretch>
                            <a:fillRect/>
                          </a:stretch>
                        </pic:blipFill>
                        <pic:spPr>
                          <a:xfrm>
                            <a:off x="0" y="0"/>
                            <a:ext cx="3361055" cy="2160270"/>
                          </a:xfrm>
                          <a:prstGeom prst="rect">
                            <a:avLst/>
                          </a:prstGeom>
                        </pic:spPr>
                      </pic:pic>
                    </a:graphicData>
                  </a:graphic>
                </wp:inline>
              </w:drawing>
            </w:r>
          </w:p>
          <w:p w14:paraId="5A74882D">
            <w:pPr>
              <w:pStyle w:val="6"/>
            </w:pPr>
            <w:r>
              <w:rPr>
                <w:rFonts w:hint="eastAsia"/>
              </w:rPr>
              <w:drawing>
                <wp:inline distT="0" distB="0" distL="0" distR="0">
                  <wp:extent cx="3162935" cy="2160270"/>
                  <wp:effectExtent l="0" t="0" r="18415" b="11430"/>
                  <wp:docPr id="782681662" name="图片 1" descr="ai_picture_ai_change_1782876400841"/>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pictures&quot;,&quot;user&quot;:&quot;1712332695&quot;}"/>
                        </s:tag>
                      </a:ext>
                    </a:extLst>
                  </wp:cNvGraphicFramePr>
                  <a:graphic xmlns:a="http://schemas.openxmlformats.org/drawingml/2006/main">
                    <a:graphicData uri="http://schemas.openxmlformats.org/drawingml/2006/picture">
                      <pic:pic xmlns:pic="http://schemas.openxmlformats.org/drawingml/2006/picture">
                        <pic:nvPicPr>
                          <pic:cNvPr id="782681662" name="图片 1" descr="ai_picture_ai_change_1782876400841"/>
                          <pic:cNvPicPr>
                            <a:picLocks noChangeAspect="1"/>
                          </pic:cNvPicPr>
                        </pic:nvPicPr>
                        <pic:blipFill>
                          <a:blip r:embed="rId31"/>
                          <a:srcRect t="50" b="50"/>
                          <a:stretch>
                            <a:fillRect/>
                          </a:stretch>
                        </pic:blipFill>
                        <pic:spPr>
                          <a:xfrm>
                            <a:off x="0" y="0"/>
                            <a:ext cx="3162935" cy="2160270"/>
                          </a:xfrm>
                          <a:prstGeom prst="rect">
                            <a:avLst/>
                          </a:prstGeom>
                        </pic:spPr>
                      </pic:pic>
                    </a:graphicData>
                  </a:graphic>
                </wp:inline>
              </w:drawing>
            </w:r>
          </w:p>
          <w:p w14:paraId="43990030">
            <w:pPr>
              <w:pStyle w:val="6"/>
            </w:pPr>
            <w:r>
              <w:rPr>
                <w:rFonts w:hint="eastAsia"/>
              </w:rPr>
              <w:drawing>
                <wp:inline distT="0" distB="0" distL="0" distR="0">
                  <wp:extent cx="3205480" cy="791845"/>
                  <wp:effectExtent l="0" t="0" r="0" b="8255"/>
                  <wp:docPr id="20510693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69369" name="图片 1"/>
                          <pic:cNvPicPr>
                            <a:picLocks noChangeAspect="1"/>
                          </pic:cNvPicPr>
                        </pic:nvPicPr>
                        <pic:blipFill>
                          <a:blip r:embed="rId32"/>
                          <a:stretch>
                            <a:fillRect/>
                          </a:stretch>
                        </pic:blipFill>
                        <pic:spPr>
                          <a:xfrm>
                            <a:off x="0" y="0"/>
                            <a:ext cx="3205697" cy="792000"/>
                          </a:xfrm>
                          <a:prstGeom prst="rect">
                            <a:avLst/>
                          </a:prstGeom>
                        </pic:spPr>
                      </pic:pic>
                    </a:graphicData>
                  </a:graphic>
                </wp:inline>
              </w:drawing>
            </w:r>
          </w:p>
          <w:p w14:paraId="5FA9031C">
            <w:pPr>
              <w:pStyle w:val="13"/>
            </w:pPr>
            <w:r>
              <w:rPr>
                <w:rFonts w:hint="eastAsia"/>
              </w:rPr>
              <w:t>图2.3-3  现有再生项目工艺流程及产污环节示意图</w:t>
            </w:r>
          </w:p>
          <w:p w14:paraId="71E9228F">
            <w:pPr>
              <w:pStyle w:val="5"/>
            </w:pPr>
            <w:r>
              <w:rPr>
                <w:rFonts w:hint="eastAsia"/>
              </w:rPr>
              <w:t>2.3.2.4 聚合项目</w:t>
            </w:r>
          </w:p>
          <w:p w14:paraId="17DFBC8A">
            <w:pPr>
              <w:ind w:firstLine="480"/>
              <w:rPr>
                <w:snapToGrid w:val="0"/>
              </w:rPr>
            </w:pPr>
            <w:r>
              <w:rPr>
                <w:rFonts w:hint="eastAsia"/>
              </w:rPr>
              <w:t>现有项目共包括三期聚合工程，其生产工艺基本相同，即：己内酰胺熔融和储存—添加剂配制—聚合—切粒—切片萃取—</w:t>
            </w:r>
            <w:r>
              <w:t>连续干燥</w:t>
            </w:r>
            <w:r>
              <w:rPr>
                <w:rFonts w:hint="eastAsia"/>
              </w:rPr>
              <w:t>—</w:t>
            </w:r>
            <w:r>
              <w:t>切片输送和包装</w:t>
            </w:r>
            <w:r>
              <w:rPr>
                <w:rFonts w:hint="eastAsia"/>
              </w:rPr>
              <w:t>—萃取水蒸发。详见图2.3-4。</w:t>
            </w:r>
          </w:p>
        </w:tc>
      </w:tr>
    </w:tbl>
    <w:p w14:paraId="1EC46172">
      <w:pPr>
        <w:pStyle w:val="14"/>
        <w:rPr>
          <w:rFonts w:hint="eastAsia" w:ascii="黑体" w:hAnsi="黑体" w:eastAsia="黑体"/>
          <w:snapToGrid w:val="0"/>
          <w:sz w:val="36"/>
          <w:szCs w:val="36"/>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485"/>
        <w:gridCol w:w="12743"/>
      </w:tblGrid>
      <w:tr w14:paraId="685D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c>
          <w:tcPr>
            <w:tcW w:w="485" w:type="dxa"/>
            <w:vAlign w:val="center"/>
          </w:tcPr>
          <w:p w14:paraId="6EDB0D15">
            <w:pPr>
              <w:pStyle w:val="14"/>
              <w:spacing w:after="0" w:afterAutospacing="0"/>
              <w:ind w:firstLine="0" w:firstLineChars="0"/>
              <w:jc w:val="center"/>
              <w:outlineLvl w:val="0"/>
              <w:rPr>
                <w:rFonts w:hint="eastAsia" w:ascii="黑体" w:hAnsi="黑体" w:eastAsia="黑体"/>
                <w:snapToGrid w:val="0"/>
                <w:sz w:val="30"/>
                <w:szCs w:val="30"/>
              </w:rPr>
            </w:pPr>
            <w:r>
              <w:rPr>
                <w:rFonts w:hint="eastAsia" w:cs="宋体"/>
                <w:bCs/>
                <w:kern w:val="2"/>
                <w:sz w:val="21"/>
                <w:szCs w:val="21"/>
              </w:rPr>
              <w:t>与项目有关的原有环境污染问题</w:t>
            </w:r>
          </w:p>
        </w:tc>
        <w:tc>
          <w:tcPr>
            <w:tcW w:w="12743" w:type="dxa"/>
          </w:tcPr>
          <w:p w14:paraId="6491C115">
            <w:pPr>
              <w:pStyle w:val="6"/>
            </w:pPr>
            <w:r>
              <w:rPr>
                <w:rFonts w:hint="eastAsia"/>
              </w:rPr>
              <w:drawing>
                <wp:inline distT="0" distB="0" distL="0" distR="0">
                  <wp:extent cx="7753985" cy="4139565"/>
                  <wp:effectExtent l="0" t="0" r="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7753991" cy="4140000"/>
                          </a:xfrm>
                          <a:prstGeom prst="rect">
                            <a:avLst/>
                          </a:prstGeom>
                          <a:noFill/>
                          <a:ln>
                            <a:noFill/>
                          </a:ln>
                        </pic:spPr>
                      </pic:pic>
                    </a:graphicData>
                  </a:graphic>
                </wp:inline>
              </w:drawing>
            </w:r>
          </w:p>
          <w:p w14:paraId="46A9368B">
            <w:pPr>
              <w:pStyle w:val="13"/>
            </w:pPr>
            <w:r>
              <w:rPr>
                <w:rFonts w:hint="eastAsia"/>
              </w:rPr>
              <w:t>图2.3-4（a）  聚合一、二期生产工艺流程图和产污环节</w:t>
            </w:r>
          </w:p>
          <w:p w14:paraId="649E4C42">
            <w:pPr>
              <w:pStyle w:val="6"/>
            </w:pPr>
            <w:r>
              <w:rPr>
                <w:rFonts w:hint="eastAsia"/>
              </w:rPr>
              <w:drawing>
                <wp:inline distT="0" distB="0" distL="0" distR="0">
                  <wp:extent cx="6391910" cy="5184140"/>
                  <wp:effectExtent l="0" t="0" r="8890" b="16510"/>
                  <wp:docPr id="9" name="图片 34" descr="实际生产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4" descr="实际生产工艺流程图"/>
                          <pic:cNvPicPr>
                            <a:picLocks noChangeAspect="1" noChangeArrowheads="1"/>
                          </pic:cNvPicPr>
                        </pic:nvPicPr>
                        <pic:blipFill>
                          <a:blip r:embed="rId34" cstate="print">
                            <a:extLst>
                              <a:ext uri="{28A0092B-C50C-407E-A947-70E740481C1C}">
                                <a14:useLocalDpi xmlns:a14="http://schemas.microsoft.com/office/drawing/2010/main" val="0"/>
                              </a:ext>
                            </a:extLst>
                          </a:blip>
                          <a:srcRect l="12042" t="6389" r="11546" b="5811"/>
                          <a:stretch>
                            <a:fillRect/>
                          </a:stretch>
                        </pic:blipFill>
                        <pic:spPr>
                          <a:xfrm>
                            <a:off x="0" y="0"/>
                            <a:ext cx="6391910" cy="5184140"/>
                          </a:xfrm>
                          <a:prstGeom prst="rect">
                            <a:avLst/>
                          </a:prstGeom>
                          <a:noFill/>
                          <a:ln>
                            <a:noFill/>
                          </a:ln>
                        </pic:spPr>
                      </pic:pic>
                    </a:graphicData>
                  </a:graphic>
                </wp:inline>
              </w:drawing>
            </w:r>
          </w:p>
          <w:p w14:paraId="27E0710C">
            <w:pPr>
              <w:pStyle w:val="14"/>
              <w:spacing w:before="0" w:beforeAutospacing="0" w:after="0" w:afterAutospacing="0" w:line="276" w:lineRule="auto"/>
              <w:ind w:firstLine="482"/>
              <w:jc w:val="center"/>
              <w:outlineLvl w:val="0"/>
              <w:rPr>
                <w:rFonts w:ascii="Times New Roman" w:hAnsi="Times New Roman"/>
                <w:b/>
                <w:bCs/>
                <w:snapToGrid w:val="0"/>
                <w:sz w:val="30"/>
                <w:szCs w:val="30"/>
              </w:rPr>
            </w:pPr>
            <w:r>
              <w:rPr>
                <w:rFonts w:hint="eastAsia" w:ascii="Times New Roman" w:hAnsi="Times New Roman"/>
                <w:b/>
                <w:bCs/>
              </w:rPr>
              <w:t>图2.3-4（b）</w:t>
            </w:r>
            <w:r>
              <w:rPr>
                <w:rFonts w:hint="eastAsia"/>
                <w:b/>
                <w:bCs/>
              </w:rPr>
              <w:t xml:space="preserve">  </w:t>
            </w:r>
            <w:r>
              <w:rPr>
                <w:rFonts w:hint="eastAsia" w:ascii="Times New Roman" w:hAnsi="Times New Roman"/>
                <w:b/>
                <w:bCs/>
              </w:rPr>
              <w:t>聚合三期生产工艺流程图和产污环节</w:t>
            </w:r>
          </w:p>
        </w:tc>
      </w:tr>
    </w:tbl>
    <w:p w14:paraId="687D9913">
      <w:pPr>
        <w:pStyle w:val="14"/>
        <w:ind w:firstLine="600"/>
        <w:outlineLvl w:val="0"/>
        <w:rPr>
          <w:rFonts w:hint="eastAsia" w:ascii="黑体" w:hAnsi="黑体" w:eastAsia="黑体"/>
          <w:snapToGrid w:val="0"/>
          <w:sz w:val="30"/>
          <w:szCs w:val="30"/>
        </w:rPr>
        <w:sectPr>
          <w:pgSz w:w="16840" w:h="11907"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tbl>
      <w:tblPr>
        <w:tblStyle w:val="17"/>
        <w:tblpPr w:leftFromText="180" w:rightFromText="180" w:vertAnchor="text" w:tblpY="1"/>
        <w:tblOverlap w:val="never"/>
        <w:tblW w:w="95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426"/>
        <w:gridCol w:w="9116"/>
      </w:tblGrid>
      <w:tr w14:paraId="7AB6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c>
          <w:tcPr>
            <w:tcW w:w="426" w:type="dxa"/>
            <w:vAlign w:val="center"/>
          </w:tcPr>
          <w:p w14:paraId="3566638A">
            <w:pPr>
              <w:pStyle w:val="14"/>
              <w:spacing w:before="0" w:beforeAutospacing="0" w:after="0" w:afterAutospacing="0"/>
              <w:ind w:firstLine="0" w:firstLineChars="0"/>
              <w:jc w:val="center"/>
              <w:outlineLvl w:val="0"/>
              <w:rPr>
                <w:rFonts w:hint="eastAsia" w:ascii="黑体" w:hAnsi="黑体" w:eastAsia="黑体"/>
                <w:snapToGrid w:val="0"/>
                <w:sz w:val="21"/>
                <w:szCs w:val="21"/>
              </w:rPr>
            </w:pPr>
            <w:r>
              <w:rPr>
                <w:rFonts w:hint="eastAsia" w:cs="宋体"/>
                <w:bCs/>
                <w:kern w:val="2"/>
                <w:sz w:val="21"/>
                <w:szCs w:val="21"/>
              </w:rPr>
              <w:t>与项目有关的原有环境污染问题</w:t>
            </w:r>
          </w:p>
        </w:tc>
        <w:tc>
          <w:tcPr>
            <w:tcW w:w="9116" w:type="dxa"/>
          </w:tcPr>
          <w:p w14:paraId="340585B7">
            <w:pPr>
              <w:pStyle w:val="3"/>
              <w:spacing w:before="120" w:after="0" w:afterLines="0"/>
            </w:pPr>
            <w:r>
              <w:rPr>
                <w:rFonts w:hint="eastAsia"/>
              </w:rPr>
              <w:t>2.4 现有工程污染物达标排放情况</w:t>
            </w:r>
          </w:p>
          <w:p w14:paraId="52E79C7D">
            <w:pPr>
              <w:pStyle w:val="4"/>
              <w:spacing w:before="120" w:after="0" w:afterLines="0"/>
            </w:pPr>
            <w:r>
              <w:rPr>
                <w:rFonts w:hint="eastAsia"/>
              </w:rPr>
              <w:t>2.4.1 废气</w:t>
            </w:r>
          </w:p>
          <w:p w14:paraId="1A6B4D8A">
            <w:pPr>
              <w:ind w:firstLine="480"/>
            </w:pPr>
            <w:r>
              <w:rPr>
                <w:rFonts w:hint="eastAsia"/>
              </w:rPr>
              <w:t>本次现有工程废气排放达标性分析采用福建九五检测技术服务有限公司出具的企业2025年自行监测数据（报告编号：JWJC251101712、JWJC251201712）。</w:t>
            </w:r>
          </w:p>
          <w:p w14:paraId="218A70B7">
            <w:pPr>
              <w:pStyle w:val="5"/>
            </w:pPr>
            <w:r>
              <w:rPr>
                <w:rFonts w:hint="eastAsia"/>
              </w:rPr>
              <w:t>2.4.1.2 有组织废气</w:t>
            </w:r>
          </w:p>
          <w:p w14:paraId="5712DE31">
            <w:pPr>
              <w:ind w:firstLine="480"/>
            </w:pPr>
            <w:r>
              <w:rPr>
                <w:rFonts w:hint="eastAsia"/>
              </w:rPr>
              <w:t>1.纺丝一期</w:t>
            </w:r>
          </w:p>
          <w:p w14:paraId="09E2E31C">
            <w:pPr>
              <w:ind w:firstLine="480"/>
            </w:pPr>
            <w:r>
              <w:rPr>
                <w:rFonts w:hint="eastAsia"/>
              </w:rPr>
              <w:t>现有纺丝一期项目产生的废气主要是单体抽吸废气、油剂废气和组件煅烧废气。单体抽吸废气由单体抽吸系统处理后通过4根24m排气筒排放；油剂废气由静电吸附装置处理后通过1根26m排气筒排放；组件煅烧废气由水喷淋装置处理后通过1根20m排气筒排放。纺丝一期废气监测数据见表2.4-1。</w:t>
            </w:r>
          </w:p>
          <w:p w14:paraId="602F4C76">
            <w:pPr>
              <w:pStyle w:val="13"/>
            </w:pPr>
            <w:r>
              <w:rPr>
                <w:rFonts w:hint="eastAsia"/>
              </w:rPr>
              <w:t>表2.4-1  纺丝一期废气监测结果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7801E9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119539EA">
                  <w:pPr>
                    <w:pStyle w:val="83"/>
                    <w:rPr>
                      <w:rFonts w:hint="default"/>
                    </w:rPr>
                  </w:pPr>
                  <w:r>
                    <w:t>监测</w:t>
                  </w:r>
                </w:p>
                <w:p w14:paraId="24DB80D4">
                  <w:pPr>
                    <w:pStyle w:val="83"/>
                    <w:rPr>
                      <w:rFonts w:hint="default"/>
                    </w:rPr>
                  </w:pPr>
                  <w:r>
                    <w:t>日期</w:t>
                  </w:r>
                </w:p>
              </w:tc>
              <w:tc>
                <w:tcPr>
                  <w:tcW w:w="1036" w:type="pct"/>
                  <w:noWrap/>
                  <w:vAlign w:val="center"/>
                </w:tcPr>
                <w:p w14:paraId="13EA0F0C">
                  <w:pPr>
                    <w:pStyle w:val="83"/>
                    <w:rPr>
                      <w:rFonts w:hint="default"/>
                    </w:rPr>
                  </w:pPr>
                  <w:r>
                    <w:t>监测点位</w:t>
                  </w:r>
                </w:p>
              </w:tc>
              <w:tc>
                <w:tcPr>
                  <w:tcW w:w="777" w:type="pct"/>
                  <w:noWrap/>
                  <w:vAlign w:val="center"/>
                </w:tcPr>
                <w:p w14:paraId="15500485">
                  <w:pPr>
                    <w:pStyle w:val="83"/>
                    <w:rPr>
                      <w:rFonts w:hint="default"/>
                    </w:rPr>
                  </w:pPr>
                  <w:r>
                    <w:t>监测项目</w:t>
                  </w:r>
                </w:p>
              </w:tc>
              <w:tc>
                <w:tcPr>
                  <w:tcW w:w="518" w:type="pct"/>
                  <w:vAlign w:val="center"/>
                </w:tcPr>
                <w:p w14:paraId="39CA2EE5">
                  <w:pPr>
                    <w:pStyle w:val="83"/>
                    <w:rPr>
                      <w:rFonts w:hint="default"/>
                    </w:rPr>
                  </w:pPr>
                  <w:r>
                    <w:t>标杆</w:t>
                  </w:r>
                </w:p>
                <w:p w14:paraId="1C75D319">
                  <w:pPr>
                    <w:pStyle w:val="83"/>
                    <w:rPr>
                      <w:rFonts w:hint="default"/>
                    </w:rPr>
                  </w:pPr>
                  <w:r>
                    <w:t>流量</w:t>
                  </w:r>
                </w:p>
                <w:p w14:paraId="6F3019A1">
                  <w:pPr>
                    <w:pStyle w:val="83"/>
                    <w:rPr>
                      <w:rFonts w:hint="default"/>
                    </w:rPr>
                  </w:pPr>
                  <w:r>
                    <w:t>m</w:t>
                  </w:r>
                  <w:r>
                    <w:rPr>
                      <w:vertAlign w:val="superscript"/>
                    </w:rPr>
                    <w:t>3</w:t>
                  </w:r>
                  <w:r>
                    <w:t>/h</w:t>
                  </w:r>
                </w:p>
              </w:tc>
              <w:tc>
                <w:tcPr>
                  <w:tcW w:w="518" w:type="pct"/>
                  <w:vAlign w:val="center"/>
                </w:tcPr>
                <w:p w14:paraId="2354347E">
                  <w:pPr>
                    <w:pStyle w:val="83"/>
                    <w:rPr>
                      <w:rFonts w:hint="default"/>
                    </w:rPr>
                  </w:pPr>
                  <w:r>
                    <w:t>排放</w:t>
                  </w:r>
                </w:p>
                <w:p w14:paraId="706E9B1D">
                  <w:pPr>
                    <w:pStyle w:val="83"/>
                    <w:rPr>
                      <w:rFonts w:hint="default"/>
                    </w:rPr>
                  </w:pPr>
                  <w:r>
                    <w:t>浓度</w:t>
                  </w:r>
                </w:p>
                <w:p w14:paraId="5E41A377">
                  <w:pPr>
                    <w:pStyle w:val="83"/>
                    <w:rPr>
                      <w:rFonts w:hint="default"/>
                    </w:rPr>
                  </w:pPr>
                  <w:r>
                    <w:t>mg/m</w:t>
                  </w:r>
                  <w:r>
                    <w:rPr>
                      <w:vertAlign w:val="superscript"/>
                    </w:rPr>
                    <w:t>3</w:t>
                  </w:r>
                </w:p>
              </w:tc>
              <w:tc>
                <w:tcPr>
                  <w:tcW w:w="691" w:type="pct"/>
                  <w:vAlign w:val="center"/>
                </w:tcPr>
                <w:p w14:paraId="1728F6DB">
                  <w:pPr>
                    <w:pStyle w:val="83"/>
                    <w:rPr>
                      <w:rFonts w:hint="default"/>
                    </w:rPr>
                  </w:pPr>
                  <w:r>
                    <w:t>排放速率</w:t>
                  </w:r>
                </w:p>
                <w:p w14:paraId="1992F53F">
                  <w:pPr>
                    <w:pStyle w:val="83"/>
                    <w:rPr>
                      <w:rFonts w:hint="default"/>
                    </w:rPr>
                  </w:pPr>
                  <w:r>
                    <w:t>kg/h</w:t>
                  </w:r>
                </w:p>
              </w:tc>
              <w:tc>
                <w:tcPr>
                  <w:tcW w:w="556" w:type="pct"/>
                  <w:vAlign w:val="center"/>
                </w:tcPr>
                <w:p w14:paraId="35D72284">
                  <w:pPr>
                    <w:pStyle w:val="83"/>
                    <w:rPr>
                      <w:rFonts w:hint="default"/>
                    </w:rPr>
                  </w:pPr>
                  <w:r>
                    <w:t>标准</w:t>
                  </w:r>
                </w:p>
                <w:p w14:paraId="1953F760">
                  <w:pPr>
                    <w:pStyle w:val="83"/>
                    <w:rPr>
                      <w:rFonts w:hint="default"/>
                    </w:rPr>
                  </w:pPr>
                  <w:r>
                    <w:t>限值</w:t>
                  </w:r>
                </w:p>
                <w:p w14:paraId="4545D40C">
                  <w:pPr>
                    <w:pStyle w:val="83"/>
                    <w:rPr>
                      <w:rFonts w:hint="default"/>
                    </w:rPr>
                  </w:pPr>
                  <w:r>
                    <w:t>mg/m</w:t>
                  </w:r>
                  <w:r>
                    <w:rPr>
                      <w:vertAlign w:val="superscript"/>
                    </w:rPr>
                    <w:t>3</w:t>
                  </w:r>
                </w:p>
              </w:tc>
              <w:tc>
                <w:tcPr>
                  <w:tcW w:w="387" w:type="pct"/>
                  <w:noWrap/>
                  <w:vAlign w:val="center"/>
                </w:tcPr>
                <w:p w14:paraId="22E4B6B7">
                  <w:pPr>
                    <w:pStyle w:val="83"/>
                    <w:rPr>
                      <w:rFonts w:hint="default"/>
                    </w:rPr>
                  </w:pPr>
                  <w:r>
                    <w:t>达标</w:t>
                  </w:r>
                </w:p>
                <w:p w14:paraId="3B42429A">
                  <w:pPr>
                    <w:pStyle w:val="83"/>
                    <w:rPr>
                      <w:rFonts w:hint="default"/>
                    </w:rPr>
                  </w:pPr>
                  <w:r>
                    <w:t>情况</w:t>
                  </w:r>
                </w:p>
              </w:tc>
            </w:tr>
            <w:tr w14:paraId="6E81C0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restart"/>
                  <w:noWrap/>
                  <w:vAlign w:val="center"/>
                </w:tcPr>
                <w:p w14:paraId="7C6DB874">
                  <w:pPr>
                    <w:pStyle w:val="83"/>
                    <w:rPr>
                      <w:rFonts w:hint="default"/>
                    </w:rPr>
                  </w:pPr>
                  <w:r>
                    <w:t>2025.</w:t>
                  </w:r>
                </w:p>
                <w:p w14:paraId="184A4609">
                  <w:pPr>
                    <w:pStyle w:val="83"/>
                    <w:rPr>
                      <w:rFonts w:hint="default"/>
                    </w:rPr>
                  </w:pPr>
                  <w:r>
                    <w:t>11.19</w:t>
                  </w:r>
                </w:p>
              </w:tc>
              <w:tc>
                <w:tcPr>
                  <w:tcW w:w="1036" w:type="pct"/>
                  <w:vMerge w:val="restart"/>
                  <w:noWrap/>
                  <w:vAlign w:val="center"/>
                </w:tcPr>
                <w:p w14:paraId="746D7F8A">
                  <w:pPr>
                    <w:pStyle w:val="83"/>
                    <w:rPr>
                      <w:rFonts w:hint="default"/>
                    </w:rPr>
                  </w:pPr>
                  <w:r>
                    <w:t>纺丝1#排气筒</w:t>
                  </w:r>
                </w:p>
                <w:p w14:paraId="27C2BAC9">
                  <w:pPr>
                    <w:pStyle w:val="83"/>
                    <w:rPr>
                      <w:rFonts w:hint="default"/>
                    </w:rPr>
                  </w:pPr>
                  <w:r>
                    <w:t>DA004</w:t>
                  </w:r>
                </w:p>
              </w:tc>
              <w:tc>
                <w:tcPr>
                  <w:tcW w:w="777" w:type="pct"/>
                  <w:noWrap/>
                  <w:vAlign w:val="center"/>
                </w:tcPr>
                <w:p w14:paraId="748468FD">
                  <w:pPr>
                    <w:pStyle w:val="83"/>
                    <w:rPr>
                      <w:rFonts w:hint="default"/>
                    </w:rPr>
                  </w:pPr>
                  <w:r>
                    <w:t>非甲烷总烃</w:t>
                  </w:r>
                </w:p>
              </w:tc>
              <w:tc>
                <w:tcPr>
                  <w:tcW w:w="922" w:type="dxa"/>
                  <w:vMerge w:val="restart"/>
                  <w:vAlign w:val="center"/>
                </w:tcPr>
                <w:p w14:paraId="16BCA60D">
                  <w:pPr>
                    <w:pStyle w:val="83"/>
                    <w:rPr>
                      <w:rFonts w:hint="default"/>
                    </w:rPr>
                  </w:pPr>
                  <w:r>
                    <w:t>3640</w:t>
                  </w:r>
                </w:p>
              </w:tc>
              <w:tc>
                <w:tcPr>
                  <w:tcW w:w="922" w:type="dxa"/>
                  <w:noWrap/>
                  <w:vAlign w:val="center"/>
                </w:tcPr>
                <w:p w14:paraId="5E3B092D">
                  <w:pPr>
                    <w:pStyle w:val="83"/>
                    <w:rPr>
                      <w:rFonts w:hint="default"/>
                    </w:rPr>
                  </w:pPr>
                  <w:r>
                    <w:t>3.04</w:t>
                  </w:r>
                </w:p>
              </w:tc>
              <w:tc>
                <w:tcPr>
                  <w:tcW w:w="1230" w:type="dxa"/>
                  <w:vAlign w:val="center"/>
                </w:tcPr>
                <w:p w14:paraId="19DBF5FE">
                  <w:pPr>
                    <w:pStyle w:val="83"/>
                    <w:rPr>
                      <w:rFonts w:hint="default"/>
                    </w:rPr>
                  </w:pPr>
                  <w:r>
                    <w:t>0.011</w:t>
                  </w:r>
                </w:p>
              </w:tc>
              <w:tc>
                <w:tcPr>
                  <w:tcW w:w="556" w:type="pct"/>
                  <w:noWrap/>
                  <w:vAlign w:val="center"/>
                </w:tcPr>
                <w:p w14:paraId="2678C14E">
                  <w:pPr>
                    <w:pStyle w:val="83"/>
                    <w:rPr>
                      <w:rFonts w:hint="default"/>
                    </w:rPr>
                  </w:pPr>
                  <w:r>
                    <w:t>60</w:t>
                  </w:r>
                </w:p>
              </w:tc>
              <w:tc>
                <w:tcPr>
                  <w:tcW w:w="387" w:type="pct"/>
                  <w:noWrap/>
                  <w:vAlign w:val="center"/>
                </w:tcPr>
                <w:p w14:paraId="019C9160">
                  <w:pPr>
                    <w:pStyle w:val="83"/>
                    <w:rPr>
                      <w:rFonts w:hint="default"/>
                    </w:rPr>
                  </w:pPr>
                  <w:r>
                    <w:t>达标</w:t>
                  </w:r>
                </w:p>
              </w:tc>
            </w:tr>
            <w:tr w14:paraId="1449F9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02C8AA07">
                  <w:pPr>
                    <w:pStyle w:val="83"/>
                    <w:rPr>
                      <w:rFonts w:hint="default"/>
                    </w:rPr>
                  </w:pPr>
                </w:p>
              </w:tc>
              <w:tc>
                <w:tcPr>
                  <w:tcW w:w="1036" w:type="pct"/>
                  <w:vMerge w:val="continue"/>
                  <w:vAlign w:val="center"/>
                </w:tcPr>
                <w:p w14:paraId="672F8803">
                  <w:pPr>
                    <w:pStyle w:val="83"/>
                    <w:rPr>
                      <w:rFonts w:hint="default"/>
                    </w:rPr>
                  </w:pPr>
                </w:p>
              </w:tc>
              <w:tc>
                <w:tcPr>
                  <w:tcW w:w="777" w:type="pct"/>
                  <w:noWrap/>
                  <w:vAlign w:val="center"/>
                </w:tcPr>
                <w:p w14:paraId="2581C125">
                  <w:pPr>
                    <w:pStyle w:val="83"/>
                    <w:rPr>
                      <w:rFonts w:hint="default"/>
                    </w:rPr>
                  </w:pPr>
                  <w:r>
                    <w:t>颗粒物</w:t>
                  </w:r>
                </w:p>
              </w:tc>
              <w:tc>
                <w:tcPr>
                  <w:tcW w:w="922" w:type="dxa"/>
                  <w:vMerge w:val="continue"/>
                  <w:vAlign w:val="center"/>
                </w:tcPr>
                <w:p w14:paraId="7DDB820D">
                  <w:pPr>
                    <w:pStyle w:val="83"/>
                    <w:rPr>
                      <w:rFonts w:hint="default"/>
                    </w:rPr>
                  </w:pPr>
                </w:p>
              </w:tc>
              <w:tc>
                <w:tcPr>
                  <w:tcW w:w="922" w:type="dxa"/>
                  <w:noWrap/>
                  <w:vAlign w:val="center"/>
                </w:tcPr>
                <w:p w14:paraId="69193637">
                  <w:pPr>
                    <w:pStyle w:val="83"/>
                    <w:rPr>
                      <w:rFonts w:hint="default"/>
                    </w:rPr>
                  </w:pPr>
                  <w:r>
                    <w:t>8.4</w:t>
                  </w:r>
                </w:p>
              </w:tc>
              <w:tc>
                <w:tcPr>
                  <w:tcW w:w="1230" w:type="dxa"/>
                  <w:vAlign w:val="center"/>
                </w:tcPr>
                <w:p w14:paraId="0741C1D0">
                  <w:pPr>
                    <w:pStyle w:val="83"/>
                    <w:rPr>
                      <w:rFonts w:hint="default"/>
                    </w:rPr>
                  </w:pPr>
                  <w:r>
                    <w:t>0.031</w:t>
                  </w:r>
                </w:p>
              </w:tc>
              <w:tc>
                <w:tcPr>
                  <w:tcW w:w="556" w:type="pct"/>
                  <w:noWrap/>
                  <w:vAlign w:val="center"/>
                </w:tcPr>
                <w:p w14:paraId="00B4F646">
                  <w:pPr>
                    <w:pStyle w:val="83"/>
                    <w:rPr>
                      <w:rFonts w:hint="default"/>
                    </w:rPr>
                  </w:pPr>
                  <w:r>
                    <w:t>20</w:t>
                  </w:r>
                </w:p>
              </w:tc>
              <w:tc>
                <w:tcPr>
                  <w:tcW w:w="387" w:type="pct"/>
                  <w:noWrap/>
                  <w:vAlign w:val="center"/>
                </w:tcPr>
                <w:p w14:paraId="39588743">
                  <w:pPr>
                    <w:pStyle w:val="83"/>
                    <w:rPr>
                      <w:rFonts w:hint="default"/>
                    </w:rPr>
                  </w:pPr>
                  <w:r>
                    <w:t>达标</w:t>
                  </w:r>
                </w:p>
              </w:tc>
            </w:tr>
            <w:tr w14:paraId="547DEE5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4E7E3A5">
                  <w:pPr>
                    <w:pStyle w:val="83"/>
                    <w:rPr>
                      <w:rFonts w:hint="default"/>
                    </w:rPr>
                  </w:pPr>
                </w:p>
              </w:tc>
              <w:tc>
                <w:tcPr>
                  <w:tcW w:w="1036" w:type="pct"/>
                  <w:vMerge w:val="restart"/>
                  <w:noWrap/>
                  <w:vAlign w:val="center"/>
                </w:tcPr>
                <w:p w14:paraId="7F151DA9">
                  <w:pPr>
                    <w:pStyle w:val="83"/>
                    <w:rPr>
                      <w:rFonts w:hint="default"/>
                    </w:rPr>
                  </w:pPr>
                  <w:r>
                    <w:t>纺丝7#排气筒</w:t>
                  </w:r>
                </w:p>
                <w:p w14:paraId="681FCBD0">
                  <w:pPr>
                    <w:pStyle w:val="83"/>
                    <w:rPr>
                      <w:rFonts w:hint="default"/>
                    </w:rPr>
                  </w:pPr>
                  <w:r>
                    <w:t>DA012</w:t>
                  </w:r>
                </w:p>
              </w:tc>
              <w:tc>
                <w:tcPr>
                  <w:tcW w:w="777" w:type="pct"/>
                  <w:noWrap/>
                  <w:vAlign w:val="center"/>
                </w:tcPr>
                <w:p w14:paraId="26DAC84D">
                  <w:pPr>
                    <w:pStyle w:val="83"/>
                    <w:rPr>
                      <w:rFonts w:hint="default"/>
                    </w:rPr>
                  </w:pPr>
                  <w:r>
                    <w:t>非甲烷总烃</w:t>
                  </w:r>
                </w:p>
              </w:tc>
              <w:tc>
                <w:tcPr>
                  <w:tcW w:w="922" w:type="dxa"/>
                  <w:vMerge w:val="restart"/>
                  <w:vAlign w:val="center"/>
                </w:tcPr>
                <w:p w14:paraId="3242EE5E">
                  <w:pPr>
                    <w:pStyle w:val="83"/>
                    <w:rPr>
                      <w:rFonts w:hint="default"/>
                    </w:rPr>
                  </w:pPr>
                  <w:r>
                    <w:t>3280</w:t>
                  </w:r>
                </w:p>
              </w:tc>
              <w:tc>
                <w:tcPr>
                  <w:tcW w:w="922" w:type="dxa"/>
                  <w:noWrap/>
                  <w:vAlign w:val="center"/>
                </w:tcPr>
                <w:p w14:paraId="4CBF4F0F">
                  <w:pPr>
                    <w:pStyle w:val="83"/>
                    <w:rPr>
                      <w:rFonts w:hint="default"/>
                    </w:rPr>
                  </w:pPr>
                  <w:r>
                    <w:t>1.34</w:t>
                  </w:r>
                </w:p>
              </w:tc>
              <w:tc>
                <w:tcPr>
                  <w:tcW w:w="1230" w:type="dxa"/>
                  <w:vAlign w:val="center"/>
                </w:tcPr>
                <w:p w14:paraId="6248D427">
                  <w:pPr>
                    <w:pStyle w:val="83"/>
                    <w:rPr>
                      <w:rFonts w:hint="default"/>
                    </w:rPr>
                  </w:pPr>
                  <w:r>
                    <w:t>0.0044</w:t>
                  </w:r>
                </w:p>
              </w:tc>
              <w:tc>
                <w:tcPr>
                  <w:tcW w:w="556" w:type="pct"/>
                  <w:noWrap/>
                  <w:vAlign w:val="center"/>
                </w:tcPr>
                <w:p w14:paraId="1EFFD6FA">
                  <w:pPr>
                    <w:pStyle w:val="83"/>
                    <w:rPr>
                      <w:rFonts w:hint="default"/>
                    </w:rPr>
                  </w:pPr>
                  <w:r>
                    <w:t>60</w:t>
                  </w:r>
                </w:p>
              </w:tc>
              <w:tc>
                <w:tcPr>
                  <w:tcW w:w="387" w:type="pct"/>
                  <w:noWrap/>
                  <w:vAlign w:val="center"/>
                </w:tcPr>
                <w:p w14:paraId="57E7037E">
                  <w:pPr>
                    <w:pStyle w:val="83"/>
                    <w:rPr>
                      <w:rFonts w:hint="default"/>
                    </w:rPr>
                  </w:pPr>
                  <w:r>
                    <w:t>达标</w:t>
                  </w:r>
                </w:p>
              </w:tc>
            </w:tr>
            <w:tr w14:paraId="251EC2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E2D32DA">
                  <w:pPr>
                    <w:pStyle w:val="83"/>
                    <w:rPr>
                      <w:rFonts w:hint="default"/>
                    </w:rPr>
                  </w:pPr>
                </w:p>
              </w:tc>
              <w:tc>
                <w:tcPr>
                  <w:tcW w:w="1036" w:type="pct"/>
                  <w:vMerge w:val="continue"/>
                  <w:vAlign w:val="center"/>
                </w:tcPr>
                <w:p w14:paraId="2704DEB1">
                  <w:pPr>
                    <w:pStyle w:val="83"/>
                    <w:rPr>
                      <w:rFonts w:hint="default"/>
                    </w:rPr>
                  </w:pPr>
                </w:p>
              </w:tc>
              <w:tc>
                <w:tcPr>
                  <w:tcW w:w="777" w:type="pct"/>
                  <w:noWrap/>
                  <w:vAlign w:val="center"/>
                </w:tcPr>
                <w:p w14:paraId="00DFEBC5">
                  <w:pPr>
                    <w:pStyle w:val="83"/>
                    <w:rPr>
                      <w:rFonts w:hint="default"/>
                    </w:rPr>
                  </w:pPr>
                  <w:r>
                    <w:t>颗粒物</w:t>
                  </w:r>
                </w:p>
              </w:tc>
              <w:tc>
                <w:tcPr>
                  <w:tcW w:w="922" w:type="dxa"/>
                  <w:vMerge w:val="continue"/>
                  <w:vAlign w:val="center"/>
                </w:tcPr>
                <w:p w14:paraId="29649246">
                  <w:pPr>
                    <w:pStyle w:val="83"/>
                    <w:rPr>
                      <w:rFonts w:hint="default"/>
                    </w:rPr>
                  </w:pPr>
                </w:p>
              </w:tc>
              <w:tc>
                <w:tcPr>
                  <w:tcW w:w="922" w:type="dxa"/>
                  <w:noWrap/>
                  <w:vAlign w:val="center"/>
                </w:tcPr>
                <w:p w14:paraId="124C59A1">
                  <w:pPr>
                    <w:pStyle w:val="83"/>
                    <w:rPr>
                      <w:rFonts w:hint="default"/>
                    </w:rPr>
                  </w:pPr>
                  <w:r>
                    <w:t>5.5</w:t>
                  </w:r>
                </w:p>
              </w:tc>
              <w:tc>
                <w:tcPr>
                  <w:tcW w:w="1230" w:type="dxa"/>
                  <w:vAlign w:val="center"/>
                </w:tcPr>
                <w:p w14:paraId="16173E6F">
                  <w:pPr>
                    <w:pStyle w:val="83"/>
                    <w:rPr>
                      <w:rFonts w:hint="default"/>
                    </w:rPr>
                  </w:pPr>
                  <w:r>
                    <w:t>0.018</w:t>
                  </w:r>
                </w:p>
              </w:tc>
              <w:tc>
                <w:tcPr>
                  <w:tcW w:w="556" w:type="pct"/>
                  <w:noWrap/>
                  <w:vAlign w:val="center"/>
                </w:tcPr>
                <w:p w14:paraId="14C2E85A">
                  <w:pPr>
                    <w:pStyle w:val="83"/>
                    <w:rPr>
                      <w:rFonts w:hint="default"/>
                    </w:rPr>
                  </w:pPr>
                  <w:r>
                    <w:t>20</w:t>
                  </w:r>
                </w:p>
              </w:tc>
              <w:tc>
                <w:tcPr>
                  <w:tcW w:w="387" w:type="pct"/>
                  <w:noWrap/>
                  <w:vAlign w:val="center"/>
                </w:tcPr>
                <w:p w14:paraId="1458937C">
                  <w:pPr>
                    <w:pStyle w:val="83"/>
                    <w:rPr>
                      <w:rFonts w:hint="default"/>
                    </w:rPr>
                  </w:pPr>
                  <w:r>
                    <w:t>达标</w:t>
                  </w:r>
                </w:p>
              </w:tc>
            </w:tr>
            <w:tr w14:paraId="03FEB8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28192892">
                  <w:pPr>
                    <w:pStyle w:val="83"/>
                    <w:rPr>
                      <w:rFonts w:hint="default"/>
                    </w:rPr>
                  </w:pPr>
                </w:p>
              </w:tc>
              <w:tc>
                <w:tcPr>
                  <w:tcW w:w="1036" w:type="pct"/>
                  <w:vMerge w:val="restart"/>
                  <w:noWrap/>
                  <w:vAlign w:val="center"/>
                </w:tcPr>
                <w:p w14:paraId="6836265E">
                  <w:pPr>
                    <w:pStyle w:val="83"/>
                    <w:rPr>
                      <w:rFonts w:hint="default"/>
                    </w:rPr>
                  </w:pPr>
                  <w:r>
                    <w:t>纺丝12#排气筒</w:t>
                  </w:r>
                </w:p>
                <w:p w14:paraId="006AC49F">
                  <w:pPr>
                    <w:pStyle w:val="83"/>
                    <w:rPr>
                      <w:rFonts w:hint="default"/>
                    </w:rPr>
                  </w:pPr>
                  <w:r>
                    <w:t>DA017</w:t>
                  </w:r>
                </w:p>
              </w:tc>
              <w:tc>
                <w:tcPr>
                  <w:tcW w:w="777" w:type="pct"/>
                  <w:noWrap/>
                  <w:vAlign w:val="center"/>
                </w:tcPr>
                <w:p w14:paraId="1B05C91A">
                  <w:pPr>
                    <w:pStyle w:val="83"/>
                    <w:rPr>
                      <w:rFonts w:hint="default"/>
                    </w:rPr>
                  </w:pPr>
                  <w:r>
                    <w:t>非甲烷总烃</w:t>
                  </w:r>
                </w:p>
              </w:tc>
              <w:tc>
                <w:tcPr>
                  <w:tcW w:w="922" w:type="dxa"/>
                  <w:vMerge w:val="restart"/>
                  <w:vAlign w:val="center"/>
                </w:tcPr>
                <w:p w14:paraId="4800ACE8">
                  <w:pPr>
                    <w:pStyle w:val="83"/>
                    <w:rPr>
                      <w:rFonts w:hint="default"/>
                    </w:rPr>
                  </w:pPr>
                  <w:r>
                    <w:t>2200</w:t>
                  </w:r>
                </w:p>
              </w:tc>
              <w:tc>
                <w:tcPr>
                  <w:tcW w:w="922" w:type="dxa"/>
                  <w:noWrap/>
                  <w:vAlign w:val="center"/>
                </w:tcPr>
                <w:p w14:paraId="5CF62A0B">
                  <w:pPr>
                    <w:pStyle w:val="83"/>
                    <w:rPr>
                      <w:rFonts w:hint="default"/>
                    </w:rPr>
                  </w:pPr>
                  <w:r>
                    <w:t>2.53</w:t>
                  </w:r>
                </w:p>
              </w:tc>
              <w:tc>
                <w:tcPr>
                  <w:tcW w:w="1230" w:type="dxa"/>
                  <w:vAlign w:val="center"/>
                </w:tcPr>
                <w:p w14:paraId="6AB7BD69">
                  <w:pPr>
                    <w:pStyle w:val="83"/>
                    <w:rPr>
                      <w:rFonts w:hint="default"/>
                    </w:rPr>
                  </w:pPr>
                  <w:r>
                    <w:t>0.0056</w:t>
                  </w:r>
                </w:p>
              </w:tc>
              <w:tc>
                <w:tcPr>
                  <w:tcW w:w="556" w:type="pct"/>
                  <w:noWrap/>
                  <w:vAlign w:val="center"/>
                </w:tcPr>
                <w:p w14:paraId="25EA680C">
                  <w:pPr>
                    <w:pStyle w:val="83"/>
                    <w:rPr>
                      <w:rFonts w:hint="default"/>
                    </w:rPr>
                  </w:pPr>
                  <w:r>
                    <w:t>60</w:t>
                  </w:r>
                </w:p>
              </w:tc>
              <w:tc>
                <w:tcPr>
                  <w:tcW w:w="387" w:type="pct"/>
                  <w:noWrap/>
                  <w:vAlign w:val="center"/>
                </w:tcPr>
                <w:p w14:paraId="2CA6545A">
                  <w:pPr>
                    <w:pStyle w:val="83"/>
                    <w:rPr>
                      <w:rFonts w:hint="default"/>
                    </w:rPr>
                  </w:pPr>
                  <w:r>
                    <w:t>达标</w:t>
                  </w:r>
                </w:p>
              </w:tc>
            </w:tr>
            <w:tr w14:paraId="297B19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5E0505A3">
                  <w:pPr>
                    <w:pStyle w:val="83"/>
                    <w:rPr>
                      <w:rFonts w:hint="default"/>
                    </w:rPr>
                  </w:pPr>
                </w:p>
              </w:tc>
              <w:tc>
                <w:tcPr>
                  <w:tcW w:w="1036" w:type="pct"/>
                  <w:vMerge w:val="continue"/>
                  <w:vAlign w:val="center"/>
                </w:tcPr>
                <w:p w14:paraId="01B624A5">
                  <w:pPr>
                    <w:pStyle w:val="83"/>
                    <w:rPr>
                      <w:rFonts w:hint="default"/>
                    </w:rPr>
                  </w:pPr>
                </w:p>
              </w:tc>
              <w:tc>
                <w:tcPr>
                  <w:tcW w:w="777" w:type="pct"/>
                  <w:noWrap/>
                  <w:vAlign w:val="center"/>
                </w:tcPr>
                <w:p w14:paraId="43A88D08">
                  <w:pPr>
                    <w:pStyle w:val="83"/>
                    <w:rPr>
                      <w:rFonts w:hint="default"/>
                    </w:rPr>
                  </w:pPr>
                  <w:r>
                    <w:t>颗粒物</w:t>
                  </w:r>
                </w:p>
              </w:tc>
              <w:tc>
                <w:tcPr>
                  <w:tcW w:w="922" w:type="dxa"/>
                  <w:vMerge w:val="continue"/>
                  <w:vAlign w:val="center"/>
                </w:tcPr>
                <w:p w14:paraId="34374380">
                  <w:pPr>
                    <w:pStyle w:val="83"/>
                    <w:rPr>
                      <w:rFonts w:hint="default"/>
                    </w:rPr>
                  </w:pPr>
                </w:p>
              </w:tc>
              <w:tc>
                <w:tcPr>
                  <w:tcW w:w="922" w:type="dxa"/>
                  <w:noWrap/>
                  <w:vAlign w:val="center"/>
                </w:tcPr>
                <w:p w14:paraId="47255CF1">
                  <w:pPr>
                    <w:pStyle w:val="83"/>
                    <w:rPr>
                      <w:rFonts w:hint="default"/>
                    </w:rPr>
                  </w:pPr>
                  <w:r>
                    <w:t>&lt;1.0</w:t>
                  </w:r>
                </w:p>
              </w:tc>
              <w:tc>
                <w:tcPr>
                  <w:tcW w:w="1230" w:type="dxa"/>
                  <w:vAlign w:val="center"/>
                </w:tcPr>
                <w:p w14:paraId="7F6B626A">
                  <w:pPr>
                    <w:pStyle w:val="83"/>
                    <w:rPr>
                      <w:rFonts w:hint="default"/>
                    </w:rPr>
                  </w:pPr>
                  <w:r>
                    <w:t>0.0011</w:t>
                  </w:r>
                </w:p>
              </w:tc>
              <w:tc>
                <w:tcPr>
                  <w:tcW w:w="556" w:type="pct"/>
                  <w:noWrap/>
                  <w:vAlign w:val="center"/>
                </w:tcPr>
                <w:p w14:paraId="55AB66AE">
                  <w:pPr>
                    <w:pStyle w:val="83"/>
                    <w:rPr>
                      <w:rFonts w:hint="default"/>
                    </w:rPr>
                  </w:pPr>
                  <w:r>
                    <w:t>20</w:t>
                  </w:r>
                </w:p>
              </w:tc>
              <w:tc>
                <w:tcPr>
                  <w:tcW w:w="387" w:type="pct"/>
                  <w:noWrap/>
                  <w:vAlign w:val="center"/>
                </w:tcPr>
                <w:p w14:paraId="2B8F09E3">
                  <w:pPr>
                    <w:pStyle w:val="83"/>
                    <w:rPr>
                      <w:rFonts w:hint="default"/>
                    </w:rPr>
                  </w:pPr>
                  <w:r>
                    <w:t>达标</w:t>
                  </w:r>
                </w:p>
              </w:tc>
            </w:tr>
            <w:tr w14:paraId="68B1A5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299296E">
                  <w:pPr>
                    <w:pStyle w:val="83"/>
                    <w:rPr>
                      <w:rFonts w:hint="default"/>
                    </w:rPr>
                  </w:pPr>
                </w:p>
              </w:tc>
              <w:tc>
                <w:tcPr>
                  <w:tcW w:w="1036" w:type="pct"/>
                  <w:vMerge w:val="restart"/>
                  <w:noWrap/>
                  <w:vAlign w:val="center"/>
                </w:tcPr>
                <w:p w14:paraId="78D75300">
                  <w:pPr>
                    <w:pStyle w:val="83"/>
                    <w:rPr>
                      <w:rFonts w:hint="default"/>
                    </w:rPr>
                  </w:pPr>
                  <w:r>
                    <w:t>纺丝17#排气筒</w:t>
                  </w:r>
                </w:p>
                <w:p w14:paraId="77981285">
                  <w:pPr>
                    <w:pStyle w:val="83"/>
                    <w:rPr>
                      <w:rFonts w:hint="default"/>
                    </w:rPr>
                  </w:pPr>
                  <w:r>
                    <w:t>DA022</w:t>
                  </w:r>
                </w:p>
              </w:tc>
              <w:tc>
                <w:tcPr>
                  <w:tcW w:w="777" w:type="pct"/>
                  <w:noWrap/>
                  <w:vAlign w:val="center"/>
                </w:tcPr>
                <w:p w14:paraId="200B6B55">
                  <w:pPr>
                    <w:pStyle w:val="83"/>
                    <w:rPr>
                      <w:rFonts w:hint="default"/>
                    </w:rPr>
                  </w:pPr>
                  <w:r>
                    <w:t>非甲烷总烃</w:t>
                  </w:r>
                </w:p>
              </w:tc>
              <w:tc>
                <w:tcPr>
                  <w:tcW w:w="922" w:type="dxa"/>
                  <w:vMerge w:val="restart"/>
                  <w:vAlign w:val="center"/>
                </w:tcPr>
                <w:p w14:paraId="71216ED2">
                  <w:pPr>
                    <w:pStyle w:val="83"/>
                    <w:rPr>
                      <w:rFonts w:hint="default"/>
                    </w:rPr>
                  </w:pPr>
                  <w:r>
                    <w:t>3390</w:t>
                  </w:r>
                </w:p>
              </w:tc>
              <w:tc>
                <w:tcPr>
                  <w:tcW w:w="922" w:type="dxa"/>
                  <w:noWrap/>
                  <w:vAlign w:val="center"/>
                </w:tcPr>
                <w:p w14:paraId="2AA5716A">
                  <w:pPr>
                    <w:pStyle w:val="83"/>
                    <w:rPr>
                      <w:rFonts w:hint="default"/>
                    </w:rPr>
                  </w:pPr>
                  <w:r>
                    <w:t>2.52</w:t>
                  </w:r>
                </w:p>
              </w:tc>
              <w:tc>
                <w:tcPr>
                  <w:tcW w:w="1230" w:type="dxa"/>
                  <w:vAlign w:val="center"/>
                </w:tcPr>
                <w:p w14:paraId="27FCC48E">
                  <w:pPr>
                    <w:pStyle w:val="83"/>
                    <w:rPr>
                      <w:rFonts w:hint="default"/>
                    </w:rPr>
                  </w:pPr>
                  <w:r>
                    <w:t>0.009</w:t>
                  </w:r>
                </w:p>
              </w:tc>
              <w:tc>
                <w:tcPr>
                  <w:tcW w:w="556" w:type="pct"/>
                  <w:noWrap/>
                  <w:vAlign w:val="center"/>
                </w:tcPr>
                <w:p w14:paraId="270D3548">
                  <w:pPr>
                    <w:pStyle w:val="83"/>
                    <w:rPr>
                      <w:rFonts w:hint="default"/>
                    </w:rPr>
                  </w:pPr>
                  <w:r>
                    <w:t>60</w:t>
                  </w:r>
                </w:p>
              </w:tc>
              <w:tc>
                <w:tcPr>
                  <w:tcW w:w="387" w:type="pct"/>
                  <w:noWrap/>
                  <w:vAlign w:val="center"/>
                </w:tcPr>
                <w:p w14:paraId="40C1DFC0">
                  <w:pPr>
                    <w:pStyle w:val="83"/>
                    <w:rPr>
                      <w:rFonts w:hint="default"/>
                    </w:rPr>
                  </w:pPr>
                  <w:r>
                    <w:t>达标</w:t>
                  </w:r>
                </w:p>
              </w:tc>
            </w:tr>
            <w:tr w14:paraId="53882A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0221A7BF">
                  <w:pPr>
                    <w:pStyle w:val="83"/>
                    <w:rPr>
                      <w:rFonts w:hint="default"/>
                    </w:rPr>
                  </w:pPr>
                </w:p>
              </w:tc>
              <w:tc>
                <w:tcPr>
                  <w:tcW w:w="1036" w:type="pct"/>
                  <w:vMerge w:val="continue"/>
                  <w:vAlign w:val="center"/>
                </w:tcPr>
                <w:p w14:paraId="602CFE63">
                  <w:pPr>
                    <w:pStyle w:val="83"/>
                    <w:rPr>
                      <w:rFonts w:hint="default"/>
                    </w:rPr>
                  </w:pPr>
                </w:p>
              </w:tc>
              <w:tc>
                <w:tcPr>
                  <w:tcW w:w="777" w:type="pct"/>
                  <w:noWrap/>
                  <w:vAlign w:val="center"/>
                </w:tcPr>
                <w:p w14:paraId="3927F80E">
                  <w:pPr>
                    <w:pStyle w:val="83"/>
                    <w:rPr>
                      <w:rFonts w:hint="default"/>
                    </w:rPr>
                  </w:pPr>
                  <w:r>
                    <w:t>颗粒物</w:t>
                  </w:r>
                </w:p>
              </w:tc>
              <w:tc>
                <w:tcPr>
                  <w:tcW w:w="922" w:type="dxa"/>
                  <w:vMerge w:val="continue"/>
                  <w:vAlign w:val="center"/>
                </w:tcPr>
                <w:p w14:paraId="4D6404A1">
                  <w:pPr>
                    <w:pStyle w:val="83"/>
                    <w:rPr>
                      <w:rFonts w:hint="default"/>
                    </w:rPr>
                  </w:pPr>
                </w:p>
              </w:tc>
              <w:tc>
                <w:tcPr>
                  <w:tcW w:w="922" w:type="dxa"/>
                  <w:noWrap/>
                  <w:vAlign w:val="center"/>
                </w:tcPr>
                <w:p w14:paraId="111282A3">
                  <w:pPr>
                    <w:pStyle w:val="83"/>
                    <w:rPr>
                      <w:rFonts w:hint="default"/>
                    </w:rPr>
                  </w:pPr>
                  <w:r>
                    <w:t>3.1</w:t>
                  </w:r>
                </w:p>
              </w:tc>
              <w:tc>
                <w:tcPr>
                  <w:tcW w:w="1230" w:type="dxa"/>
                  <w:vAlign w:val="center"/>
                </w:tcPr>
                <w:p w14:paraId="0E2A5B25">
                  <w:pPr>
                    <w:pStyle w:val="83"/>
                    <w:rPr>
                      <w:rFonts w:hint="default"/>
                    </w:rPr>
                  </w:pPr>
                  <w:r>
                    <w:t>0.011</w:t>
                  </w:r>
                </w:p>
              </w:tc>
              <w:tc>
                <w:tcPr>
                  <w:tcW w:w="556" w:type="pct"/>
                  <w:noWrap/>
                  <w:vAlign w:val="center"/>
                </w:tcPr>
                <w:p w14:paraId="09F74933">
                  <w:pPr>
                    <w:pStyle w:val="83"/>
                    <w:rPr>
                      <w:rFonts w:hint="default"/>
                    </w:rPr>
                  </w:pPr>
                  <w:r>
                    <w:t>20</w:t>
                  </w:r>
                </w:p>
              </w:tc>
              <w:tc>
                <w:tcPr>
                  <w:tcW w:w="387" w:type="pct"/>
                  <w:noWrap/>
                  <w:vAlign w:val="center"/>
                </w:tcPr>
                <w:p w14:paraId="6EBFEA30">
                  <w:pPr>
                    <w:pStyle w:val="83"/>
                    <w:rPr>
                      <w:rFonts w:hint="default"/>
                    </w:rPr>
                  </w:pPr>
                  <w:r>
                    <w:t>达标</w:t>
                  </w:r>
                </w:p>
              </w:tc>
            </w:tr>
            <w:tr w14:paraId="5FD0B2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29CA9C91">
                  <w:pPr>
                    <w:pStyle w:val="83"/>
                    <w:rPr>
                      <w:rFonts w:hint="default"/>
                    </w:rPr>
                  </w:pPr>
                </w:p>
              </w:tc>
              <w:tc>
                <w:tcPr>
                  <w:tcW w:w="1036" w:type="pct"/>
                  <w:vMerge w:val="restart"/>
                  <w:noWrap/>
                  <w:vAlign w:val="center"/>
                </w:tcPr>
                <w:p w14:paraId="5CE5380C">
                  <w:pPr>
                    <w:pStyle w:val="83"/>
                    <w:rPr>
                      <w:rFonts w:hint="default"/>
                    </w:rPr>
                  </w:pPr>
                  <w:r>
                    <w:t>油烟排气筒</w:t>
                  </w:r>
                </w:p>
                <w:p w14:paraId="60A4083D">
                  <w:pPr>
                    <w:pStyle w:val="83"/>
                    <w:rPr>
                      <w:rFonts w:hint="default"/>
                    </w:rPr>
                  </w:pPr>
                  <w:r>
                    <w:t>DA028</w:t>
                  </w:r>
                </w:p>
              </w:tc>
              <w:tc>
                <w:tcPr>
                  <w:tcW w:w="777" w:type="pct"/>
                  <w:noWrap/>
                  <w:vAlign w:val="center"/>
                </w:tcPr>
                <w:p w14:paraId="0FDCEADF">
                  <w:pPr>
                    <w:pStyle w:val="83"/>
                    <w:rPr>
                      <w:rFonts w:hint="default"/>
                    </w:rPr>
                  </w:pPr>
                  <w:r>
                    <w:t>非甲烷总烃</w:t>
                  </w:r>
                </w:p>
              </w:tc>
              <w:tc>
                <w:tcPr>
                  <w:tcW w:w="922" w:type="dxa"/>
                  <w:vMerge w:val="restart"/>
                  <w:vAlign w:val="center"/>
                </w:tcPr>
                <w:p w14:paraId="292B3744">
                  <w:pPr>
                    <w:pStyle w:val="83"/>
                    <w:rPr>
                      <w:rFonts w:hint="default"/>
                    </w:rPr>
                  </w:pPr>
                  <w:r>
                    <w:t>19000</w:t>
                  </w:r>
                </w:p>
              </w:tc>
              <w:tc>
                <w:tcPr>
                  <w:tcW w:w="922" w:type="dxa"/>
                  <w:noWrap/>
                  <w:vAlign w:val="center"/>
                </w:tcPr>
                <w:p w14:paraId="79F405C4">
                  <w:pPr>
                    <w:pStyle w:val="83"/>
                    <w:rPr>
                      <w:rFonts w:hint="default"/>
                    </w:rPr>
                  </w:pPr>
                  <w:r>
                    <w:t>4.45</w:t>
                  </w:r>
                </w:p>
              </w:tc>
              <w:tc>
                <w:tcPr>
                  <w:tcW w:w="1230" w:type="dxa"/>
                  <w:vAlign w:val="center"/>
                </w:tcPr>
                <w:p w14:paraId="218E16C8">
                  <w:pPr>
                    <w:pStyle w:val="83"/>
                    <w:rPr>
                      <w:rFonts w:hint="default"/>
                    </w:rPr>
                  </w:pPr>
                  <w:r>
                    <w:t>0.085</w:t>
                  </w:r>
                </w:p>
              </w:tc>
              <w:tc>
                <w:tcPr>
                  <w:tcW w:w="556" w:type="pct"/>
                  <w:noWrap/>
                  <w:vAlign w:val="center"/>
                </w:tcPr>
                <w:p w14:paraId="630CC3C1">
                  <w:pPr>
                    <w:pStyle w:val="83"/>
                    <w:rPr>
                      <w:rFonts w:hint="default"/>
                    </w:rPr>
                  </w:pPr>
                  <w:r>
                    <w:t>60</w:t>
                  </w:r>
                </w:p>
              </w:tc>
              <w:tc>
                <w:tcPr>
                  <w:tcW w:w="387" w:type="pct"/>
                  <w:noWrap/>
                  <w:vAlign w:val="center"/>
                </w:tcPr>
                <w:p w14:paraId="7BBEBFCA">
                  <w:pPr>
                    <w:pStyle w:val="83"/>
                    <w:rPr>
                      <w:rFonts w:hint="default"/>
                    </w:rPr>
                  </w:pPr>
                  <w:r>
                    <w:t>达标</w:t>
                  </w:r>
                </w:p>
              </w:tc>
            </w:tr>
            <w:tr w14:paraId="3EBADB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645043AF">
                  <w:pPr>
                    <w:pStyle w:val="83"/>
                    <w:rPr>
                      <w:rFonts w:hint="default"/>
                    </w:rPr>
                  </w:pPr>
                </w:p>
              </w:tc>
              <w:tc>
                <w:tcPr>
                  <w:tcW w:w="1036" w:type="pct"/>
                  <w:vMerge w:val="continue"/>
                  <w:vAlign w:val="center"/>
                </w:tcPr>
                <w:p w14:paraId="76417A85">
                  <w:pPr>
                    <w:pStyle w:val="83"/>
                    <w:rPr>
                      <w:rFonts w:hint="default"/>
                    </w:rPr>
                  </w:pPr>
                </w:p>
              </w:tc>
              <w:tc>
                <w:tcPr>
                  <w:tcW w:w="777" w:type="pct"/>
                  <w:noWrap/>
                  <w:vAlign w:val="center"/>
                </w:tcPr>
                <w:p w14:paraId="49063A60">
                  <w:pPr>
                    <w:pStyle w:val="83"/>
                    <w:rPr>
                      <w:rFonts w:hint="default"/>
                    </w:rPr>
                  </w:pPr>
                  <w:r>
                    <w:t>颗粒物</w:t>
                  </w:r>
                </w:p>
              </w:tc>
              <w:tc>
                <w:tcPr>
                  <w:tcW w:w="922" w:type="dxa"/>
                  <w:vMerge w:val="continue"/>
                  <w:vAlign w:val="center"/>
                </w:tcPr>
                <w:p w14:paraId="0EFA4AAC">
                  <w:pPr>
                    <w:pStyle w:val="83"/>
                    <w:rPr>
                      <w:rFonts w:hint="default"/>
                    </w:rPr>
                  </w:pPr>
                </w:p>
              </w:tc>
              <w:tc>
                <w:tcPr>
                  <w:tcW w:w="922" w:type="dxa"/>
                  <w:noWrap/>
                  <w:vAlign w:val="center"/>
                </w:tcPr>
                <w:p w14:paraId="330F5B23">
                  <w:pPr>
                    <w:pStyle w:val="83"/>
                    <w:rPr>
                      <w:rFonts w:hint="default"/>
                    </w:rPr>
                  </w:pPr>
                  <w:r>
                    <w:t>3.1</w:t>
                  </w:r>
                </w:p>
              </w:tc>
              <w:tc>
                <w:tcPr>
                  <w:tcW w:w="1230" w:type="dxa"/>
                  <w:vAlign w:val="center"/>
                </w:tcPr>
                <w:p w14:paraId="6F281F76">
                  <w:pPr>
                    <w:pStyle w:val="83"/>
                    <w:rPr>
                      <w:rFonts w:hint="default"/>
                    </w:rPr>
                  </w:pPr>
                  <w:r>
                    <w:t>0.059</w:t>
                  </w:r>
                </w:p>
              </w:tc>
              <w:tc>
                <w:tcPr>
                  <w:tcW w:w="556" w:type="pct"/>
                  <w:noWrap/>
                  <w:vAlign w:val="center"/>
                </w:tcPr>
                <w:p w14:paraId="714BD239">
                  <w:pPr>
                    <w:pStyle w:val="83"/>
                    <w:rPr>
                      <w:rFonts w:hint="default"/>
                    </w:rPr>
                  </w:pPr>
                  <w:r>
                    <w:t>20</w:t>
                  </w:r>
                </w:p>
              </w:tc>
              <w:tc>
                <w:tcPr>
                  <w:tcW w:w="387" w:type="pct"/>
                  <w:noWrap/>
                  <w:vAlign w:val="center"/>
                </w:tcPr>
                <w:p w14:paraId="04CCC554">
                  <w:pPr>
                    <w:pStyle w:val="83"/>
                    <w:rPr>
                      <w:rFonts w:hint="default"/>
                    </w:rPr>
                  </w:pPr>
                  <w:r>
                    <w:t>达标</w:t>
                  </w:r>
                </w:p>
              </w:tc>
            </w:tr>
            <w:tr w14:paraId="7329DD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noWrap/>
                  <w:vAlign w:val="center"/>
                </w:tcPr>
                <w:p w14:paraId="217B936E">
                  <w:pPr>
                    <w:pStyle w:val="83"/>
                    <w:rPr>
                      <w:rFonts w:hint="default"/>
                    </w:rPr>
                  </w:pPr>
                </w:p>
              </w:tc>
              <w:tc>
                <w:tcPr>
                  <w:tcW w:w="1036" w:type="pct"/>
                  <w:noWrap/>
                  <w:vAlign w:val="center"/>
                </w:tcPr>
                <w:p w14:paraId="1CD3ABDE">
                  <w:pPr>
                    <w:pStyle w:val="83"/>
                    <w:rPr>
                      <w:rFonts w:hint="default"/>
                    </w:rPr>
                  </w:pPr>
                  <w:r>
                    <w:t>组件煅烧排气筒</w:t>
                  </w:r>
                </w:p>
                <w:p w14:paraId="7F75335E">
                  <w:pPr>
                    <w:pStyle w:val="83"/>
                    <w:rPr>
                      <w:rFonts w:hint="default"/>
                    </w:rPr>
                  </w:pPr>
                  <w:r>
                    <w:t>DA029</w:t>
                  </w:r>
                </w:p>
              </w:tc>
              <w:tc>
                <w:tcPr>
                  <w:tcW w:w="777" w:type="pct"/>
                  <w:noWrap/>
                  <w:vAlign w:val="center"/>
                </w:tcPr>
                <w:p w14:paraId="4E40A78A">
                  <w:pPr>
                    <w:pStyle w:val="83"/>
                    <w:rPr>
                      <w:rFonts w:hint="default"/>
                    </w:rPr>
                  </w:pPr>
                  <w:r>
                    <w:t>非甲烷总烃</w:t>
                  </w:r>
                </w:p>
              </w:tc>
              <w:tc>
                <w:tcPr>
                  <w:tcW w:w="922" w:type="dxa"/>
                  <w:vAlign w:val="center"/>
                </w:tcPr>
                <w:p w14:paraId="216845DB">
                  <w:pPr>
                    <w:pStyle w:val="83"/>
                    <w:rPr>
                      <w:rFonts w:hint="default"/>
                    </w:rPr>
                  </w:pPr>
                  <w:r>
                    <w:t>216</w:t>
                  </w:r>
                </w:p>
              </w:tc>
              <w:tc>
                <w:tcPr>
                  <w:tcW w:w="922" w:type="dxa"/>
                  <w:noWrap/>
                  <w:vAlign w:val="center"/>
                </w:tcPr>
                <w:p w14:paraId="384CAB8A">
                  <w:pPr>
                    <w:pStyle w:val="83"/>
                    <w:rPr>
                      <w:rFonts w:hint="default"/>
                    </w:rPr>
                  </w:pPr>
                  <w:r>
                    <w:t>3.96</w:t>
                  </w:r>
                </w:p>
              </w:tc>
              <w:tc>
                <w:tcPr>
                  <w:tcW w:w="1230" w:type="dxa"/>
                  <w:vAlign w:val="center"/>
                </w:tcPr>
                <w:p w14:paraId="705DA3D2">
                  <w:pPr>
                    <w:pStyle w:val="83"/>
                    <w:rPr>
                      <w:rFonts w:hint="default"/>
                    </w:rPr>
                  </w:pPr>
                  <w:r>
                    <w:t>0.0009</w:t>
                  </w:r>
                </w:p>
              </w:tc>
              <w:tc>
                <w:tcPr>
                  <w:tcW w:w="556" w:type="pct"/>
                  <w:noWrap/>
                  <w:vAlign w:val="center"/>
                </w:tcPr>
                <w:p w14:paraId="5362B58F">
                  <w:pPr>
                    <w:pStyle w:val="83"/>
                    <w:rPr>
                      <w:rFonts w:hint="default"/>
                    </w:rPr>
                  </w:pPr>
                  <w:r>
                    <w:t>60</w:t>
                  </w:r>
                </w:p>
              </w:tc>
              <w:tc>
                <w:tcPr>
                  <w:tcW w:w="387" w:type="pct"/>
                  <w:noWrap/>
                  <w:vAlign w:val="center"/>
                </w:tcPr>
                <w:p w14:paraId="0CDC1BF9">
                  <w:pPr>
                    <w:pStyle w:val="83"/>
                    <w:rPr>
                      <w:rFonts w:hint="default"/>
                    </w:rPr>
                  </w:pPr>
                  <w:r>
                    <w:t>达标</w:t>
                  </w:r>
                </w:p>
              </w:tc>
            </w:tr>
          </w:tbl>
          <w:p w14:paraId="2834797D">
            <w:pPr>
              <w:ind w:firstLine="480"/>
            </w:pPr>
            <w:r>
              <w:rPr>
                <w:rFonts w:hint="eastAsia"/>
              </w:rPr>
              <w:t>2.纺丝二期</w:t>
            </w:r>
          </w:p>
          <w:p w14:paraId="00256B88">
            <w:pPr>
              <w:ind w:firstLine="480"/>
            </w:pPr>
            <w:r>
              <w:rPr>
                <w:rFonts w:hint="eastAsia"/>
              </w:rPr>
              <w:t>现有纺丝二期项目产生的废气主要是单体抽吸废气、油剂废气和组件煅烧废气。单体抽吸废气由单体抽吸系统处理后通过4根24m排气筒排放；油剂废气由静电吸附装置处理后通过1根26m排气筒排放；组件煅烧废气由水喷淋装置处理后通过1根20m排气筒排放。纺丝二期废气监测数据见表2.4-2。</w:t>
            </w:r>
          </w:p>
          <w:p w14:paraId="369AFFF2">
            <w:pPr>
              <w:pStyle w:val="13"/>
            </w:pPr>
            <w:r>
              <w:rPr>
                <w:rFonts w:hint="eastAsia"/>
              </w:rPr>
              <w:t>表2.4-2  纺丝二期废气监测结果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247967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7359C1F3">
                  <w:pPr>
                    <w:pStyle w:val="83"/>
                    <w:rPr>
                      <w:rFonts w:hint="default"/>
                    </w:rPr>
                  </w:pPr>
                  <w:r>
                    <w:t>监测</w:t>
                  </w:r>
                </w:p>
                <w:p w14:paraId="55728A1A">
                  <w:pPr>
                    <w:pStyle w:val="83"/>
                    <w:rPr>
                      <w:rFonts w:hint="default"/>
                    </w:rPr>
                  </w:pPr>
                  <w:r>
                    <w:t>日期</w:t>
                  </w:r>
                </w:p>
              </w:tc>
              <w:tc>
                <w:tcPr>
                  <w:tcW w:w="1036" w:type="pct"/>
                  <w:noWrap/>
                  <w:vAlign w:val="center"/>
                </w:tcPr>
                <w:p w14:paraId="2628E6FB">
                  <w:pPr>
                    <w:pStyle w:val="83"/>
                    <w:rPr>
                      <w:rFonts w:hint="default"/>
                    </w:rPr>
                  </w:pPr>
                  <w:r>
                    <w:t>监测点位</w:t>
                  </w:r>
                </w:p>
              </w:tc>
              <w:tc>
                <w:tcPr>
                  <w:tcW w:w="777" w:type="pct"/>
                  <w:noWrap/>
                  <w:vAlign w:val="center"/>
                </w:tcPr>
                <w:p w14:paraId="0A31F55E">
                  <w:pPr>
                    <w:pStyle w:val="83"/>
                    <w:rPr>
                      <w:rFonts w:hint="default"/>
                    </w:rPr>
                  </w:pPr>
                  <w:r>
                    <w:t>监测项目</w:t>
                  </w:r>
                </w:p>
              </w:tc>
              <w:tc>
                <w:tcPr>
                  <w:tcW w:w="518" w:type="pct"/>
                  <w:vAlign w:val="center"/>
                </w:tcPr>
                <w:p w14:paraId="399EC3E2">
                  <w:pPr>
                    <w:pStyle w:val="83"/>
                    <w:rPr>
                      <w:rFonts w:hint="default"/>
                    </w:rPr>
                  </w:pPr>
                  <w:r>
                    <w:t>标杆</w:t>
                  </w:r>
                </w:p>
                <w:p w14:paraId="1ACD7970">
                  <w:pPr>
                    <w:pStyle w:val="83"/>
                    <w:rPr>
                      <w:rFonts w:hint="default"/>
                    </w:rPr>
                  </w:pPr>
                  <w:r>
                    <w:t>流量</w:t>
                  </w:r>
                </w:p>
                <w:p w14:paraId="57B88A57">
                  <w:pPr>
                    <w:pStyle w:val="83"/>
                    <w:rPr>
                      <w:rFonts w:hint="default"/>
                    </w:rPr>
                  </w:pPr>
                  <w:r>
                    <w:t>m</w:t>
                  </w:r>
                  <w:r>
                    <w:rPr>
                      <w:vertAlign w:val="superscript"/>
                    </w:rPr>
                    <w:t>3</w:t>
                  </w:r>
                  <w:r>
                    <w:t>/h</w:t>
                  </w:r>
                </w:p>
              </w:tc>
              <w:tc>
                <w:tcPr>
                  <w:tcW w:w="518" w:type="pct"/>
                  <w:vAlign w:val="center"/>
                </w:tcPr>
                <w:p w14:paraId="5D9FFE7A">
                  <w:pPr>
                    <w:pStyle w:val="83"/>
                    <w:rPr>
                      <w:rFonts w:hint="default"/>
                    </w:rPr>
                  </w:pPr>
                  <w:r>
                    <w:t>排放</w:t>
                  </w:r>
                </w:p>
                <w:p w14:paraId="5DF2641D">
                  <w:pPr>
                    <w:pStyle w:val="83"/>
                    <w:rPr>
                      <w:rFonts w:hint="default"/>
                    </w:rPr>
                  </w:pPr>
                  <w:r>
                    <w:t>浓度</w:t>
                  </w:r>
                </w:p>
                <w:p w14:paraId="36F7858D">
                  <w:pPr>
                    <w:pStyle w:val="83"/>
                    <w:rPr>
                      <w:rFonts w:hint="default"/>
                    </w:rPr>
                  </w:pPr>
                  <w:r>
                    <w:t>mg/m</w:t>
                  </w:r>
                  <w:r>
                    <w:rPr>
                      <w:vertAlign w:val="superscript"/>
                    </w:rPr>
                    <w:t>3</w:t>
                  </w:r>
                </w:p>
              </w:tc>
              <w:tc>
                <w:tcPr>
                  <w:tcW w:w="691" w:type="pct"/>
                  <w:vAlign w:val="center"/>
                </w:tcPr>
                <w:p w14:paraId="50CB43F8">
                  <w:pPr>
                    <w:pStyle w:val="83"/>
                    <w:rPr>
                      <w:rFonts w:hint="default"/>
                    </w:rPr>
                  </w:pPr>
                  <w:r>
                    <w:t>排放速率</w:t>
                  </w:r>
                </w:p>
                <w:p w14:paraId="20FB6174">
                  <w:pPr>
                    <w:pStyle w:val="83"/>
                    <w:rPr>
                      <w:rFonts w:hint="default"/>
                    </w:rPr>
                  </w:pPr>
                  <w:r>
                    <w:t>kg/h</w:t>
                  </w:r>
                </w:p>
              </w:tc>
              <w:tc>
                <w:tcPr>
                  <w:tcW w:w="556" w:type="pct"/>
                  <w:vAlign w:val="center"/>
                </w:tcPr>
                <w:p w14:paraId="66D6693E">
                  <w:pPr>
                    <w:pStyle w:val="83"/>
                    <w:rPr>
                      <w:rFonts w:hint="default"/>
                    </w:rPr>
                  </w:pPr>
                  <w:r>
                    <w:t>标准</w:t>
                  </w:r>
                </w:p>
                <w:p w14:paraId="4A906203">
                  <w:pPr>
                    <w:pStyle w:val="83"/>
                    <w:rPr>
                      <w:rFonts w:hint="default"/>
                    </w:rPr>
                  </w:pPr>
                  <w:r>
                    <w:t>限值</w:t>
                  </w:r>
                </w:p>
                <w:p w14:paraId="200CFBE9">
                  <w:pPr>
                    <w:pStyle w:val="83"/>
                    <w:rPr>
                      <w:rFonts w:hint="default"/>
                    </w:rPr>
                  </w:pPr>
                  <w:r>
                    <w:t>mg/m</w:t>
                  </w:r>
                  <w:r>
                    <w:rPr>
                      <w:vertAlign w:val="superscript"/>
                    </w:rPr>
                    <w:t>3</w:t>
                  </w:r>
                </w:p>
              </w:tc>
              <w:tc>
                <w:tcPr>
                  <w:tcW w:w="387" w:type="pct"/>
                  <w:noWrap/>
                  <w:vAlign w:val="center"/>
                </w:tcPr>
                <w:p w14:paraId="2D28E5EC">
                  <w:pPr>
                    <w:pStyle w:val="83"/>
                    <w:rPr>
                      <w:rFonts w:hint="default"/>
                    </w:rPr>
                  </w:pPr>
                  <w:r>
                    <w:t>达标</w:t>
                  </w:r>
                </w:p>
                <w:p w14:paraId="15096521">
                  <w:pPr>
                    <w:pStyle w:val="83"/>
                    <w:rPr>
                      <w:rFonts w:hint="default"/>
                    </w:rPr>
                  </w:pPr>
                  <w:r>
                    <w:t>情况</w:t>
                  </w:r>
                </w:p>
              </w:tc>
            </w:tr>
            <w:tr w14:paraId="650C2A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restart"/>
                  <w:noWrap/>
                  <w:vAlign w:val="center"/>
                </w:tcPr>
                <w:p w14:paraId="60722852">
                  <w:pPr>
                    <w:pStyle w:val="83"/>
                    <w:rPr>
                      <w:rFonts w:hint="default"/>
                    </w:rPr>
                  </w:pPr>
                  <w:r>
                    <w:t>2025.</w:t>
                  </w:r>
                </w:p>
                <w:p w14:paraId="1681B526">
                  <w:pPr>
                    <w:pStyle w:val="83"/>
                    <w:rPr>
                      <w:rFonts w:hint="default"/>
                    </w:rPr>
                  </w:pPr>
                  <w:r>
                    <w:t>11.19</w:t>
                  </w:r>
                </w:p>
              </w:tc>
              <w:tc>
                <w:tcPr>
                  <w:tcW w:w="1036" w:type="pct"/>
                  <w:vMerge w:val="restart"/>
                  <w:noWrap/>
                  <w:vAlign w:val="center"/>
                </w:tcPr>
                <w:p w14:paraId="090F20BD">
                  <w:pPr>
                    <w:pStyle w:val="83"/>
                    <w:rPr>
                      <w:rFonts w:hint="default"/>
                    </w:rPr>
                  </w:pPr>
                  <w:r>
                    <w:t>纺丝1#排气筒</w:t>
                  </w:r>
                </w:p>
                <w:p w14:paraId="2467B366">
                  <w:pPr>
                    <w:pStyle w:val="83"/>
                    <w:rPr>
                      <w:rFonts w:hint="default"/>
                    </w:rPr>
                  </w:pPr>
                  <w:r>
                    <w:t>DA030</w:t>
                  </w:r>
                </w:p>
              </w:tc>
              <w:tc>
                <w:tcPr>
                  <w:tcW w:w="777" w:type="pct"/>
                  <w:noWrap/>
                  <w:vAlign w:val="center"/>
                </w:tcPr>
                <w:p w14:paraId="395A277F">
                  <w:pPr>
                    <w:pStyle w:val="83"/>
                    <w:rPr>
                      <w:rFonts w:hint="default"/>
                    </w:rPr>
                  </w:pPr>
                  <w:r>
                    <w:t>非甲烷总烃</w:t>
                  </w:r>
                </w:p>
              </w:tc>
              <w:tc>
                <w:tcPr>
                  <w:tcW w:w="922" w:type="dxa"/>
                  <w:vMerge w:val="restart"/>
                  <w:vAlign w:val="center"/>
                </w:tcPr>
                <w:p w14:paraId="52AA0C00">
                  <w:pPr>
                    <w:pStyle w:val="83"/>
                    <w:rPr>
                      <w:rFonts w:hint="default"/>
                    </w:rPr>
                  </w:pPr>
                  <w:r>
                    <w:t>5490</w:t>
                  </w:r>
                </w:p>
              </w:tc>
              <w:tc>
                <w:tcPr>
                  <w:tcW w:w="922" w:type="dxa"/>
                  <w:noWrap/>
                  <w:vAlign w:val="center"/>
                </w:tcPr>
                <w:p w14:paraId="609B462C">
                  <w:pPr>
                    <w:pStyle w:val="83"/>
                    <w:rPr>
                      <w:rFonts w:hint="default"/>
                    </w:rPr>
                  </w:pPr>
                  <w:r>
                    <w:t>2.41</w:t>
                  </w:r>
                </w:p>
              </w:tc>
              <w:tc>
                <w:tcPr>
                  <w:tcW w:w="1230" w:type="dxa"/>
                  <w:vAlign w:val="center"/>
                </w:tcPr>
                <w:p w14:paraId="3FDFEE96">
                  <w:pPr>
                    <w:pStyle w:val="83"/>
                    <w:rPr>
                      <w:rFonts w:hint="default"/>
                    </w:rPr>
                  </w:pPr>
                  <w:r>
                    <w:t>0.013</w:t>
                  </w:r>
                </w:p>
              </w:tc>
              <w:tc>
                <w:tcPr>
                  <w:tcW w:w="556" w:type="pct"/>
                  <w:noWrap/>
                  <w:vAlign w:val="center"/>
                </w:tcPr>
                <w:p w14:paraId="0CD0B9DA">
                  <w:pPr>
                    <w:pStyle w:val="83"/>
                    <w:rPr>
                      <w:rFonts w:hint="default"/>
                    </w:rPr>
                  </w:pPr>
                  <w:r>
                    <w:t>60</w:t>
                  </w:r>
                </w:p>
              </w:tc>
              <w:tc>
                <w:tcPr>
                  <w:tcW w:w="387" w:type="pct"/>
                  <w:noWrap/>
                  <w:vAlign w:val="center"/>
                </w:tcPr>
                <w:p w14:paraId="3E768D01">
                  <w:pPr>
                    <w:pStyle w:val="83"/>
                    <w:rPr>
                      <w:rFonts w:hint="default"/>
                    </w:rPr>
                  </w:pPr>
                  <w:r>
                    <w:t>达标</w:t>
                  </w:r>
                </w:p>
              </w:tc>
            </w:tr>
            <w:tr w14:paraId="115906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ECDAAA7">
                  <w:pPr>
                    <w:pStyle w:val="83"/>
                    <w:rPr>
                      <w:rFonts w:hint="default"/>
                    </w:rPr>
                  </w:pPr>
                </w:p>
              </w:tc>
              <w:tc>
                <w:tcPr>
                  <w:tcW w:w="1036" w:type="pct"/>
                  <w:vMerge w:val="continue"/>
                  <w:vAlign w:val="center"/>
                </w:tcPr>
                <w:p w14:paraId="53189BEA">
                  <w:pPr>
                    <w:pStyle w:val="83"/>
                    <w:rPr>
                      <w:rFonts w:hint="default"/>
                    </w:rPr>
                  </w:pPr>
                </w:p>
              </w:tc>
              <w:tc>
                <w:tcPr>
                  <w:tcW w:w="777" w:type="pct"/>
                  <w:noWrap/>
                  <w:vAlign w:val="center"/>
                </w:tcPr>
                <w:p w14:paraId="72223247">
                  <w:pPr>
                    <w:pStyle w:val="83"/>
                    <w:rPr>
                      <w:rFonts w:hint="default"/>
                    </w:rPr>
                  </w:pPr>
                  <w:r>
                    <w:t>颗粒物</w:t>
                  </w:r>
                </w:p>
              </w:tc>
              <w:tc>
                <w:tcPr>
                  <w:tcW w:w="922" w:type="dxa"/>
                  <w:vMerge w:val="continue"/>
                  <w:vAlign w:val="center"/>
                </w:tcPr>
                <w:p w14:paraId="24EFB891">
                  <w:pPr>
                    <w:pStyle w:val="83"/>
                    <w:rPr>
                      <w:rFonts w:hint="default"/>
                    </w:rPr>
                  </w:pPr>
                </w:p>
              </w:tc>
              <w:tc>
                <w:tcPr>
                  <w:tcW w:w="922" w:type="dxa"/>
                  <w:noWrap/>
                  <w:vAlign w:val="center"/>
                </w:tcPr>
                <w:p w14:paraId="1B886660">
                  <w:pPr>
                    <w:pStyle w:val="83"/>
                    <w:rPr>
                      <w:rFonts w:hint="default"/>
                    </w:rPr>
                  </w:pPr>
                  <w:r>
                    <w:t>2.1</w:t>
                  </w:r>
                </w:p>
              </w:tc>
              <w:tc>
                <w:tcPr>
                  <w:tcW w:w="1230" w:type="dxa"/>
                  <w:vAlign w:val="center"/>
                </w:tcPr>
                <w:p w14:paraId="5ACC203A">
                  <w:pPr>
                    <w:pStyle w:val="83"/>
                    <w:rPr>
                      <w:rFonts w:hint="default"/>
                    </w:rPr>
                  </w:pPr>
                  <w:r>
                    <w:t>0.012</w:t>
                  </w:r>
                </w:p>
              </w:tc>
              <w:tc>
                <w:tcPr>
                  <w:tcW w:w="556" w:type="pct"/>
                  <w:noWrap/>
                  <w:vAlign w:val="center"/>
                </w:tcPr>
                <w:p w14:paraId="63FD497A">
                  <w:pPr>
                    <w:pStyle w:val="83"/>
                    <w:rPr>
                      <w:rFonts w:hint="default"/>
                    </w:rPr>
                  </w:pPr>
                  <w:r>
                    <w:t>20</w:t>
                  </w:r>
                </w:p>
              </w:tc>
              <w:tc>
                <w:tcPr>
                  <w:tcW w:w="387" w:type="pct"/>
                  <w:noWrap/>
                  <w:vAlign w:val="center"/>
                </w:tcPr>
                <w:p w14:paraId="06F8C98E">
                  <w:pPr>
                    <w:pStyle w:val="83"/>
                    <w:rPr>
                      <w:rFonts w:hint="default"/>
                    </w:rPr>
                  </w:pPr>
                  <w:r>
                    <w:t>达标</w:t>
                  </w:r>
                </w:p>
              </w:tc>
            </w:tr>
            <w:tr w14:paraId="7D2603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F4FECE2">
                  <w:pPr>
                    <w:pStyle w:val="83"/>
                    <w:rPr>
                      <w:rFonts w:hint="default"/>
                    </w:rPr>
                  </w:pPr>
                </w:p>
              </w:tc>
              <w:tc>
                <w:tcPr>
                  <w:tcW w:w="1036" w:type="pct"/>
                  <w:vMerge w:val="restart"/>
                  <w:noWrap/>
                  <w:vAlign w:val="center"/>
                </w:tcPr>
                <w:p w14:paraId="583F5478">
                  <w:pPr>
                    <w:pStyle w:val="83"/>
                    <w:rPr>
                      <w:rFonts w:hint="default"/>
                    </w:rPr>
                  </w:pPr>
                  <w:r>
                    <w:t>纺丝7#排气筒</w:t>
                  </w:r>
                </w:p>
                <w:p w14:paraId="10986C8B">
                  <w:pPr>
                    <w:pStyle w:val="83"/>
                    <w:rPr>
                      <w:rFonts w:hint="default"/>
                    </w:rPr>
                  </w:pPr>
                  <w:r>
                    <w:t>DA036</w:t>
                  </w:r>
                </w:p>
              </w:tc>
              <w:tc>
                <w:tcPr>
                  <w:tcW w:w="777" w:type="pct"/>
                  <w:noWrap/>
                  <w:vAlign w:val="center"/>
                </w:tcPr>
                <w:p w14:paraId="4288C805">
                  <w:pPr>
                    <w:pStyle w:val="83"/>
                    <w:rPr>
                      <w:rFonts w:hint="default"/>
                    </w:rPr>
                  </w:pPr>
                  <w:r>
                    <w:t>非甲烷总烃</w:t>
                  </w:r>
                </w:p>
              </w:tc>
              <w:tc>
                <w:tcPr>
                  <w:tcW w:w="922" w:type="dxa"/>
                  <w:vMerge w:val="restart"/>
                  <w:vAlign w:val="center"/>
                </w:tcPr>
                <w:p w14:paraId="146E3226">
                  <w:pPr>
                    <w:pStyle w:val="83"/>
                    <w:rPr>
                      <w:rFonts w:hint="default"/>
                    </w:rPr>
                  </w:pPr>
                  <w:r>
                    <w:t>4960</w:t>
                  </w:r>
                </w:p>
              </w:tc>
              <w:tc>
                <w:tcPr>
                  <w:tcW w:w="922" w:type="dxa"/>
                  <w:noWrap/>
                  <w:vAlign w:val="center"/>
                </w:tcPr>
                <w:p w14:paraId="62869679">
                  <w:pPr>
                    <w:pStyle w:val="83"/>
                    <w:rPr>
                      <w:rFonts w:hint="default"/>
                    </w:rPr>
                  </w:pPr>
                  <w:r>
                    <w:t>3.36</w:t>
                  </w:r>
                </w:p>
              </w:tc>
              <w:tc>
                <w:tcPr>
                  <w:tcW w:w="1230" w:type="dxa"/>
                  <w:vAlign w:val="center"/>
                </w:tcPr>
                <w:p w14:paraId="60478269">
                  <w:pPr>
                    <w:pStyle w:val="83"/>
                    <w:rPr>
                      <w:rFonts w:hint="default"/>
                    </w:rPr>
                  </w:pPr>
                  <w:r>
                    <w:t>0.017</w:t>
                  </w:r>
                </w:p>
              </w:tc>
              <w:tc>
                <w:tcPr>
                  <w:tcW w:w="556" w:type="pct"/>
                  <w:noWrap/>
                  <w:vAlign w:val="center"/>
                </w:tcPr>
                <w:p w14:paraId="3262E9E9">
                  <w:pPr>
                    <w:pStyle w:val="83"/>
                    <w:rPr>
                      <w:rFonts w:hint="default"/>
                    </w:rPr>
                  </w:pPr>
                  <w:r>
                    <w:t>60</w:t>
                  </w:r>
                </w:p>
              </w:tc>
              <w:tc>
                <w:tcPr>
                  <w:tcW w:w="387" w:type="pct"/>
                  <w:noWrap/>
                  <w:vAlign w:val="center"/>
                </w:tcPr>
                <w:p w14:paraId="17B45B7A">
                  <w:pPr>
                    <w:pStyle w:val="83"/>
                    <w:rPr>
                      <w:rFonts w:hint="default"/>
                    </w:rPr>
                  </w:pPr>
                  <w:r>
                    <w:t>达标</w:t>
                  </w:r>
                </w:p>
              </w:tc>
            </w:tr>
            <w:tr w14:paraId="0F0098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67091AE">
                  <w:pPr>
                    <w:pStyle w:val="83"/>
                    <w:rPr>
                      <w:rFonts w:hint="default"/>
                    </w:rPr>
                  </w:pPr>
                </w:p>
              </w:tc>
              <w:tc>
                <w:tcPr>
                  <w:tcW w:w="1036" w:type="pct"/>
                  <w:vMerge w:val="continue"/>
                  <w:vAlign w:val="center"/>
                </w:tcPr>
                <w:p w14:paraId="17919542">
                  <w:pPr>
                    <w:pStyle w:val="83"/>
                    <w:rPr>
                      <w:rFonts w:hint="default"/>
                    </w:rPr>
                  </w:pPr>
                </w:p>
              </w:tc>
              <w:tc>
                <w:tcPr>
                  <w:tcW w:w="777" w:type="pct"/>
                  <w:noWrap/>
                  <w:vAlign w:val="center"/>
                </w:tcPr>
                <w:p w14:paraId="4717BEAC">
                  <w:pPr>
                    <w:pStyle w:val="83"/>
                    <w:rPr>
                      <w:rFonts w:hint="default"/>
                    </w:rPr>
                  </w:pPr>
                  <w:r>
                    <w:t>颗粒物</w:t>
                  </w:r>
                </w:p>
              </w:tc>
              <w:tc>
                <w:tcPr>
                  <w:tcW w:w="922" w:type="dxa"/>
                  <w:vMerge w:val="continue"/>
                  <w:vAlign w:val="center"/>
                </w:tcPr>
                <w:p w14:paraId="74FAA113">
                  <w:pPr>
                    <w:pStyle w:val="83"/>
                    <w:rPr>
                      <w:rFonts w:hint="default"/>
                    </w:rPr>
                  </w:pPr>
                </w:p>
              </w:tc>
              <w:tc>
                <w:tcPr>
                  <w:tcW w:w="922" w:type="dxa"/>
                  <w:noWrap/>
                  <w:vAlign w:val="center"/>
                </w:tcPr>
                <w:p w14:paraId="4E0258E0">
                  <w:pPr>
                    <w:pStyle w:val="83"/>
                    <w:rPr>
                      <w:rFonts w:hint="default"/>
                    </w:rPr>
                  </w:pPr>
                  <w:r>
                    <w:t>5.8</w:t>
                  </w:r>
                </w:p>
              </w:tc>
              <w:tc>
                <w:tcPr>
                  <w:tcW w:w="1230" w:type="dxa"/>
                  <w:vAlign w:val="center"/>
                </w:tcPr>
                <w:p w14:paraId="4B1876B2">
                  <w:pPr>
                    <w:pStyle w:val="83"/>
                    <w:rPr>
                      <w:rFonts w:hint="default"/>
                    </w:rPr>
                  </w:pPr>
                  <w:r>
                    <w:t>0.029</w:t>
                  </w:r>
                </w:p>
              </w:tc>
              <w:tc>
                <w:tcPr>
                  <w:tcW w:w="556" w:type="pct"/>
                  <w:noWrap/>
                  <w:vAlign w:val="center"/>
                </w:tcPr>
                <w:p w14:paraId="048E6508">
                  <w:pPr>
                    <w:pStyle w:val="83"/>
                    <w:rPr>
                      <w:rFonts w:hint="default"/>
                    </w:rPr>
                  </w:pPr>
                  <w:r>
                    <w:t>20</w:t>
                  </w:r>
                </w:p>
              </w:tc>
              <w:tc>
                <w:tcPr>
                  <w:tcW w:w="387" w:type="pct"/>
                  <w:noWrap/>
                  <w:vAlign w:val="center"/>
                </w:tcPr>
                <w:p w14:paraId="65C699A1">
                  <w:pPr>
                    <w:pStyle w:val="83"/>
                    <w:rPr>
                      <w:rFonts w:hint="default"/>
                    </w:rPr>
                  </w:pPr>
                  <w:r>
                    <w:t>达标</w:t>
                  </w:r>
                </w:p>
              </w:tc>
            </w:tr>
            <w:tr w14:paraId="390FE2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24E32B8A">
                  <w:pPr>
                    <w:pStyle w:val="83"/>
                    <w:rPr>
                      <w:rFonts w:hint="default"/>
                    </w:rPr>
                  </w:pPr>
                </w:p>
              </w:tc>
              <w:tc>
                <w:tcPr>
                  <w:tcW w:w="1036" w:type="pct"/>
                  <w:vMerge w:val="restart"/>
                  <w:noWrap/>
                  <w:vAlign w:val="center"/>
                </w:tcPr>
                <w:p w14:paraId="3A0A2699">
                  <w:pPr>
                    <w:pStyle w:val="83"/>
                    <w:rPr>
                      <w:rFonts w:hint="default"/>
                    </w:rPr>
                  </w:pPr>
                  <w:r>
                    <w:t>纺丝12#排气筒</w:t>
                  </w:r>
                </w:p>
                <w:p w14:paraId="327790C7">
                  <w:pPr>
                    <w:pStyle w:val="83"/>
                    <w:rPr>
                      <w:rFonts w:hint="default"/>
                    </w:rPr>
                  </w:pPr>
                  <w:r>
                    <w:t>DA041</w:t>
                  </w:r>
                </w:p>
              </w:tc>
              <w:tc>
                <w:tcPr>
                  <w:tcW w:w="777" w:type="pct"/>
                  <w:noWrap/>
                  <w:vAlign w:val="center"/>
                </w:tcPr>
                <w:p w14:paraId="2FF9E9ED">
                  <w:pPr>
                    <w:pStyle w:val="83"/>
                    <w:rPr>
                      <w:rFonts w:hint="default"/>
                    </w:rPr>
                  </w:pPr>
                  <w:r>
                    <w:t>非甲烷总烃</w:t>
                  </w:r>
                </w:p>
              </w:tc>
              <w:tc>
                <w:tcPr>
                  <w:tcW w:w="922" w:type="dxa"/>
                  <w:vMerge w:val="restart"/>
                  <w:vAlign w:val="center"/>
                </w:tcPr>
                <w:p w14:paraId="218FF574">
                  <w:pPr>
                    <w:pStyle w:val="83"/>
                    <w:rPr>
                      <w:rFonts w:hint="default"/>
                    </w:rPr>
                  </w:pPr>
                  <w:r>
                    <w:t>5680</w:t>
                  </w:r>
                </w:p>
              </w:tc>
              <w:tc>
                <w:tcPr>
                  <w:tcW w:w="922" w:type="dxa"/>
                  <w:noWrap/>
                  <w:vAlign w:val="center"/>
                </w:tcPr>
                <w:p w14:paraId="2AC81A24">
                  <w:pPr>
                    <w:pStyle w:val="83"/>
                    <w:rPr>
                      <w:rFonts w:hint="default"/>
                    </w:rPr>
                  </w:pPr>
                  <w:r>
                    <w:t>3.05</w:t>
                  </w:r>
                </w:p>
              </w:tc>
              <w:tc>
                <w:tcPr>
                  <w:tcW w:w="1230" w:type="dxa"/>
                  <w:vAlign w:val="center"/>
                </w:tcPr>
                <w:p w14:paraId="599F96FE">
                  <w:pPr>
                    <w:pStyle w:val="83"/>
                    <w:rPr>
                      <w:rFonts w:hint="default"/>
                    </w:rPr>
                  </w:pPr>
                  <w:r>
                    <w:t>0.017</w:t>
                  </w:r>
                </w:p>
              </w:tc>
              <w:tc>
                <w:tcPr>
                  <w:tcW w:w="556" w:type="pct"/>
                  <w:noWrap/>
                  <w:vAlign w:val="center"/>
                </w:tcPr>
                <w:p w14:paraId="5A7065CA">
                  <w:pPr>
                    <w:pStyle w:val="83"/>
                    <w:rPr>
                      <w:rFonts w:hint="default"/>
                    </w:rPr>
                  </w:pPr>
                  <w:r>
                    <w:t>60</w:t>
                  </w:r>
                </w:p>
              </w:tc>
              <w:tc>
                <w:tcPr>
                  <w:tcW w:w="387" w:type="pct"/>
                  <w:noWrap/>
                  <w:vAlign w:val="center"/>
                </w:tcPr>
                <w:p w14:paraId="24FDD638">
                  <w:pPr>
                    <w:pStyle w:val="83"/>
                    <w:rPr>
                      <w:rFonts w:hint="default"/>
                    </w:rPr>
                  </w:pPr>
                  <w:r>
                    <w:t>达标</w:t>
                  </w:r>
                </w:p>
              </w:tc>
            </w:tr>
            <w:tr w14:paraId="0F83C4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15F35E2">
                  <w:pPr>
                    <w:pStyle w:val="83"/>
                    <w:rPr>
                      <w:rFonts w:hint="default"/>
                    </w:rPr>
                  </w:pPr>
                </w:p>
              </w:tc>
              <w:tc>
                <w:tcPr>
                  <w:tcW w:w="1036" w:type="pct"/>
                  <w:vMerge w:val="continue"/>
                  <w:vAlign w:val="center"/>
                </w:tcPr>
                <w:p w14:paraId="2CA2E4F0">
                  <w:pPr>
                    <w:pStyle w:val="83"/>
                    <w:rPr>
                      <w:rFonts w:hint="default"/>
                    </w:rPr>
                  </w:pPr>
                </w:p>
              </w:tc>
              <w:tc>
                <w:tcPr>
                  <w:tcW w:w="777" w:type="pct"/>
                  <w:noWrap/>
                  <w:vAlign w:val="center"/>
                </w:tcPr>
                <w:p w14:paraId="003589C2">
                  <w:pPr>
                    <w:pStyle w:val="83"/>
                    <w:rPr>
                      <w:rFonts w:hint="default"/>
                    </w:rPr>
                  </w:pPr>
                  <w:r>
                    <w:t>颗粒物</w:t>
                  </w:r>
                </w:p>
              </w:tc>
              <w:tc>
                <w:tcPr>
                  <w:tcW w:w="922" w:type="dxa"/>
                  <w:vMerge w:val="continue"/>
                  <w:vAlign w:val="center"/>
                </w:tcPr>
                <w:p w14:paraId="20F27E4B">
                  <w:pPr>
                    <w:pStyle w:val="83"/>
                    <w:rPr>
                      <w:rFonts w:hint="default"/>
                    </w:rPr>
                  </w:pPr>
                </w:p>
              </w:tc>
              <w:tc>
                <w:tcPr>
                  <w:tcW w:w="922" w:type="dxa"/>
                  <w:noWrap/>
                  <w:vAlign w:val="center"/>
                </w:tcPr>
                <w:p w14:paraId="11E3BA2C">
                  <w:pPr>
                    <w:pStyle w:val="83"/>
                    <w:rPr>
                      <w:rFonts w:hint="default"/>
                    </w:rPr>
                  </w:pPr>
                  <w:r>
                    <w:t>2.3</w:t>
                  </w:r>
                </w:p>
              </w:tc>
              <w:tc>
                <w:tcPr>
                  <w:tcW w:w="1230" w:type="dxa"/>
                  <w:vAlign w:val="center"/>
                </w:tcPr>
                <w:p w14:paraId="6869F150">
                  <w:pPr>
                    <w:pStyle w:val="83"/>
                    <w:rPr>
                      <w:rFonts w:hint="default"/>
                    </w:rPr>
                  </w:pPr>
                  <w:r>
                    <w:t>0.013</w:t>
                  </w:r>
                </w:p>
              </w:tc>
              <w:tc>
                <w:tcPr>
                  <w:tcW w:w="556" w:type="pct"/>
                  <w:noWrap/>
                  <w:vAlign w:val="center"/>
                </w:tcPr>
                <w:p w14:paraId="435B8745">
                  <w:pPr>
                    <w:pStyle w:val="83"/>
                    <w:rPr>
                      <w:rFonts w:hint="default"/>
                    </w:rPr>
                  </w:pPr>
                  <w:r>
                    <w:t>20</w:t>
                  </w:r>
                </w:p>
              </w:tc>
              <w:tc>
                <w:tcPr>
                  <w:tcW w:w="387" w:type="pct"/>
                  <w:noWrap/>
                  <w:vAlign w:val="center"/>
                </w:tcPr>
                <w:p w14:paraId="2961298D">
                  <w:pPr>
                    <w:pStyle w:val="83"/>
                    <w:rPr>
                      <w:rFonts w:hint="default"/>
                    </w:rPr>
                  </w:pPr>
                  <w:r>
                    <w:t>达标</w:t>
                  </w:r>
                </w:p>
              </w:tc>
            </w:tr>
            <w:tr w14:paraId="58CC71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4D1B86D1">
                  <w:pPr>
                    <w:pStyle w:val="83"/>
                    <w:rPr>
                      <w:rFonts w:hint="default"/>
                    </w:rPr>
                  </w:pPr>
                </w:p>
              </w:tc>
              <w:tc>
                <w:tcPr>
                  <w:tcW w:w="1036" w:type="pct"/>
                  <w:vMerge w:val="restart"/>
                  <w:noWrap/>
                  <w:vAlign w:val="center"/>
                </w:tcPr>
                <w:p w14:paraId="340FE574">
                  <w:pPr>
                    <w:pStyle w:val="83"/>
                    <w:rPr>
                      <w:rFonts w:hint="default"/>
                    </w:rPr>
                  </w:pPr>
                  <w:r>
                    <w:t>纺丝17#排气筒</w:t>
                  </w:r>
                </w:p>
                <w:p w14:paraId="60E271B3">
                  <w:pPr>
                    <w:pStyle w:val="83"/>
                    <w:rPr>
                      <w:rFonts w:hint="default"/>
                    </w:rPr>
                  </w:pPr>
                  <w:r>
                    <w:t>DA053</w:t>
                  </w:r>
                </w:p>
              </w:tc>
              <w:tc>
                <w:tcPr>
                  <w:tcW w:w="777" w:type="pct"/>
                  <w:noWrap/>
                  <w:vAlign w:val="center"/>
                </w:tcPr>
                <w:p w14:paraId="6A30C2B5">
                  <w:pPr>
                    <w:pStyle w:val="83"/>
                    <w:rPr>
                      <w:rFonts w:hint="default"/>
                    </w:rPr>
                  </w:pPr>
                  <w:r>
                    <w:t>非甲烷总烃</w:t>
                  </w:r>
                </w:p>
              </w:tc>
              <w:tc>
                <w:tcPr>
                  <w:tcW w:w="922" w:type="dxa"/>
                  <w:vMerge w:val="restart"/>
                  <w:vAlign w:val="center"/>
                </w:tcPr>
                <w:p w14:paraId="6BAA7C0F">
                  <w:pPr>
                    <w:pStyle w:val="83"/>
                    <w:rPr>
                      <w:rFonts w:hint="default"/>
                    </w:rPr>
                  </w:pPr>
                  <w:r>
                    <w:t>5640</w:t>
                  </w:r>
                </w:p>
              </w:tc>
              <w:tc>
                <w:tcPr>
                  <w:tcW w:w="922" w:type="dxa"/>
                  <w:noWrap/>
                  <w:vAlign w:val="center"/>
                </w:tcPr>
                <w:p w14:paraId="06663148">
                  <w:pPr>
                    <w:pStyle w:val="83"/>
                    <w:rPr>
                      <w:rFonts w:hint="default"/>
                    </w:rPr>
                  </w:pPr>
                  <w:r>
                    <w:t>4.7</w:t>
                  </w:r>
                </w:p>
              </w:tc>
              <w:tc>
                <w:tcPr>
                  <w:tcW w:w="1230" w:type="dxa"/>
                  <w:vAlign w:val="center"/>
                </w:tcPr>
                <w:p w14:paraId="197D44F1">
                  <w:pPr>
                    <w:pStyle w:val="83"/>
                    <w:rPr>
                      <w:rFonts w:hint="default"/>
                    </w:rPr>
                  </w:pPr>
                  <w:r>
                    <w:t>0.027</w:t>
                  </w:r>
                </w:p>
              </w:tc>
              <w:tc>
                <w:tcPr>
                  <w:tcW w:w="556" w:type="pct"/>
                  <w:noWrap/>
                  <w:vAlign w:val="center"/>
                </w:tcPr>
                <w:p w14:paraId="75CA8459">
                  <w:pPr>
                    <w:pStyle w:val="83"/>
                    <w:rPr>
                      <w:rFonts w:hint="default"/>
                    </w:rPr>
                  </w:pPr>
                  <w:r>
                    <w:t>60</w:t>
                  </w:r>
                </w:p>
              </w:tc>
              <w:tc>
                <w:tcPr>
                  <w:tcW w:w="387" w:type="pct"/>
                  <w:noWrap/>
                  <w:vAlign w:val="center"/>
                </w:tcPr>
                <w:p w14:paraId="75445060">
                  <w:pPr>
                    <w:pStyle w:val="83"/>
                    <w:rPr>
                      <w:rFonts w:hint="default"/>
                    </w:rPr>
                  </w:pPr>
                  <w:r>
                    <w:t>达标</w:t>
                  </w:r>
                </w:p>
              </w:tc>
            </w:tr>
            <w:tr w14:paraId="269BB8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6285ADC">
                  <w:pPr>
                    <w:pStyle w:val="83"/>
                    <w:rPr>
                      <w:rFonts w:hint="default"/>
                    </w:rPr>
                  </w:pPr>
                </w:p>
              </w:tc>
              <w:tc>
                <w:tcPr>
                  <w:tcW w:w="1036" w:type="pct"/>
                  <w:vMerge w:val="continue"/>
                  <w:vAlign w:val="center"/>
                </w:tcPr>
                <w:p w14:paraId="453271DA">
                  <w:pPr>
                    <w:pStyle w:val="83"/>
                    <w:rPr>
                      <w:rFonts w:hint="default"/>
                    </w:rPr>
                  </w:pPr>
                </w:p>
              </w:tc>
              <w:tc>
                <w:tcPr>
                  <w:tcW w:w="777" w:type="pct"/>
                  <w:noWrap/>
                  <w:vAlign w:val="center"/>
                </w:tcPr>
                <w:p w14:paraId="3B46A06C">
                  <w:pPr>
                    <w:pStyle w:val="83"/>
                    <w:rPr>
                      <w:rFonts w:hint="default"/>
                    </w:rPr>
                  </w:pPr>
                  <w:r>
                    <w:t>颗粒物</w:t>
                  </w:r>
                </w:p>
              </w:tc>
              <w:tc>
                <w:tcPr>
                  <w:tcW w:w="922" w:type="dxa"/>
                  <w:vMerge w:val="continue"/>
                  <w:vAlign w:val="center"/>
                </w:tcPr>
                <w:p w14:paraId="1F851C1D">
                  <w:pPr>
                    <w:pStyle w:val="83"/>
                    <w:rPr>
                      <w:rFonts w:hint="default"/>
                    </w:rPr>
                  </w:pPr>
                </w:p>
              </w:tc>
              <w:tc>
                <w:tcPr>
                  <w:tcW w:w="922" w:type="dxa"/>
                  <w:noWrap/>
                  <w:vAlign w:val="center"/>
                </w:tcPr>
                <w:p w14:paraId="509445F2">
                  <w:pPr>
                    <w:pStyle w:val="83"/>
                    <w:rPr>
                      <w:rFonts w:hint="default"/>
                    </w:rPr>
                  </w:pPr>
                  <w:r>
                    <w:t>2.3</w:t>
                  </w:r>
                </w:p>
              </w:tc>
              <w:tc>
                <w:tcPr>
                  <w:tcW w:w="1230" w:type="dxa"/>
                  <w:vAlign w:val="center"/>
                </w:tcPr>
                <w:p w14:paraId="634C44B5">
                  <w:pPr>
                    <w:pStyle w:val="83"/>
                    <w:rPr>
                      <w:rFonts w:hint="default"/>
                    </w:rPr>
                  </w:pPr>
                  <w:r>
                    <w:t>0.013</w:t>
                  </w:r>
                </w:p>
              </w:tc>
              <w:tc>
                <w:tcPr>
                  <w:tcW w:w="556" w:type="pct"/>
                  <w:noWrap/>
                  <w:vAlign w:val="center"/>
                </w:tcPr>
                <w:p w14:paraId="7FF4ADE4">
                  <w:pPr>
                    <w:pStyle w:val="83"/>
                    <w:rPr>
                      <w:rFonts w:hint="default"/>
                    </w:rPr>
                  </w:pPr>
                  <w:r>
                    <w:t>20</w:t>
                  </w:r>
                </w:p>
              </w:tc>
              <w:tc>
                <w:tcPr>
                  <w:tcW w:w="387" w:type="pct"/>
                  <w:noWrap/>
                  <w:vAlign w:val="center"/>
                </w:tcPr>
                <w:p w14:paraId="68BFF15F">
                  <w:pPr>
                    <w:pStyle w:val="83"/>
                    <w:rPr>
                      <w:rFonts w:hint="default"/>
                    </w:rPr>
                  </w:pPr>
                  <w:r>
                    <w:t>达标</w:t>
                  </w:r>
                </w:p>
              </w:tc>
            </w:tr>
            <w:tr w14:paraId="5BBBDA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F12601F">
                  <w:pPr>
                    <w:pStyle w:val="83"/>
                    <w:rPr>
                      <w:rFonts w:hint="default"/>
                    </w:rPr>
                  </w:pPr>
                </w:p>
              </w:tc>
              <w:tc>
                <w:tcPr>
                  <w:tcW w:w="1036" w:type="pct"/>
                  <w:vMerge w:val="restart"/>
                  <w:noWrap/>
                  <w:vAlign w:val="center"/>
                </w:tcPr>
                <w:p w14:paraId="3EFE610D">
                  <w:pPr>
                    <w:pStyle w:val="83"/>
                    <w:rPr>
                      <w:rFonts w:hint="default"/>
                    </w:rPr>
                  </w:pPr>
                  <w:r>
                    <w:t>油烟排气筒</w:t>
                  </w:r>
                </w:p>
                <w:p w14:paraId="3FDDF6C1">
                  <w:pPr>
                    <w:pStyle w:val="83"/>
                    <w:rPr>
                      <w:rFonts w:hint="default"/>
                    </w:rPr>
                  </w:pPr>
                  <w:r>
                    <w:t>DA059</w:t>
                  </w:r>
                </w:p>
              </w:tc>
              <w:tc>
                <w:tcPr>
                  <w:tcW w:w="777" w:type="pct"/>
                  <w:noWrap/>
                  <w:vAlign w:val="center"/>
                </w:tcPr>
                <w:p w14:paraId="41502B72">
                  <w:pPr>
                    <w:pStyle w:val="83"/>
                    <w:rPr>
                      <w:rFonts w:hint="default"/>
                    </w:rPr>
                  </w:pPr>
                  <w:r>
                    <w:t>非甲烷总烃</w:t>
                  </w:r>
                </w:p>
              </w:tc>
              <w:tc>
                <w:tcPr>
                  <w:tcW w:w="922" w:type="dxa"/>
                  <w:vMerge w:val="restart"/>
                  <w:vAlign w:val="center"/>
                </w:tcPr>
                <w:p w14:paraId="3B9F8C61">
                  <w:pPr>
                    <w:pStyle w:val="83"/>
                    <w:rPr>
                      <w:rFonts w:hint="default"/>
                    </w:rPr>
                  </w:pPr>
                  <w:r>
                    <w:t>32300</w:t>
                  </w:r>
                </w:p>
              </w:tc>
              <w:tc>
                <w:tcPr>
                  <w:tcW w:w="922" w:type="dxa"/>
                  <w:noWrap/>
                  <w:vAlign w:val="center"/>
                </w:tcPr>
                <w:p w14:paraId="72D94884">
                  <w:pPr>
                    <w:pStyle w:val="83"/>
                    <w:rPr>
                      <w:rFonts w:hint="default"/>
                    </w:rPr>
                  </w:pPr>
                  <w:r>
                    <w:t>3.89</w:t>
                  </w:r>
                </w:p>
              </w:tc>
              <w:tc>
                <w:tcPr>
                  <w:tcW w:w="1230" w:type="dxa"/>
                  <w:vAlign w:val="center"/>
                </w:tcPr>
                <w:p w14:paraId="14BFE3A5">
                  <w:pPr>
                    <w:pStyle w:val="83"/>
                    <w:rPr>
                      <w:rFonts w:hint="default"/>
                    </w:rPr>
                  </w:pPr>
                  <w:r>
                    <w:t>0.126</w:t>
                  </w:r>
                </w:p>
              </w:tc>
              <w:tc>
                <w:tcPr>
                  <w:tcW w:w="556" w:type="pct"/>
                  <w:noWrap/>
                  <w:vAlign w:val="center"/>
                </w:tcPr>
                <w:p w14:paraId="208CF5CE">
                  <w:pPr>
                    <w:pStyle w:val="83"/>
                    <w:rPr>
                      <w:rFonts w:hint="default"/>
                    </w:rPr>
                  </w:pPr>
                  <w:r>
                    <w:t>60</w:t>
                  </w:r>
                </w:p>
              </w:tc>
              <w:tc>
                <w:tcPr>
                  <w:tcW w:w="387" w:type="pct"/>
                  <w:noWrap/>
                  <w:vAlign w:val="center"/>
                </w:tcPr>
                <w:p w14:paraId="5ABE908A">
                  <w:pPr>
                    <w:pStyle w:val="83"/>
                    <w:rPr>
                      <w:rFonts w:hint="default"/>
                    </w:rPr>
                  </w:pPr>
                  <w:r>
                    <w:t>达标</w:t>
                  </w:r>
                </w:p>
              </w:tc>
            </w:tr>
            <w:tr w14:paraId="7E57A0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50BAF8BB">
                  <w:pPr>
                    <w:pStyle w:val="83"/>
                    <w:rPr>
                      <w:rFonts w:hint="default"/>
                    </w:rPr>
                  </w:pPr>
                </w:p>
              </w:tc>
              <w:tc>
                <w:tcPr>
                  <w:tcW w:w="1036" w:type="pct"/>
                  <w:vMerge w:val="continue"/>
                  <w:vAlign w:val="center"/>
                </w:tcPr>
                <w:p w14:paraId="2FE504A9">
                  <w:pPr>
                    <w:pStyle w:val="83"/>
                    <w:rPr>
                      <w:rFonts w:hint="default"/>
                    </w:rPr>
                  </w:pPr>
                </w:p>
              </w:tc>
              <w:tc>
                <w:tcPr>
                  <w:tcW w:w="777" w:type="pct"/>
                  <w:noWrap/>
                  <w:vAlign w:val="center"/>
                </w:tcPr>
                <w:p w14:paraId="7FF0A25B">
                  <w:pPr>
                    <w:pStyle w:val="83"/>
                    <w:rPr>
                      <w:rFonts w:hint="default"/>
                    </w:rPr>
                  </w:pPr>
                  <w:r>
                    <w:t>颗粒物</w:t>
                  </w:r>
                </w:p>
              </w:tc>
              <w:tc>
                <w:tcPr>
                  <w:tcW w:w="922" w:type="dxa"/>
                  <w:vMerge w:val="continue"/>
                  <w:vAlign w:val="center"/>
                </w:tcPr>
                <w:p w14:paraId="4D916A87">
                  <w:pPr>
                    <w:pStyle w:val="83"/>
                    <w:rPr>
                      <w:rFonts w:hint="default"/>
                    </w:rPr>
                  </w:pPr>
                </w:p>
              </w:tc>
              <w:tc>
                <w:tcPr>
                  <w:tcW w:w="922" w:type="dxa"/>
                  <w:noWrap/>
                  <w:vAlign w:val="center"/>
                </w:tcPr>
                <w:p w14:paraId="5EB0A56B">
                  <w:pPr>
                    <w:pStyle w:val="83"/>
                    <w:rPr>
                      <w:rFonts w:hint="default"/>
                    </w:rPr>
                  </w:pPr>
                  <w:r>
                    <w:t>2.85</w:t>
                  </w:r>
                </w:p>
              </w:tc>
              <w:tc>
                <w:tcPr>
                  <w:tcW w:w="1230" w:type="dxa"/>
                  <w:vAlign w:val="center"/>
                </w:tcPr>
                <w:p w14:paraId="39C6D4AF">
                  <w:pPr>
                    <w:pStyle w:val="83"/>
                    <w:rPr>
                      <w:rFonts w:hint="default"/>
                    </w:rPr>
                  </w:pPr>
                  <w:r>
                    <w:t>0.092</w:t>
                  </w:r>
                </w:p>
              </w:tc>
              <w:tc>
                <w:tcPr>
                  <w:tcW w:w="556" w:type="pct"/>
                  <w:noWrap/>
                  <w:vAlign w:val="center"/>
                </w:tcPr>
                <w:p w14:paraId="1BDA1D1C">
                  <w:pPr>
                    <w:pStyle w:val="83"/>
                    <w:rPr>
                      <w:rFonts w:hint="default"/>
                    </w:rPr>
                  </w:pPr>
                  <w:r>
                    <w:t>20</w:t>
                  </w:r>
                </w:p>
              </w:tc>
              <w:tc>
                <w:tcPr>
                  <w:tcW w:w="387" w:type="pct"/>
                  <w:noWrap/>
                  <w:vAlign w:val="center"/>
                </w:tcPr>
                <w:p w14:paraId="199B855B">
                  <w:pPr>
                    <w:pStyle w:val="83"/>
                    <w:rPr>
                      <w:rFonts w:hint="default"/>
                    </w:rPr>
                  </w:pPr>
                  <w:r>
                    <w:t>达标</w:t>
                  </w:r>
                </w:p>
              </w:tc>
            </w:tr>
            <w:tr w14:paraId="2363D2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noWrap/>
                  <w:vAlign w:val="center"/>
                </w:tcPr>
                <w:p w14:paraId="02C05016">
                  <w:pPr>
                    <w:pStyle w:val="83"/>
                    <w:rPr>
                      <w:rFonts w:hint="default"/>
                    </w:rPr>
                  </w:pPr>
                </w:p>
              </w:tc>
              <w:tc>
                <w:tcPr>
                  <w:tcW w:w="1036" w:type="pct"/>
                  <w:noWrap/>
                  <w:vAlign w:val="center"/>
                </w:tcPr>
                <w:p w14:paraId="26CD0248">
                  <w:pPr>
                    <w:pStyle w:val="83"/>
                    <w:rPr>
                      <w:rFonts w:hint="default"/>
                    </w:rPr>
                  </w:pPr>
                  <w:r>
                    <w:t>组件煅烧排气筒</w:t>
                  </w:r>
                </w:p>
                <w:p w14:paraId="21DD5708">
                  <w:pPr>
                    <w:pStyle w:val="83"/>
                    <w:rPr>
                      <w:rFonts w:hint="default"/>
                    </w:rPr>
                  </w:pPr>
                  <w:r>
                    <w:t>DA228</w:t>
                  </w:r>
                </w:p>
              </w:tc>
              <w:tc>
                <w:tcPr>
                  <w:tcW w:w="777" w:type="pct"/>
                  <w:noWrap/>
                  <w:vAlign w:val="center"/>
                </w:tcPr>
                <w:p w14:paraId="43609457">
                  <w:pPr>
                    <w:pStyle w:val="83"/>
                    <w:rPr>
                      <w:rFonts w:hint="default"/>
                    </w:rPr>
                  </w:pPr>
                  <w:r>
                    <w:t>非甲烷总烃</w:t>
                  </w:r>
                </w:p>
              </w:tc>
              <w:tc>
                <w:tcPr>
                  <w:tcW w:w="922" w:type="dxa"/>
                  <w:vAlign w:val="center"/>
                </w:tcPr>
                <w:p w14:paraId="6B279D8D">
                  <w:pPr>
                    <w:pStyle w:val="83"/>
                    <w:rPr>
                      <w:rFonts w:hint="default"/>
                    </w:rPr>
                  </w:pPr>
                  <w:r>
                    <w:t>2080</w:t>
                  </w:r>
                </w:p>
              </w:tc>
              <w:tc>
                <w:tcPr>
                  <w:tcW w:w="922" w:type="dxa"/>
                  <w:noWrap/>
                  <w:vAlign w:val="center"/>
                </w:tcPr>
                <w:p w14:paraId="69D42328">
                  <w:pPr>
                    <w:pStyle w:val="83"/>
                    <w:rPr>
                      <w:rFonts w:hint="default"/>
                    </w:rPr>
                  </w:pPr>
                  <w:r>
                    <w:t>2.19</w:t>
                  </w:r>
                </w:p>
              </w:tc>
              <w:tc>
                <w:tcPr>
                  <w:tcW w:w="1230" w:type="dxa"/>
                  <w:vAlign w:val="center"/>
                </w:tcPr>
                <w:p w14:paraId="0A5595F8">
                  <w:pPr>
                    <w:pStyle w:val="83"/>
                    <w:rPr>
                      <w:rFonts w:hint="default"/>
                    </w:rPr>
                  </w:pPr>
                  <w:r>
                    <w:t>0.0046</w:t>
                  </w:r>
                </w:p>
              </w:tc>
              <w:tc>
                <w:tcPr>
                  <w:tcW w:w="556" w:type="pct"/>
                  <w:noWrap/>
                  <w:vAlign w:val="center"/>
                </w:tcPr>
                <w:p w14:paraId="1066F5CE">
                  <w:pPr>
                    <w:pStyle w:val="83"/>
                    <w:rPr>
                      <w:rFonts w:hint="default"/>
                    </w:rPr>
                  </w:pPr>
                  <w:r>
                    <w:t>60</w:t>
                  </w:r>
                </w:p>
              </w:tc>
              <w:tc>
                <w:tcPr>
                  <w:tcW w:w="387" w:type="pct"/>
                  <w:noWrap/>
                  <w:vAlign w:val="center"/>
                </w:tcPr>
                <w:p w14:paraId="58F0A7D7">
                  <w:pPr>
                    <w:pStyle w:val="83"/>
                    <w:rPr>
                      <w:rFonts w:hint="default"/>
                    </w:rPr>
                  </w:pPr>
                  <w:r>
                    <w:t>达标</w:t>
                  </w:r>
                </w:p>
              </w:tc>
            </w:tr>
          </w:tbl>
          <w:p w14:paraId="47879CBA">
            <w:pPr>
              <w:ind w:firstLine="480"/>
            </w:pPr>
            <w:r>
              <w:rPr>
                <w:rFonts w:hint="eastAsia"/>
              </w:rPr>
              <w:t>3.纺丝三期</w:t>
            </w:r>
          </w:p>
          <w:p w14:paraId="389473B9">
            <w:pPr>
              <w:ind w:firstLine="480"/>
            </w:pPr>
            <w:r>
              <w:rPr>
                <w:rFonts w:hint="eastAsia"/>
              </w:rPr>
              <w:t>现有纺丝三期项目产生的废气主要是单体抽吸废气、油剂废气和组件煅烧废气。单体抽吸废气由单体抽吸系统处理后通过6根24m排气筒排放；油剂废气由静电吸附装置处理后通过2根21m排气筒排放；组件煅烧废气由水喷淋装置处理后通过1根20m排气筒排放。纺丝三期废气监测数据见表2.4-3。</w:t>
            </w:r>
          </w:p>
          <w:p w14:paraId="3228461E">
            <w:pPr>
              <w:pStyle w:val="13"/>
            </w:pPr>
            <w:r>
              <w:rPr>
                <w:rFonts w:hint="eastAsia"/>
              </w:rPr>
              <w:t>表2.4-3  纺丝三期废气监测结果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60BF02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4E16B26E">
                  <w:pPr>
                    <w:pStyle w:val="83"/>
                    <w:rPr>
                      <w:rFonts w:hint="default"/>
                    </w:rPr>
                  </w:pPr>
                  <w:r>
                    <w:t>监测</w:t>
                  </w:r>
                </w:p>
                <w:p w14:paraId="57C81561">
                  <w:pPr>
                    <w:pStyle w:val="83"/>
                    <w:rPr>
                      <w:rFonts w:hint="default"/>
                    </w:rPr>
                  </w:pPr>
                  <w:r>
                    <w:t>日期</w:t>
                  </w:r>
                </w:p>
              </w:tc>
              <w:tc>
                <w:tcPr>
                  <w:tcW w:w="1036" w:type="pct"/>
                  <w:noWrap/>
                  <w:vAlign w:val="center"/>
                </w:tcPr>
                <w:p w14:paraId="31E907E6">
                  <w:pPr>
                    <w:pStyle w:val="83"/>
                    <w:rPr>
                      <w:rFonts w:hint="default"/>
                    </w:rPr>
                  </w:pPr>
                  <w:r>
                    <w:t>监测点位</w:t>
                  </w:r>
                </w:p>
              </w:tc>
              <w:tc>
                <w:tcPr>
                  <w:tcW w:w="777" w:type="pct"/>
                  <w:noWrap/>
                  <w:vAlign w:val="center"/>
                </w:tcPr>
                <w:p w14:paraId="53E0DE57">
                  <w:pPr>
                    <w:pStyle w:val="83"/>
                    <w:rPr>
                      <w:rFonts w:hint="default"/>
                    </w:rPr>
                  </w:pPr>
                  <w:r>
                    <w:t>监测项目</w:t>
                  </w:r>
                </w:p>
              </w:tc>
              <w:tc>
                <w:tcPr>
                  <w:tcW w:w="518" w:type="pct"/>
                  <w:vAlign w:val="center"/>
                </w:tcPr>
                <w:p w14:paraId="74BE9CFF">
                  <w:pPr>
                    <w:pStyle w:val="83"/>
                    <w:rPr>
                      <w:rFonts w:hint="default"/>
                    </w:rPr>
                  </w:pPr>
                  <w:r>
                    <w:t>标杆</w:t>
                  </w:r>
                </w:p>
                <w:p w14:paraId="4F99EA55">
                  <w:pPr>
                    <w:pStyle w:val="83"/>
                    <w:rPr>
                      <w:rFonts w:hint="default"/>
                    </w:rPr>
                  </w:pPr>
                  <w:r>
                    <w:t>流量</w:t>
                  </w:r>
                </w:p>
                <w:p w14:paraId="5EBF96EB">
                  <w:pPr>
                    <w:pStyle w:val="83"/>
                    <w:rPr>
                      <w:rFonts w:hint="default"/>
                    </w:rPr>
                  </w:pPr>
                  <w:r>
                    <w:t>m</w:t>
                  </w:r>
                  <w:r>
                    <w:rPr>
                      <w:vertAlign w:val="superscript"/>
                    </w:rPr>
                    <w:t>3</w:t>
                  </w:r>
                  <w:r>
                    <w:t>/h</w:t>
                  </w:r>
                </w:p>
              </w:tc>
              <w:tc>
                <w:tcPr>
                  <w:tcW w:w="518" w:type="pct"/>
                  <w:vAlign w:val="center"/>
                </w:tcPr>
                <w:p w14:paraId="770D9F9E">
                  <w:pPr>
                    <w:pStyle w:val="83"/>
                    <w:rPr>
                      <w:rFonts w:hint="default"/>
                    </w:rPr>
                  </w:pPr>
                  <w:r>
                    <w:t>排放</w:t>
                  </w:r>
                </w:p>
                <w:p w14:paraId="60B15FF7">
                  <w:pPr>
                    <w:pStyle w:val="83"/>
                    <w:rPr>
                      <w:rFonts w:hint="default"/>
                    </w:rPr>
                  </w:pPr>
                  <w:r>
                    <w:t>浓度</w:t>
                  </w:r>
                </w:p>
                <w:p w14:paraId="0FBB7268">
                  <w:pPr>
                    <w:pStyle w:val="83"/>
                    <w:rPr>
                      <w:rFonts w:hint="default"/>
                    </w:rPr>
                  </w:pPr>
                  <w:r>
                    <w:t>mg/m</w:t>
                  </w:r>
                  <w:r>
                    <w:rPr>
                      <w:vertAlign w:val="superscript"/>
                    </w:rPr>
                    <w:t>3</w:t>
                  </w:r>
                </w:p>
              </w:tc>
              <w:tc>
                <w:tcPr>
                  <w:tcW w:w="691" w:type="pct"/>
                  <w:vAlign w:val="center"/>
                </w:tcPr>
                <w:p w14:paraId="2520B3EF">
                  <w:pPr>
                    <w:pStyle w:val="83"/>
                    <w:rPr>
                      <w:rFonts w:hint="default"/>
                    </w:rPr>
                  </w:pPr>
                  <w:r>
                    <w:t>排放速率</w:t>
                  </w:r>
                </w:p>
                <w:p w14:paraId="72A39B7B">
                  <w:pPr>
                    <w:pStyle w:val="83"/>
                    <w:rPr>
                      <w:rFonts w:hint="default"/>
                    </w:rPr>
                  </w:pPr>
                  <w:r>
                    <w:t>kg/h</w:t>
                  </w:r>
                </w:p>
              </w:tc>
              <w:tc>
                <w:tcPr>
                  <w:tcW w:w="556" w:type="pct"/>
                  <w:vAlign w:val="center"/>
                </w:tcPr>
                <w:p w14:paraId="0990BEB7">
                  <w:pPr>
                    <w:pStyle w:val="83"/>
                    <w:rPr>
                      <w:rFonts w:hint="default"/>
                    </w:rPr>
                  </w:pPr>
                  <w:r>
                    <w:t>标准</w:t>
                  </w:r>
                </w:p>
                <w:p w14:paraId="10F11DDE">
                  <w:pPr>
                    <w:pStyle w:val="83"/>
                    <w:rPr>
                      <w:rFonts w:hint="default"/>
                    </w:rPr>
                  </w:pPr>
                  <w:r>
                    <w:t>限值</w:t>
                  </w:r>
                </w:p>
                <w:p w14:paraId="0D1387A5">
                  <w:pPr>
                    <w:pStyle w:val="83"/>
                    <w:rPr>
                      <w:rFonts w:hint="default"/>
                    </w:rPr>
                  </w:pPr>
                  <w:r>
                    <w:t>mg/m</w:t>
                  </w:r>
                  <w:r>
                    <w:rPr>
                      <w:vertAlign w:val="superscript"/>
                    </w:rPr>
                    <w:t>3</w:t>
                  </w:r>
                </w:p>
              </w:tc>
              <w:tc>
                <w:tcPr>
                  <w:tcW w:w="387" w:type="pct"/>
                  <w:noWrap/>
                  <w:vAlign w:val="center"/>
                </w:tcPr>
                <w:p w14:paraId="41478F0C">
                  <w:pPr>
                    <w:pStyle w:val="83"/>
                    <w:rPr>
                      <w:rFonts w:hint="default"/>
                    </w:rPr>
                  </w:pPr>
                  <w:r>
                    <w:t>达标</w:t>
                  </w:r>
                </w:p>
                <w:p w14:paraId="71478B7C">
                  <w:pPr>
                    <w:pStyle w:val="83"/>
                    <w:rPr>
                      <w:rFonts w:hint="default"/>
                    </w:rPr>
                  </w:pPr>
                  <w:r>
                    <w:t>情况</w:t>
                  </w:r>
                </w:p>
              </w:tc>
            </w:tr>
            <w:tr w14:paraId="4B3D33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restart"/>
                  <w:noWrap/>
                  <w:vAlign w:val="center"/>
                </w:tcPr>
                <w:p w14:paraId="1ADDCB01">
                  <w:pPr>
                    <w:pStyle w:val="83"/>
                    <w:rPr>
                      <w:rFonts w:hint="default"/>
                    </w:rPr>
                  </w:pPr>
                  <w:r>
                    <w:t>2025.</w:t>
                  </w:r>
                </w:p>
                <w:p w14:paraId="49C19C5C">
                  <w:pPr>
                    <w:pStyle w:val="83"/>
                    <w:rPr>
                      <w:rFonts w:hint="default"/>
                    </w:rPr>
                  </w:pPr>
                  <w:r>
                    <w:t>11.18</w:t>
                  </w:r>
                </w:p>
              </w:tc>
              <w:tc>
                <w:tcPr>
                  <w:tcW w:w="1036" w:type="pct"/>
                  <w:vMerge w:val="restart"/>
                  <w:noWrap/>
                  <w:vAlign w:val="center"/>
                </w:tcPr>
                <w:p w14:paraId="23985BB3">
                  <w:pPr>
                    <w:pStyle w:val="83"/>
                    <w:rPr>
                      <w:rFonts w:hint="default"/>
                    </w:rPr>
                  </w:pPr>
                  <w:r>
                    <w:t>纺丝1#排气筒</w:t>
                  </w:r>
                </w:p>
                <w:p w14:paraId="2702B98C">
                  <w:pPr>
                    <w:pStyle w:val="83"/>
                    <w:rPr>
                      <w:rFonts w:hint="default"/>
                    </w:rPr>
                  </w:pPr>
                  <w:r>
                    <w:t>DA060</w:t>
                  </w:r>
                </w:p>
              </w:tc>
              <w:tc>
                <w:tcPr>
                  <w:tcW w:w="777" w:type="pct"/>
                  <w:noWrap/>
                  <w:vAlign w:val="center"/>
                </w:tcPr>
                <w:p w14:paraId="2E94E955">
                  <w:pPr>
                    <w:pStyle w:val="83"/>
                    <w:rPr>
                      <w:rFonts w:hint="default"/>
                    </w:rPr>
                  </w:pPr>
                  <w:r>
                    <w:t>非甲烷总烃</w:t>
                  </w:r>
                </w:p>
              </w:tc>
              <w:tc>
                <w:tcPr>
                  <w:tcW w:w="922" w:type="dxa"/>
                  <w:vMerge w:val="restart"/>
                  <w:vAlign w:val="center"/>
                </w:tcPr>
                <w:p w14:paraId="21C82192">
                  <w:pPr>
                    <w:pStyle w:val="83"/>
                    <w:rPr>
                      <w:rFonts w:hint="default"/>
                    </w:rPr>
                  </w:pPr>
                  <w:r>
                    <w:t>8360</w:t>
                  </w:r>
                </w:p>
              </w:tc>
              <w:tc>
                <w:tcPr>
                  <w:tcW w:w="922" w:type="dxa"/>
                  <w:noWrap/>
                  <w:vAlign w:val="center"/>
                </w:tcPr>
                <w:p w14:paraId="15BCA0A7">
                  <w:pPr>
                    <w:pStyle w:val="83"/>
                    <w:rPr>
                      <w:rFonts w:hint="default"/>
                    </w:rPr>
                  </w:pPr>
                  <w:r>
                    <w:t>3.93</w:t>
                  </w:r>
                </w:p>
              </w:tc>
              <w:tc>
                <w:tcPr>
                  <w:tcW w:w="1230" w:type="dxa"/>
                  <w:vAlign w:val="center"/>
                </w:tcPr>
                <w:p w14:paraId="006BEC81">
                  <w:pPr>
                    <w:pStyle w:val="83"/>
                    <w:rPr>
                      <w:rFonts w:hint="default"/>
                    </w:rPr>
                  </w:pPr>
                  <w:r>
                    <w:t>0.033</w:t>
                  </w:r>
                </w:p>
              </w:tc>
              <w:tc>
                <w:tcPr>
                  <w:tcW w:w="556" w:type="pct"/>
                  <w:noWrap/>
                  <w:vAlign w:val="center"/>
                </w:tcPr>
                <w:p w14:paraId="475CCF6E">
                  <w:pPr>
                    <w:pStyle w:val="83"/>
                    <w:rPr>
                      <w:rFonts w:hint="default"/>
                    </w:rPr>
                  </w:pPr>
                  <w:r>
                    <w:t>60</w:t>
                  </w:r>
                </w:p>
              </w:tc>
              <w:tc>
                <w:tcPr>
                  <w:tcW w:w="387" w:type="pct"/>
                  <w:noWrap/>
                  <w:vAlign w:val="center"/>
                </w:tcPr>
                <w:p w14:paraId="4E8E7C23">
                  <w:pPr>
                    <w:pStyle w:val="83"/>
                    <w:rPr>
                      <w:rFonts w:hint="default"/>
                    </w:rPr>
                  </w:pPr>
                  <w:r>
                    <w:t>达标</w:t>
                  </w:r>
                </w:p>
              </w:tc>
            </w:tr>
            <w:tr w14:paraId="43B16F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05EC3387">
                  <w:pPr>
                    <w:pStyle w:val="83"/>
                    <w:rPr>
                      <w:rFonts w:hint="default"/>
                    </w:rPr>
                  </w:pPr>
                </w:p>
              </w:tc>
              <w:tc>
                <w:tcPr>
                  <w:tcW w:w="1036" w:type="pct"/>
                  <w:vMerge w:val="continue"/>
                  <w:vAlign w:val="center"/>
                </w:tcPr>
                <w:p w14:paraId="5181669B">
                  <w:pPr>
                    <w:pStyle w:val="83"/>
                    <w:rPr>
                      <w:rFonts w:hint="default"/>
                    </w:rPr>
                  </w:pPr>
                </w:p>
              </w:tc>
              <w:tc>
                <w:tcPr>
                  <w:tcW w:w="777" w:type="pct"/>
                  <w:noWrap/>
                  <w:vAlign w:val="center"/>
                </w:tcPr>
                <w:p w14:paraId="6C4A3AB9">
                  <w:pPr>
                    <w:pStyle w:val="83"/>
                    <w:rPr>
                      <w:rFonts w:hint="default"/>
                    </w:rPr>
                  </w:pPr>
                  <w:r>
                    <w:t>颗粒物</w:t>
                  </w:r>
                </w:p>
              </w:tc>
              <w:tc>
                <w:tcPr>
                  <w:tcW w:w="922" w:type="dxa"/>
                  <w:vMerge w:val="continue"/>
                  <w:vAlign w:val="center"/>
                </w:tcPr>
                <w:p w14:paraId="76BBB30E">
                  <w:pPr>
                    <w:pStyle w:val="83"/>
                    <w:rPr>
                      <w:rFonts w:hint="default"/>
                    </w:rPr>
                  </w:pPr>
                </w:p>
              </w:tc>
              <w:tc>
                <w:tcPr>
                  <w:tcW w:w="922" w:type="dxa"/>
                  <w:noWrap/>
                  <w:vAlign w:val="center"/>
                </w:tcPr>
                <w:p w14:paraId="19D11700">
                  <w:pPr>
                    <w:pStyle w:val="83"/>
                    <w:rPr>
                      <w:rFonts w:hint="default"/>
                    </w:rPr>
                  </w:pPr>
                  <w:r>
                    <w:t>6.4</w:t>
                  </w:r>
                </w:p>
              </w:tc>
              <w:tc>
                <w:tcPr>
                  <w:tcW w:w="1230" w:type="dxa"/>
                  <w:vAlign w:val="center"/>
                </w:tcPr>
                <w:p w14:paraId="056C18AB">
                  <w:pPr>
                    <w:pStyle w:val="83"/>
                    <w:rPr>
                      <w:rFonts w:hint="default"/>
                    </w:rPr>
                  </w:pPr>
                  <w:r>
                    <w:t>0.054</w:t>
                  </w:r>
                </w:p>
              </w:tc>
              <w:tc>
                <w:tcPr>
                  <w:tcW w:w="556" w:type="pct"/>
                  <w:noWrap/>
                  <w:vAlign w:val="center"/>
                </w:tcPr>
                <w:p w14:paraId="1EFB1E68">
                  <w:pPr>
                    <w:pStyle w:val="83"/>
                    <w:rPr>
                      <w:rFonts w:hint="default"/>
                    </w:rPr>
                  </w:pPr>
                  <w:r>
                    <w:t>20</w:t>
                  </w:r>
                </w:p>
              </w:tc>
              <w:tc>
                <w:tcPr>
                  <w:tcW w:w="387" w:type="pct"/>
                  <w:noWrap/>
                  <w:vAlign w:val="center"/>
                </w:tcPr>
                <w:p w14:paraId="22CA3DCC">
                  <w:pPr>
                    <w:pStyle w:val="83"/>
                    <w:rPr>
                      <w:rFonts w:hint="default"/>
                    </w:rPr>
                  </w:pPr>
                  <w:r>
                    <w:t>达标</w:t>
                  </w:r>
                </w:p>
              </w:tc>
            </w:tr>
            <w:tr w14:paraId="6D0D8D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0911A07D">
                  <w:pPr>
                    <w:pStyle w:val="83"/>
                    <w:rPr>
                      <w:rFonts w:hint="default"/>
                    </w:rPr>
                  </w:pPr>
                </w:p>
              </w:tc>
              <w:tc>
                <w:tcPr>
                  <w:tcW w:w="1036" w:type="pct"/>
                  <w:vMerge w:val="restart"/>
                  <w:noWrap/>
                  <w:vAlign w:val="center"/>
                </w:tcPr>
                <w:p w14:paraId="04467F3B">
                  <w:pPr>
                    <w:pStyle w:val="83"/>
                    <w:rPr>
                      <w:rFonts w:hint="default"/>
                    </w:rPr>
                  </w:pPr>
                  <w:r>
                    <w:t>纺丝6#排气筒</w:t>
                  </w:r>
                </w:p>
                <w:p w14:paraId="1F8BA72B">
                  <w:pPr>
                    <w:pStyle w:val="83"/>
                    <w:rPr>
                      <w:rFonts w:hint="default"/>
                    </w:rPr>
                  </w:pPr>
                  <w:r>
                    <w:t>DA065</w:t>
                  </w:r>
                </w:p>
              </w:tc>
              <w:tc>
                <w:tcPr>
                  <w:tcW w:w="777" w:type="pct"/>
                  <w:noWrap/>
                  <w:vAlign w:val="center"/>
                </w:tcPr>
                <w:p w14:paraId="4B98E0F5">
                  <w:pPr>
                    <w:pStyle w:val="83"/>
                    <w:rPr>
                      <w:rFonts w:hint="default"/>
                    </w:rPr>
                  </w:pPr>
                  <w:r>
                    <w:t>非甲烷总烃</w:t>
                  </w:r>
                </w:p>
              </w:tc>
              <w:tc>
                <w:tcPr>
                  <w:tcW w:w="922" w:type="dxa"/>
                  <w:vMerge w:val="restart"/>
                  <w:vAlign w:val="center"/>
                </w:tcPr>
                <w:p w14:paraId="42FAE3A8">
                  <w:pPr>
                    <w:pStyle w:val="83"/>
                    <w:rPr>
                      <w:rFonts w:hint="default"/>
                    </w:rPr>
                  </w:pPr>
                  <w:r>
                    <w:t>6600</w:t>
                  </w:r>
                </w:p>
              </w:tc>
              <w:tc>
                <w:tcPr>
                  <w:tcW w:w="922" w:type="dxa"/>
                  <w:noWrap/>
                  <w:vAlign w:val="center"/>
                </w:tcPr>
                <w:p w14:paraId="2DFC76E7">
                  <w:pPr>
                    <w:pStyle w:val="83"/>
                    <w:rPr>
                      <w:rFonts w:hint="default"/>
                    </w:rPr>
                  </w:pPr>
                  <w:r>
                    <w:t>3.51</w:t>
                  </w:r>
                </w:p>
              </w:tc>
              <w:tc>
                <w:tcPr>
                  <w:tcW w:w="1230" w:type="dxa"/>
                  <w:vAlign w:val="center"/>
                </w:tcPr>
                <w:p w14:paraId="496A51B6">
                  <w:pPr>
                    <w:pStyle w:val="83"/>
                    <w:rPr>
                      <w:rFonts w:hint="default"/>
                    </w:rPr>
                  </w:pPr>
                  <w:r>
                    <w:t>0.023</w:t>
                  </w:r>
                </w:p>
              </w:tc>
              <w:tc>
                <w:tcPr>
                  <w:tcW w:w="556" w:type="pct"/>
                  <w:noWrap/>
                  <w:vAlign w:val="center"/>
                </w:tcPr>
                <w:p w14:paraId="0ECD8C23">
                  <w:pPr>
                    <w:pStyle w:val="83"/>
                    <w:rPr>
                      <w:rFonts w:hint="default"/>
                    </w:rPr>
                  </w:pPr>
                  <w:r>
                    <w:t>60</w:t>
                  </w:r>
                </w:p>
              </w:tc>
              <w:tc>
                <w:tcPr>
                  <w:tcW w:w="387" w:type="pct"/>
                  <w:noWrap/>
                  <w:vAlign w:val="center"/>
                </w:tcPr>
                <w:p w14:paraId="7E85C618">
                  <w:pPr>
                    <w:pStyle w:val="83"/>
                    <w:rPr>
                      <w:rFonts w:hint="default"/>
                    </w:rPr>
                  </w:pPr>
                  <w:r>
                    <w:t>达标</w:t>
                  </w:r>
                </w:p>
              </w:tc>
            </w:tr>
            <w:tr w14:paraId="2A754B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BF7F24E">
                  <w:pPr>
                    <w:pStyle w:val="83"/>
                    <w:rPr>
                      <w:rFonts w:hint="default"/>
                    </w:rPr>
                  </w:pPr>
                </w:p>
              </w:tc>
              <w:tc>
                <w:tcPr>
                  <w:tcW w:w="1036" w:type="pct"/>
                  <w:vMerge w:val="continue"/>
                  <w:vAlign w:val="center"/>
                </w:tcPr>
                <w:p w14:paraId="3217747A">
                  <w:pPr>
                    <w:pStyle w:val="83"/>
                    <w:rPr>
                      <w:rFonts w:hint="default"/>
                    </w:rPr>
                  </w:pPr>
                </w:p>
              </w:tc>
              <w:tc>
                <w:tcPr>
                  <w:tcW w:w="777" w:type="pct"/>
                  <w:noWrap/>
                  <w:vAlign w:val="center"/>
                </w:tcPr>
                <w:p w14:paraId="48DC3381">
                  <w:pPr>
                    <w:pStyle w:val="83"/>
                    <w:rPr>
                      <w:rFonts w:hint="default"/>
                    </w:rPr>
                  </w:pPr>
                  <w:r>
                    <w:t>颗粒物</w:t>
                  </w:r>
                </w:p>
              </w:tc>
              <w:tc>
                <w:tcPr>
                  <w:tcW w:w="922" w:type="dxa"/>
                  <w:vMerge w:val="continue"/>
                  <w:vAlign w:val="center"/>
                </w:tcPr>
                <w:p w14:paraId="42B0A4C5">
                  <w:pPr>
                    <w:pStyle w:val="83"/>
                    <w:rPr>
                      <w:rFonts w:hint="default"/>
                    </w:rPr>
                  </w:pPr>
                </w:p>
              </w:tc>
              <w:tc>
                <w:tcPr>
                  <w:tcW w:w="922" w:type="dxa"/>
                  <w:noWrap/>
                  <w:vAlign w:val="center"/>
                </w:tcPr>
                <w:p w14:paraId="0DADE94B">
                  <w:pPr>
                    <w:pStyle w:val="83"/>
                    <w:rPr>
                      <w:rFonts w:hint="default"/>
                    </w:rPr>
                  </w:pPr>
                  <w:r>
                    <w:t>8.3</w:t>
                  </w:r>
                </w:p>
              </w:tc>
              <w:tc>
                <w:tcPr>
                  <w:tcW w:w="1230" w:type="dxa"/>
                  <w:vAlign w:val="center"/>
                </w:tcPr>
                <w:p w14:paraId="63DB9FE9">
                  <w:pPr>
                    <w:pStyle w:val="83"/>
                    <w:rPr>
                      <w:rFonts w:hint="default"/>
                    </w:rPr>
                  </w:pPr>
                  <w:r>
                    <w:t>0.055</w:t>
                  </w:r>
                </w:p>
              </w:tc>
              <w:tc>
                <w:tcPr>
                  <w:tcW w:w="556" w:type="pct"/>
                  <w:noWrap/>
                  <w:vAlign w:val="center"/>
                </w:tcPr>
                <w:p w14:paraId="7B929A4A">
                  <w:pPr>
                    <w:pStyle w:val="83"/>
                    <w:rPr>
                      <w:rFonts w:hint="default"/>
                    </w:rPr>
                  </w:pPr>
                  <w:r>
                    <w:t>20</w:t>
                  </w:r>
                </w:p>
              </w:tc>
              <w:tc>
                <w:tcPr>
                  <w:tcW w:w="387" w:type="pct"/>
                  <w:noWrap/>
                  <w:vAlign w:val="center"/>
                </w:tcPr>
                <w:p w14:paraId="4235F142">
                  <w:pPr>
                    <w:pStyle w:val="83"/>
                    <w:rPr>
                      <w:rFonts w:hint="default"/>
                    </w:rPr>
                  </w:pPr>
                  <w:r>
                    <w:t>达标</w:t>
                  </w:r>
                </w:p>
              </w:tc>
            </w:tr>
            <w:tr w14:paraId="70866E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0EC43C9">
                  <w:pPr>
                    <w:pStyle w:val="83"/>
                    <w:rPr>
                      <w:rFonts w:hint="default"/>
                    </w:rPr>
                  </w:pPr>
                </w:p>
              </w:tc>
              <w:tc>
                <w:tcPr>
                  <w:tcW w:w="1036" w:type="pct"/>
                  <w:vMerge w:val="restart"/>
                  <w:noWrap/>
                  <w:vAlign w:val="center"/>
                </w:tcPr>
                <w:p w14:paraId="32F16271">
                  <w:pPr>
                    <w:pStyle w:val="83"/>
                    <w:rPr>
                      <w:rFonts w:hint="default"/>
                    </w:rPr>
                  </w:pPr>
                  <w:r>
                    <w:t>纺丝11#排气筒</w:t>
                  </w:r>
                </w:p>
                <w:p w14:paraId="715A5C98">
                  <w:pPr>
                    <w:pStyle w:val="83"/>
                    <w:rPr>
                      <w:rFonts w:hint="default"/>
                    </w:rPr>
                  </w:pPr>
                  <w:r>
                    <w:t>DA070</w:t>
                  </w:r>
                </w:p>
              </w:tc>
              <w:tc>
                <w:tcPr>
                  <w:tcW w:w="777" w:type="pct"/>
                  <w:noWrap/>
                  <w:vAlign w:val="center"/>
                </w:tcPr>
                <w:p w14:paraId="329F215D">
                  <w:pPr>
                    <w:pStyle w:val="83"/>
                    <w:rPr>
                      <w:rFonts w:hint="default"/>
                    </w:rPr>
                  </w:pPr>
                  <w:r>
                    <w:t>非甲烷总烃</w:t>
                  </w:r>
                </w:p>
              </w:tc>
              <w:tc>
                <w:tcPr>
                  <w:tcW w:w="922" w:type="dxa"/>
                  <w:vMerge w:val="restart"/>
                  <w:vAlign w:val="center"/>
                </w:tcPr>
                <w:p w14:paraId="1DCFC73A">
                  <w:pPr>
                    <w:pStyle w:val="83"/>
                    <w:rPr>
                      <w:rFonts w:hint="default"/>
                    </w:rPr>
                  </w:pPr>
                  <w:r>
                    <w:t>9120</w:t>
                  </w:r>
                </w:p>
              </w:tc>
              <w:tc>
                <w:tcPr>
                  <w:tcW w:w="922" w:type="dxa"/>
                  <w:noWrap/>
                  <w:vAlign w:val="center"/>
                </w:tcPr>
                <w:p w14:paraId="471AB8C3">
                  <w:pPr>
                    <w:pStyle w:val="83"/>
                    <w:rPr>
                      <w:rFonts w:hint="default"/>
                    </w:rPr>
                  </w:pPr>
                  <w:r>
                    <w:t>3.33</w:t>
                  </w:r>
                </w:p>
              </w:tc>
              <w:tc>
                <w:tcPr>
                  <w:tcW w:w="1230" w:type="dxa"/>
                  <w:vAlign w:val="center"/>
                </w:tcPr>
                <w:p w14:paraId="672EEF9F">
                  <w:pPr>
                    <w:pStyle w:val="83"/>
                    <w:rPr>
                      <w:rFonts w:hint="default"/>
                    </w:rPr>
                  </w:pPr>
                  <w:r>
                    <w:t>0.030</w:t>
                  </w:r>
                </w:p>
              </w:tc>
              <w:tc>
                <w:tcPr>
                  <w:tcW w:w="556" w:type="pct"/>
                  <w:noWrap/>
                  <w:vAlign w:val="center"/>
                </w:tcPr>
                <w:p w14:paraId="0EAB9E5A">
                  <w:pPr>
                    <w:pStyle w:val="83"/>
                    <w:rPr>
                      <w:rFonts w:hint="default"/>
                    </w:rPr>
                  </w:pPr>
                  <w:r>
                    <w:t>60</w:t>
                  </w:r>
                </w:p>
              </w:tc>
              <w:tc>
                <w:tcPr>
                  <w:tcW w:w="387" w:type="pct"/>
                  <w:noWrap/>
                  <w:vAlign w:val="center"/>
                </w:tcPr>
                <w:p w14:paraId="68E69246">
                  <w:pPr>
                    <w:pStyle w:val="83"/>
                    <w:rPr>
                      <w:rFonts w:hint="default"/>
                    </w:rPr>
                  </w:pPr>
                  <w:r>
                    <w:t>达标</w:t>
                  </w:r>
                </w:p>
              </w:tc>
            </w:tr>
            <w:tr w14:paraId="3198FF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0456F1B">
                  <w:pPr>
                    <w:pStyle w:val="83"/>
                    <w:rPr>
                      <w:rFonts w:hint="default"/>
                    </w:rPr>
                  </w:pPr>
                </w:p>
              </w:tc>
              <w:tc>
                <w:tcPr>
                  <w:tcW w:w="1036" w:type="pct"/>
                  <w:vMerge w:val="continue"/>
                  <w:vAlign w:val="center"/>
                </w:tcPr>
                <w:p w14:paraId="32C43FFE">
                  <w:pPr>
                    <w:pStyle w:val="83"/>
                    <w:rPr>
                      <w:rFonts w:hint="default"/>
                    </w:rPr>
                  </w:pPr>
                </w:p>
              </w:tc>
              <w:tc>
                <w:tcPr>
                  <w:tcW w:w="777" w:type="pct"/>
                  <w:noWrap/>
                  <w:vAlign w:val="center"/>
                </w:tcPr>
                <w:p w14:paraId="2DD7BD61">
                  <w:pPr>
                    <w:pStyle w:val="83"/>
                    <w:rPr>
                      <w:rFonts w:hint="default"/>
                    </w:rPr>
                  </w:pPr>
                  <w:r>
                    <w:t>颗粒物</w:t>
                  </w:r>
                </w:p>
              </w:tc>
              <w:tc>
                <w:tcPr>
                  <w:tcW w:w="922" w:type="dxa"/>
                  <w:vMerge w:val="continue"/>
                  <w:vAlign w:val="center"/>
                </w:tcPr>
                <w:p w14:paraId="4888FE5D">
                  <w:pPr>
                    <w:pStyle w:val="83"/>
                    <w:rPr>
                      <w:rFonts w:hint="default"/>
                    </w:rPr>
                  </w:pPr>
                </w:p>
              </w:tc>
              <w:tc>
                <w:tcPr>
                  <w:tcW w:w="922" w:type="dxa"/>
                  <w:noWrap/>
                  <w:vAlign w:val="center"/>
                </w:tcPr>
                <w:p w14:paraId="4A93249B">
                  <w:pPr>
                    <w:pStyle w:val="83"/>
                    <w:rPr>
                      <w:rFonts w:hint="default"/>
                    </w:rPr>
                  </w:pPr>
                  <w:r>
                    <w:t>5.3</w:t>
                  </w:r>
                </w:p>
              </w:tc>
              <w:tc>
                <w:tcPr>
                  <w:tcW w:w="1230" w:type="dxa"/>
                  <w:vAlign w:val="center"/>
                </w:tcPr>
                <w:p w14:paraId="09F01A97">
                  <w:pPr>
                    <w:pStyle w:val="83"/>
                    <w:rPr>
                      <w:rFonts w:hint="default"/>
                    </w:rPr>
                  </w:pPr>
                  <w:r>
                    <w:t>0.048</w:t>
                  </w:r>
                </w:p>
              </w:tc>
              <w:tc>
                <w:tcPr>
                  <w:tcW w:w="556" w:type="pct"/>
                  <w:noWrap/>
                  <w:vAlign w:val="center"/>
                </w:tcPr>
                <w:p w14:paraId="5B38C2E2">
                  <w:pPr>
                    <w:pStyle w:val="83"/>
                    <w:rPr>
                      <w:rFonts w:hint="default"/>
                    </w:rPr>
                  </w:pPr>
                  <w:r>
                    <w:t>20</w:t>
                  </w:r>
                </w:p>
              </w:tc>
              <w:tc>
                <w:tcPr>
                  <w:tcW w:w="387" w:type="pct"/>
                  <w:noWrap/>
                  <w:vAlign w:val="center"/>
                </w:tcPr>
                <w:p w14:paraId="2B994280">
                  <w:pPr>
                    <w:pStyle w:val="83"/>
                    <w:rPr>
                      <w:rFonts w:hint="default"/>
                    </w:rPr>
                  </w:pPr>
                  <w:r>
                    <w:t>达标</w:t>
                  </w:r>
                </w:p>
              </w:tc>
            </w:tr>
            <w:tr w14:paraId="030D51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559419EF">
                  <w:pPr>
                    <w:pStyle w:val="83"/>
                    <w:rPr>
                      <w:rFonts w:hint="default"/>
                    </w:rPr>
                  </w:pPr>
                </w:p>
              </w:tc>
              <w:tc>
                <w:tcPr>
                  <w:tcW w:w="1036" w:type="pct"/>
                  <w:vMerge w:val="restart"/>
                  <w:noWrap/>
                  <w:vAlign w:val="center"/>
                </w:tcPr>
                <w:p w14:paraId="2DB3BA1F">
                  <w:pPr>
                    <w:pStyle w:val="83"/>
                    <w:rPr>
                      <w:rFonts w:hint="default"/>
                    </w:rPr>
                  </w:pPr>
                  <w:r>
                    <w:t>纺丝15#排气筒</w:t>
                  </w:r>
                </w:p>
                <w:p w14:paraId="62F7F7FF">
                  <w:pPr>
                    <w:pStyle w:val="83"/>
                    <w:rPr>
                      <w:rFonts w:hint="default"/>
                    </w:rPr>
                  </w:pPr>
                  <w:r>
                    <w:t>DA075</w:t>
                  </w:r>
                </w:p>
              </w:tc>
              <w:tc>
                <w:tcPr>
                  <w:tcW w:w="777" w:type="pct"/>
                  <w:noWrap/>
                  <w:vAlign w:val="center"/>
                </w:tcPr>
                <w:p w14:paraId="5DF1EF71">
                  <w:pPr>
                    <w:pStyle w:val="83"/>
                    <w:rPr>
                      <w:rFonts w:hint="default"/>
                    </w:rPr>
                  </w:pPr>
                  <w:r>
                    <w:t>非甲烷总烃</w:t>
                  </w:r>
                </w:p>
              </w:tc>
              <w:tc>
                <w:tcPr>
                  <w:tcW w:w="922" w:type="dxa"/>
                  <w:vMerge w:val="restart"/>
                  <w:vAlign w:val="center"/>
                </w:tcPr>
                <w:p w14:paraId="257B9AEB">
                  <w:pPr>
                    <w:pStyle w:val="83"/>
                    <w:rPr>
                      <w:rFonts w:hint="default"/>
                    </w:rPr>
                  </w:pPr>
                  <w:r>
                    <w:t>7760</w:t>
                  </w:r>
                </w:p>
              </w:tc>
              <w:tc>
                <w:tcPr>
                  <w:tcW w:w="922" w:type="dxa"/>
                  <w:noWrap/>
                  <w:vAlign w:val="center"/>
                </w:tcPr>
                <w:p w14:paraId="11F2ED2F">
                  <w:pPr>
                    <w:pStyle w:val="83"/>
                    <w:rPr>
                      <w:rFonts w:hint="default"/>
                    </w:rPr>
                  </w:pPr>
                  <w:r>
                    <w:t>4.02</w:t>
                  </w:r>
                </w:p>
              </w:tc>
              <w:tc>
                <w:tcPr>
                  <w:tcW w:w="1230" w:type="dxa"/>
                  <w:vAlign w:val="center"/>
                </w:tcPr>
                <w:p w14:paraId="2F81E650">
                  <w:pPr>
                    <w:pStyle w:val="83"/>
                    <w:rPr>
                      <w:rFonts w:hint="default"/>
                    </w:rPr>
                  </w:pPr>
                  <w:r>
                    <w:t>0.031</w:t>
                  </w:r>
                </w:p>
              </w:tc>
              <w:tc>
                <w:tcPr>
                  <w:tcW w:w="556" w:type="pct"/>
                  <w:noWrap/>
                  <w:vAlign w:val="center"/>
                </w:tcPr>
                <w:p w14:paraId="256D546B">
                  <w:pPr>
                    <w:pStyle w:val="83"/>
                    <w:rPr>
                      <w:rFonts w:hint="default"/>
                    </w:rPr>
                  </w:pPr>
                  <w:r>
                    <w:t>60</w:t>
                  </w:r>
                </w:p>
              </w:tc>
              <w:tc>
                <w:tcPr>
                  <w:tcW w:w="387" w:type="pct"/>
                  <w:noWrap/>
                  <w:vAlign w:val="center"/>
                </w:tcPr>
                <w:p w14:paraId="6E4C600A">
                  <w:pPr>
                    <w:pStyle w:val="83"/>
                    <w:rPr>
                      <w:rFonts w:hint="default"/>
                    </w:rPr>
                  </w:pPr>
                  <w:r>
                    <w:t>达标</w:t>
                  </w:r>
                </w:p>
              </w:tc>
            </w:tr>
            <w:tr w14:paraId="46ED91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0F4BF94">
                  <w:pPr>
                    <w:pStyle w:val="83"/>
                    <w:rPr>
                      <w:rFonts w:hint="default"/>
                    </w:rPr>
                  </w:pPr>
                </w:p>
              </w:tc>
              <w:tc>
                <w:tcPr>
                  <w:tcW w:w="1036" w:type="pct"/>
                  <w:vMerge w:val="continue"/>
                  <w:vAlign w:val="center"/>
                </w:tcPr>
                <w:p w14:paraId="38666AFB">
                  <w:pPr>
                    <w:pStyle w:val="83"/>
                    <w:rPr>
                      <w:rFonts w:hint="default"/>
                    </w:rPr>
                  </w:pPr>
                </w:p>
              </w:tc>
              <w:tc>
                <w:tcPr>
                  <w:tcW w:w="777" w:type="pct"/>
                  <w:noWrap/>
                  <w:vAlign w:val="center"/>
                </w:tcPr>
                <w:p w14:paraId="4C230456">
                  <w:pPr>
                    <w:pStyle w:val="83"/>
                    <w:rPr>
                      <w:rFonts w:hint="default"/>
                    </w:rPr>
                  </w:pPr>
                  <w:r>
                    <w:t>颗粒物</w:t>
                  </w:r>
                </w:p>
              </w:tc>
              <w:tc>
                <w:tcPr>
                  <w:tcW w:w="922" w:type="dxa"/>
                  <w:vMerge w:val="continue"/>
                  <w:vAlign w:val="center"/>
                </w:tcPr>
                <w:p w14:paraId="766A3952">
                  <w:pPr>
                    <w:pStyle w:val="83"/>
                    <w:rPr>
                      <w:rFonts w:hint="default"/>
                    </w:rPr>
                  </w:pPr>
                </w:p>
              </w:tc>
              <w:tc>
                <w:tcPr>
                  <w:tcW w:w="922" w:type="dxa"/>
                  <w:noWrap/>
                  <w:vAlign w:val="center"/>
                </w:tcPr>
                <w:p w14:paraId="6425F613">
                  <w:pPr>
                    <w:pStyle w:val="83"/>
                    <w:rPr>
                      <w:rFonts w:hint="default"/>
                    </w:rPr>
                  </w:pPr>
                  <w:r>
                    <w:t>2.5</w:t>
                  </w:r>
                </w:p>
              </w:tc>
              <w:tc>
                <w:tcPr>
                  <w:tcW w:w="1230" w:type="dxa"/>
                  <w:vAlign w:val="center"/>
                </w:tcPr>
                <w:p w14:paraId="1F5E1756">
                  <w:pPr>
                    <w:pStyle w:val="83"/>
                    <w:rPr>
                      <w:rFonts w:hint="default"/>
                    </w:rPr>
                  </w:pPr>
                  <w:r>
                    <w:t>0.019</w:t>
                  </w:r>
                </w:p>
              </w:tc>
              <w:tc>
                <w:tcPr>
                  <w:tcW w:w="556" w:type="pct"/>
                  <w:noWrap/>
                  <w:vAlign w:val="center"/>
                </w:tcPr>
                <w:p w14:paraId="77B20F50">
                  <w:pPr>
                    <w:pStyle w:val="83"/>
                    <w:rPr>
                      <w:rFonts w:hint="default"/>
                    </w:rPr>
                  </w:pPr>
                  <w:r>
                    <w:t>20</w:t>
                  </w:r>
                </w:p>
              </w:tc>
              <w:tc>
                <w:tcPr>
                  <w:tcW w:w="387" w:type="pct"/>
                  <w:noWrap/>
                  <w:vAlign w:val="center"/>
                </w:tcPr>
                <w:p w14:paraId="05025E70">
                  <w:pPr>
                    <w:pStyle w:val="83"/>
                    <w:rPr>
                      <w:rFonts w:hint="default"/>
                    </w:rPr>
                  </w:pPr>
                  <w:r>
                    <w:t>达标</w:t>
                  </w:r>
                </w:p>
              </w:tc>
            </w:tr>
            <w:tr w14:paraId="6D3E95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22E95429">
                  <w:pPr>
                    <w:pStyle w:val="83"/>
                    <w:rPr>
                      <w:rFonts w:hint="default"/>
                    </w:rPr>
                  </w:pPr>
                </w:p>
              </w:tc>
              <w:tc>
                <w:tcPr>
                  <w:tcW w:w="1036" w:type="pct"/>
                  <w:vMerge w:val="restart"/>
                  <w:vAlign w:val="center"/>
                </w:tcPr>
                <w:p w14:paraId="6C4E668F">
                  <w:pPr>
                    <w:pStyle w:val="83"/>
                    <w:rPr>
                      <w:rFonts w:hint="default"/>
                    </w:rPr>
                  </w:pPr>
                  <w:r>
                    <w:t>纺丝30#排气筒</w:t>
                  </w:r>
                </w:p>
                <w:p w14:paraId="16C16899">
                  <w:pPr>
                    <w:pStyle w:val="83"/>
                    <w:rPr>
                      <w:rFonts w:hint="default"/>
                    </w:rPr>
                  </w:pPr>
                  <w:r>
                    <w:t>DA080</w:t>
                  </w:r>
                </w:p>
              </w:tc>
              <w:tc>
                <w:tcPr>
                  <w:tcW w:w="777" w:type="pct"/>
                  <w:noWrap/>
                  <w:vAlign w:val="center"/>
                </w:tcPr>
                <w:p w14:paraId="14D677BF">
                  <w:pPr>
                    <w:pStyle w:val="83"/>
                    <w:rPr>
                      <w:rFonts w:hint="default"/>
                    </w:rPr>
                  </w:pPr>
                  <w:r>
                    <w:t>非甲烷总烃</w:t>
                  </w:r>
                </w:p>
              </w:tc>
              <w:tc>
                <w:tcPr>
                  <w:tcW w:w="922" w:type="dxa"/>
                  <w:vMerge w:val="restart"/>
                  <w:vAlign w:val="center"/>
                </w:tcPr>
                <w:p w14:paraId="02BC9CC7">
                  <w:pPr>
                    <w:pStyle w:val="83"/>
                    <w:rPr>
                      <w:rFonts w:hint="default"/>
                    </w:rPr>
                  </w:pPr>
                  <w:r>
                    <w:t>6810</w:t>
                  </w:r>
                </w:p>
              </w:tc>
              <w:tc>
                <w:tcPr>
                  <w:tcW w:w="922" w:type="dxa"/>
                  <w:noWrap/>
                  <w:vAlign w:val="center"/>
                </w:tcPr>
                <w:p w14:paraId="18D72F39">
                  <w:pPr>
                    <w:pStyle w:val="83"/>
                    <w:rPr>
                      <w:rFonts w:hint="default"/>
                    </w:rPr>
                  </w:pPr>
                  <w:r>
                    <w:t>3.49</w:t>
                  </w:r>
                </w:p>
              </w:tc>
              <w:tc>
                <w:tcPr>
                  <w:tcW w:w="1230" w:type="dxa"/>
                  <w:vAlign w:val="center"/>
                </w:tcPr>
                <w:p w14:paraId="123B68A4">
                  <w:pPr>
                    <w:pStyle w:val="83"/>
                    <w:rPr>
                      <w:rFonts w:hint="default"/>
                    </w:rPr>
                  </w:pPr>
                  <w:r>
                    <w:t>0.024</w:t>
                  </w:r>
                </w:p>
              </w:tc>
              <w:tc>
                <w:tcPr>
                  <w:tcW w:w="556" w:type="pct"/>
                  <w:noWrap/>
                  <w:vAlign w:val="center"/>
                </w:tcPr>
                <w:p w14:paraId="0C2A1846">
                  <w:pPr>
                    <w:pStyle w:val="83"/>
                    <w:rPr>
                      <w:rFonts w:hint="default"/>
                    </w:rPr>
                  </w:pPr>
                  <w:r>
                    <w:t>60</w:t>
                  </w:r>
                </w:p>
              </w:tc>
              <w:tc>
                <w:tcPr>
                  <w:tcW w:w="387" w:type="pct"/>
                  <w:noWrap/>
                  <w:vAlign w:val="center"/>
                </w:tcPr>
                <w:p w14:paraId="45F1EDDA">
                  <w:pPr>
                    <w:pStyle w:val="83"/>
                    <w:rPr>
                      <w:rFonts w:hint="default"/>
                    </w:rPr>
                  </w:pPr>
                  <w:r>
                    <w:t>达标</w:t>
                  </w:r>
                </w:p>
              </w:tc>
            </w:tr>
            <w:tr w14:paraId="34FCA9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4F6FFD1">
                  <w:pPr>
                    <w:pStyle w:val="83"/>
                    <w:rPr>
                      <w:rFonts w:hint="default"/>
                    </w:rPr>
                  </w:pPr>
                </w:p>
              </w:tc>
              <w:tc>
                <w:tcPr>
                  <w:tcW w:w="1036" w:type="pct"/>
                  <w:vMerge w:val="continue"/>
                  <w:vAlign w:val="center"/>
                </w:tcPr>
                <w:p w14:paraId="62C0B596">
                  <w:pPr>
                    <w:pStyle w:val="83"/>
                    <w:rPr>
                      <w:rFonts w:hint="default"/>
                    </w:rPr>
                  </w:pPr>
                </w:p>
              </w:tc>
              <w:tc>
                <w:tcPr>
                  <w:tcW w:w="777" w:type="pct"/>
                  <w:noWrap/>
                  <w:vAlign w:val="center"/>
                </w:tcPr>
                <w:p w14:paraId="16033255">
                  <w:pPr>
                    <w:pStyle w:val="83"/>
                    <w:rPr>
                      <w:rFonts w:hint="default"/>
                    </w:rPr>
                  </w:pPr>
                  <w:r>
                    <w:t>颗粒物</w:t>
                  </w:r>
                </w:p>
              </w:tc>
              <w:tc>
                <w:tcPr>
                  <w:tcW w:w="922" w:type="dxa"/>
                  <w:vMerge w:val="continue"/>
                  <w:vAlign w:val="center"/>
                </w:tcPr>
                <w:p w14:paraId="13AE9D81">
                  <w:pPr>
                    <w:pStyle w:val="83"/>
                    <w:rPr>
                      <w:rFonts w:hint="default"/>
                    </w:rPr>
                  </w:pPr>
                </w:p>
              </w:tc>
              <w:tc>
                <w:tcPr>
                  <w:tcW w:w="922" w:type="dxa"/>
                  <w:noWrap/>
                  <w:vAlign w:val="center"/>
                </w:tcPr>
                <w:p w14:paraId="2CDD214D">
                  <w:pPr>
                    <w:pStyle w:val="83"/>
                    <w:rPr>
                      <w:rFonts w:hint="default"/>
                    </w:rPr>
                  </w:pPr>
                  <w:r>
                    <w:t>2.5</w:t>
                  </w:r>
                </w:p>
              </w:tc>
              <w:tc>
                <w:tcPr>
                  <w:tcW w:w="1230" w:type="dxa"/>
                  <w:vAlign w:val="center"/>
                </w:tcPr>
                <w:p w14:paraId="3A534CBB">
                  <w:pPr>
                    <w:pStyle w:val="83"/>
                    <w:rPr>
                      <w:rFonts w:hint="default"/>
                    </w:rPr>
                  </w:pPr>
                  <w:r>
                    <w:t>0.017</w:t>
                  </w:r>
                </w:p>
              </w:tc>
              <w:tc>
                <w:tcPr>
                  <w:tcW w:w="556" w:type="pct"/>
                  <w:noWrap/>
                  <w:vAlign w:val="center"/>
                </w:tcPr>
                <w:p w14:paraId="28B37FE5">
                  <w:pPr>
                    <w:pStyle w:val="83"/>
                    <w:rPr>
                      <w:rFonts w:hint="default"/>
                    </w:rPr>
                  </w:pPr>
                  <w:r>
                    <w:t>20</w:t>
                  </w:r>
                </w:p>
              </w:tc>
              <w:tc>
                <w:tcPr>
                  <w:tcW w:w="387" w:type="pct"/>
                  <w:noWrap/>
                  <w:vAlign w:val="center"/>
                </w:tcPr>
                <w:p w14:paraId="093E457E">
                  <w:pPr>
                    <w:pStyle w:val="83"/>
                    <w:rPr>
                      <w:rFonts w:hint="default"/>
                    </w:rPr>
                  </w:pPr>
                  <w:r>
                    <w:t>达标</w:t>
                  </w:r>
                </w:p>
              </w:tc>
            </w:tr>
            <w:tr w14:paraId="1FE76B5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517" w:type="pct"/>
                  <w:vMerge w:val="continue"/>
                  <w:vAlign w:val="center"/>
                </w:tcPr>
                <w:p w14:paraId="5BF8919E">
                  <w:pPr>
                    <w:pStyle w:val="83"/>
                    <w:rPr>
                      <w:rFonts w:hint="default"/>
                    </w:rPr>
                  </w:pPr>
                </w:p>
              </w:tc>
              <w:tc>
                <w:tcPr>
                  <w:tcW w:w="1036" w:type="pct"/>
                  <w:vMerge w:val="restart"/>
                  <w:vAlign w:val="center"/>
                </w:tcPr>
                <w:p w14:paraId="69F74AA4">
                  <w:pPr>
                    <w:pStyle w:val="83"/>
                    <w:rPr>
                      <w:rFonts w:hint="default"/>
                    </w:rPr>
                  </w:pPr>
                  <w:r>
                    <w:t>纺丝20#排气筒</w:t>
                  </w:r>
                </w:p>
                <w:p w14:paraId="4EF7532A">
                  <w:pPr>
                    <w:pStyle w:val="83"/>
                    <w:rPr>
                      <w:rFonts w:hint="default"/>
                    </w:rPr>
                  </w:pPr>
                  <w:r>
                    <w:t>DA085</w:t>
                  </w:r>
                </w:p>
              </w:tc>
              <w:tc>
                <w:tcPr>
                  <w:tcW w:w="777" w:type="pct"/>
                  <w:noWrap/>
                  <w:vAlign w:val="center"/>
                </w:tcPr>
                <w:p w14:paraId="013E4715">
                  <w:pPr>
                    <w:pStyle w:val="83"/>
                    <w:rPr>
                      <w:rFonts w:hint="default"/>
                    </w:rPr>
                  </w:pPr>
                  <w:r>
                    <w:t>非甲烷总烃</w:t>
                  </w:r>
                </w:p>
              </w:tc>
              <w:tc>
                <w:tcPr>
                  <w:tcW w:w="922" w:type="dxa"/>
                  <w:vMerge w:val="restart"/>
                  <w:vAlign w:val="center"/>
                </w:tcPr>
                <w:p w14:paraId="4D39956B">
                  <w:pPr>
                    <w:pStyle w:val="83"/>
                    <w:rPr>
                      <w:rFonts w:hint="default"/>
                    </w:rPr>
                  </w:pPr>
                  <w:r>
                    <w:t>7870</w:t>
                  </w:r>
                </w:p>
              </w:tc>
              <w:tc>
                <w:tcPr>
                  <w:tcW w:w="922" w:type="dxa"/>
                  <w:noWrap/>
                  <w:vAlign w:val="center"/>
                </w:tcPr>
                <w:p w14:paraId="35260AD5">
                  <w:pPr>
                    <w:pStyle w:val="83"/>
                    <w:rPr>
                      <w:rFonts w:hint="default"/>
                    </w:rPr>
                  </w:pPr>
                  <w:r>
                    <w:t>3.37</w:t>
                  </w:r>
                </w:p>
              </w:tc>
              <w:tc>
                <w:tcPr>
                  <w:tcW w:w="1230" w:type="dxa"/>
                  <w:vAlign w:val="center"/>
                </w:tcPr>
                <w:p w14:paraId="0F7A4DF8">
                  <w:pPr>
                    <w:pStyle w:val="83"/>
                    <w:rPr>
                      <w:rFonts w:hint="default"/>
                    </w:rPr>
                  </w:pPr>
                  <w:r>
                    <w:t>0.027</w:t>
                  </w:r>
                </w:p>
              </w:tc>
              <w:tc>
                <w:tcPr>
                  <w:tcW w:w="556" w:type="pct"/>
                  <w:noWrap/>
                  <w:vAlign w:val="center"/>
                </w:tcPr>
                <w:p w14:paraId="620DEC99">
                  <w:pPr>
                    <w:pStyle w:val="83"/>
                    <w:rPr>
                      <w:rFonts w:hint="default"/>
                    </w:rPr>
                  </w:pPr>
                  <w:r>
                    <w:t>60</w:t>
                  </w:r>
                </w:p>
              </w:tc>
              <w:tc>
                <w:tcPr>
                  <w:tcW w:w="387" w:type="pct"/>
                  <w:noWrap/>
                  <w:vAlign w:val="center"/>
                </w:tcPr>
                <w:p w14:paraId="4B3A8AB0">
                  <w:pPr>
                    <w:pStyle w:val="83"/>
                    <w:rPr>
                      <w:rFonts w:hint="default"/>
                    </w:rPr>
                  </w:pPr>
                  <w:r>
                    <w:t>达标</w:t>
                  </w:r>
                </w:p>
              </w:tc>
            </w:tr>
            <w:tr w14:paraId="58F76F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0C0E9812">
                  <w:pPr>
                    <w:pStyle w:val="83"/>
                    <w:rPr>
                      <w:rFonts w:hint="default"/>
                    </w:rPr>
                  </w:pPr>
                </w:p>
              </w:tc>
              <w:tc>
                <w:tcPr>
                  <w:tcW w:w="1036" w:type="pct"/>
                  <w:vMerge w:val="continue"/>
                  <w:vAlign w:val="center"/>
                </w:tcPr>
                <w:p w14:paraId="26EC9061">
                  <w:pPr>
                    <w:pStyle w:val="83"/>
                    <w:rPr>
                      <w:rFonts w:hint="default"/>
                    </w:rPr>
                  </w:pPr>
                </w:p>
              </w:tc>
              <w:tc>
                <w:tcPr>
                  <w:tcW w:w="777" w:type="pct"/>
                  <w:noWrap/>
                  <w:vAlign w:val="center"/>
                </w:tcPr>
                <w:p w14:paraId="5C6BA8A9">
                  <w:pPr>
                    <w:pStyle w:val="83"/>
                    <w:rPr>
                      <w:rFonts w:hint="default"/>
                    </w:rPr>
                  </w:pPr>
                  <w:r>
                    <w:t>颗粒物</w:t>
                  </w:r>
                </w:p>
              </w:tc>
              <w:tc>
                <w:tcPr>
                  <w:tcW w:w="922" w:type="dxa"/>
                  <w:vMerge w:val="continue"/>
                  <w:vAlign w:val="center"/>
                </w:tcPr>
                <w:p w14:paraId="293249EA">
                  <w:pPr>
                    <w:pStyle w:val="83"/>
                    <w:rPr>
                      <w:rFonts w:hint="default"/>
                    </w:rPr>
                  </w:pPr>
                </w:p>
              </w:tc>
              <w:tc>
                <w:tcPr>
                  <w:tcW w:w="922" w:type="dxa"/>
                  <w:noWrap/>
                  <w:vAlign w:val="center"/>
                </w:tcPr>
                <w:p w14:paraId="094A6CC7">
                  <w:pPr>
                    <w:pStyle w:val="83"/>
                    <w:rPr>
                      <w:rFonts w:hint="default"/>
                    </w:rPr>
                  </w:pPr>
                  <w:r>
                    <w:t>7.9</w:t>
                  </w:r>
                </w:p>
              </w:tc>
              <w:tc>
                <w:tcPr>
                  <w:tcW w:w="1230" w:type="dxa"/>
                  <w:vAlign w:val="center"/>
                </w:tcPr>
                <w:p w14:paraId="073BCECF">
                  <w:pPr>
                    <w:pStyle w:val="83"/>
                    <w:rPr>
                      <w:rFonts w:hint="default"/>
                    </w:rPr>
                  </w:pPr>
                  <w:r>
                    <w:t>0.062</w:t>
                  </w:r>
                </w:p>
              </w:tc>
              <w:tc>
                <w:tcPr>
                  <w:tcW w:w="556" w:type="pct"/>
                  <w:noWrap/>
                  <w:vAlign w:val="center"/>
                </w:tcPr>
                <w:p w14:paraId="1C799DBD">
                  <w:pPr>
                    <w:pStyle w:val="83"/>
                    <w:rPr>
                      <w:rFonts w:hint="default"/>
                    </w:rPr>
                  </w:pPr>
                  <w:r>
                    <w:t>20</w:t>
                  </w:r>
                </w:p>
              </w:tc>
              <w:tc>
                <w:tcPr>
                  <w:tcW w:w="387" w:type="pct"/>
                  <w:noWrap/>
                  <w:vAlign w:val="center"/>
                </w:tcPr>
                <w:p w14:paraId="00A51A87">
                  <w:pPr>
                    <w:pStyle w:val="83"/>
                    <w:rPr>
                      <w:rFonts w:hint="default"/>
                    </w:rPr>
                  </w:pPr>
                  <w:r>
                    <w:t>达标</w:t>
                  </w:r>
                </w:p>
              </w:tc>
            </w:tr>
            <w:tr w14:paraId="31ED0B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278625BD">
                  <w:pPr>
                    <w:pStyle w:val="83"/>
                    <w:rPr>
                      <w:rFonts w:hint="default"/>
                    </w:rPr>
                  </w:pPr>
                </w:p>
              </w:tc>
              <w:tc>
                <w:tcPr>
                  <w:tcW w:w="1036" w:type="pct"/>
                  <w:vMerge w:val="restart"/>
                  <w:noWrap/>
                  <w:vAlign w:val="center"/>
                </w:tcPr>
                <w:p w14:paraId="60628991">
                  <w:pPr>
                    <w:pStyle w:val="83"/>
                    <w:rPr>
                      <w:rFonts w:hint="default"/>
                    </w:rPr>
                  </w:pPr>
                  <w:r>
                    <w:t>油烟1#排气筒</w:t>
                  </w:r>
                </w:p>
                <w:p w14:paraId="3F446B93">
                  <w:pPr>
                    <w:pStyle w:val="83"/>
                    <w:rPr>
                      <w:rFonts w:hint="default"/>
                    </w:rPr>
                  </w:pPr>
                  <w:r>
                    <w:t>DA094</w:t>
                  </w:r>
                </w:p>
              </w:tc>
              <w:tc>
                <w:tcPr>
                  <w:tcW w:w="777" w:type="pct"/>
                  <w:noWrap/>
                  <w:vAlign w:val="center"/>
                </w:tcPr>
                <w:p w14:paraId="3EDFAF75">
                  <w:pPr>
                    <w:pStyle w:val="83"/>
                    <w:rPr>
                      <w:rFonts w:hint="default"/>
                    </w:rPr>
                  </w:pPr>
                  <w:r>
                    <w:t>非甲烷总烃</w:t>
                  </w:r>
                </w:p>
              </w:tc>
              <w:tc>
                <w:tcPr>
                  <w:tcW w:w="922" w:type="dxa"/>
                  <w:vMerge w:val="restart"/>
                  <w:vAlign w:val="center"/>
                </w:tcPr>
                <w:p w14:paraId="265AF92B">
                  <w:pPr>
                    <w:pStyle w:val="83"/>
                    <w:rPr>
                      <w:rFonts w:hint="default"/>
                    </w:rPr>
                  </w:pPr>
                  <w:r>
                    <w:t>45700</w:t>
                  </w:r>
                </w:p>
              </w:tc>
              <w:tc>
                <w:tcPr>
                  <w:tcW w:w="922" w:type="dxa"/>
                  <w:noWrap/>
                  <w:vAlign w:val="center"/>
                </w:tcPr>
                <w:p w14:paraId="0B159C0C">
                  <w:pPr>
                    <w:pStyle w:val="83"/>
                    <w:rPr>
                      <w:rFonts w:hint="default"/>
                    </w:rPr>
                  </w:pPr>
                  <w:r>
                    <w:t>2.75</w:t>
                  </w:r>
                </w:p>
              </w:tc>
              <w:tc>
                <w:tcPr>
                  <w:tcW w:w="1230" w:type="dxa"/>
                  <w:vAlign w:val="center"/>
                </w:tcPr>
                <w:p w14:paraId="57103F64">
                  <w:pPr>
                    <w:pStyle w:val="83"/>
                    <w:rPr>
                      <w:rFonts w:hint="default"/>
                    </w:rPr>
                  </w:pPr>
                  <w:r>
                    <w:t>0.126</w:t>
                  </w:r>
                </w:p>
              </w:tc>
              <w:tc>
                <w:tcPr>
                  <w:tcW w:w="556" w:type="pct"/>
                  <w:noWrap/>
                  <w:vAlign w:val="center"/>
                </w:tcPr>
                <w:p w14:paraId="255CC0A9">
                  <w:pPr>
                    <w:pStyle w:val="83"/>
                    <w:rPr>
                      <w:rFonts w:hint="default"/>
                    </w:rPr>
                  </w:pPr>
                  <w:r>
                    <w:t>60</w:t>
                  </w:r>
                </w:p>
              </w:tc>
              <w:tc>
                <w:tcPr>
                  <w:tcW w:w="387" w:type="pct"/>
                  <w:noWrap/>
                  <w:vAlign w:val="center"/>
                </w:tcPr>
                <w:p w14:paraId="7257EB5C">
                  <w:pPr>
                    <w:pStyle w:val="83"/>
                    <w:rPr>
                      <w:rFonts w:hint="default"/>
                    </w:rPr>
                  </w:pPr>
                  <w:r>
                    <w:t>达标</w:t>
                  </w:r>
                </w:p>
              </w:tc>
            </w:tr>
            <w:tr w14:paraId="3CDCC1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6DE6C5CA">
                  <w:pPr>
                    <w:pStyle w:val="83"/>
                    <w:rPr>
                      <w:rFonts w:hint="default"/>
                    </w:rPr>
                  </w:pPr>
                </w:p>
              </w:tc>
              <w:tc>
                <w:tcPr>
                  <w:tcW w:w="1036" w:type="pct"/>
                  <w:vMerge w:val="continue"/>
                  <w:vAlign w:val="center"/>
                </w:tcPr>
                <w:p w14:paraId="493EC893">
                  <w:pPr>
                    <w:pStyle w:val="83"/>
                    <w:rPr>
                      <w:rFonts w:hint="default"/>
                    </w:rPr>
                  </w:pPr>
                </w:p>
              </w:tc>
              <w:tc>
                <w:tcPr>
                  <w:tcW w:w="777" w:type="pct"/>
                  <w:noWrap/>
                  <w:vAlign w:val="center"/>
                </w:tcPr>
                <w:p w14:paraId="08A1825A">
                  <w:pPr>
                    <w:pStyle w:val="83"/>
                    <w:rPr>
                      <w:rFonts w:hint="default"/>
                    </w:rPr>
                  </w:pPr>
                  <w:r>
                    <w:t>颗粒物</w:t>
                  </w:r>
                </w:p>
              </w:tc>
              <w:tc>
                <w:tcPr>
                  <w:tcW w:w="922" w:type="dxa"/>
                  <w:vMerge w:val="continue"/>
                  <w:vAlign w:val="center"/>
                </w:tcPr>
                <w:p w14:paraId="37126D18">
                  <w:pPr>
                    <w:pStyle w:val="83"/>
                    <w:rPr>
                      <w:rFonts w:hint="default"/>
                    </w:rPr>
                  </w:pPr>
                </w:p>
              </w:tc>
              <w:tc>
                <w:tcPr>
                  <w:tcW w:w="922" w:type="dxa"/>
                  <w:noWrap/>
                  <w:vAlign w:val="center"/>
                </w:tcPr>
                <w:p w14:paraId="58F0069C">
                  <w:pPr>
                    <w:pStyle w:val="83"/>
                    <w:rPr>
                      <w:rFonts w:hint="default"/>
                    </w:rPr>
                  </w:pPr>
                  <w:r>
                    <w:t>2.4</w:t>
                  </w:r>
                </w:p>
              </w:tc>
              <w:tc>
                <w:tcPr>
                  <w:tcW w:w="1230" w:type="dxa"/>
                  <w:vAlign w:val="center"/>
                </w:tcPr>
                <w:p w14:paraId="0B3A8729">
                  <w:pPr>
                    <w:pStyle w:val="83"/>
                    <w:rPr>
                      <w:rFonts w:hint="default"/>
                    </w:rPr>
                  </w:pPr>
                  <w:r>
                    <w:t>0.110</w:t>
                  </w:r>
                </w:p>
              </w:tc>
              <w:tc>
                <w:tcPr>
                  <w:tcW w:w="556" w:type="pct"/>
                  <w:noWrap/>
                  <w:vAlign w:val="center"/>
                </w:tcPr>
                <w:p w14:paraId="5F5FE65E">
                  <w:pPr>
                    <w:pStyle w:val="83"/>
                    <w:rPr>
                      <w:rFonts w:hint="default"/>
                    </w:rPr>
                  </w:pPr>
                  <w:r>
                    <w:t>20</w:t>
                  </w:r>
                </w:p>
              </w:tc>
              <w:tc>
                <w:tcPr>
                  <w:tcW w:w="387" w:type="pct"/>
                  <w:noWrap/>
                  <w:vAlign w:val="center"/>
                </w:tcPr>
                <w:p w14:paraId="7D158002">
                  <w:pPr>
                    <w:pStyle w:val="83"/>
                    <w:rPr>
                      <w:rFonts w:hint="default"/>
                    </w:rPr>
                  </w:pPr>
                  <w:r>
                    <w:t>达标</w:t>
                  </w:r>
                </w:p>
              </w:tc>
            </w:tr>
            <w:tr w14:paraId="343437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BE86CA3">
                  <w:pPr>
                    <w:pStyle w:val="83"/>
                    <w:rPr>
                      <w:rFonts w:hint="default"/>
                    </w:rPr>
                  </w:pPr>
                </w:p>
              </w:tc>
              <w:tc>
                <w:tcPr>
                  <w:tcW w:w="1036" w:type="pct"/>
                  <w:vMerge w:val="restart"/>
                  <w:vAlign w:val="center"/>
                </w:tcPr>
                <w:p w14:paraId="1E9CAEE4">
                  <w:pPr>
                    <w:pStyle w:val="83"/>
                    <w:rPr>
                      <w:rFonts w:hint="default"/>
                    </w:rPr>
                  </w:pPr>
                  <w:r>
                    <w:t>油烟13#排气筒</w:t>
                  </w:r>
                </w:p>
                <w:p w14:paraId="7BEE1619">
                  <w:pPr>
                    <w:pStyle w:val="83"/>
                    <w:rPr>
                      <w:rFonts w:hint="default"/>
                    </w:rPr>
                  </w:pPr>
                  <w:r>
                    <w:t>DA111</w:t>
                  </w:r>
                </w:p>
              </w:tc>
              <w:tc>
                <w:tcPr>
                  <w:tcW w:w="777" w:type="pct"/>
                  <w:noWrap/>
                  <w:vAlign w:val="center"/>
                </w:tcPr>
                <w:p w14:paraId="77D2C2E7">
                  <w:pPr>
                    <w:pStyle w:val="83"/>
                    <w:rPr>
                      <w:rFonts w:hint="default"/>
                    </w:rPr>
                  </w:pPr>
                  <w:r>
                    <w:t>非甲烷总烃</w:t>
                  </w:r>
                </w:p>
              </w:tc>
              <w:tc>
                <w:tcPr>
                  <w:tcW w:w="922" w:type="dxa"/>
                  <w:vMerge w:val="restart"/>
                  <w:vAlign w:val="center"/>
                </w:tcPr>
                <w:p w14:paraId="6B8C01A4">
                  <w:pPr>
                    <w:pStyle w:val="83"/>
                    <w:rPr>
                      <w:rFonts w:hint="default"/>
                    </w:rPr>
                  </w:pPr>
                  <w:r>
                    <w:t>26800</w:t>
                  </w:r>
                </w:p>
              </w:tc>
              <w:tc>
                <w:tcPr>
                  <w:tcW w:w="922" w:type="dxa"/>
                  <w:noWrap/>
                  <w:vAlign w:val="center"/>
                </w:tcPr>
                <w:p w14:paraId="7527D5CE">
                  <w:pPr>
                    <w:pStyle w:val="83"/>
                    <w:rPr>
                      <w:rFonts w:hint="default"/>
                    </w:rPr>
                  </w:pPr>
                  <w:r>
                    <w:t>2.25</w:t>
                  </w:r>
                </w:p>
              </w:tc>
              <w:tc>
                <w:tcPr>
                  <w:tcW w:w="1230" w:type="dxa"/>
                  <w:vAlign w:val="center"/>
                </w:tcPr>
                <w:p w14:paraId="144228F7">
                  <w:pPr>
                    <w:pStyle w:val="83"/>
                    <w:rPr>
                      <w:rFonts w:hint="default"/>
                    </w:rPr>
                  </w:pPr>
                  <w:r>
                    <w:t>0.060</w:t>
                  </w:r>
                </w:p>
              </w:tc>
              <w:tc>
                <w:tcPr>
                  <w:tcW w:w="556" w:type="pct"/>
                  <w:noWrap/>
                  <w:vAlign w:val="center"/>
                </w:tcPr>
                <w:p w14:paraId="492A3936">
                  <w:pPr>
                    <w:pStyle w:val="83"/>
                    <w:rPr>
                      <w:rFonts w:hint="default"/>
                    </w:rPr>
                  </w:pPr>
                  <w:r>
                    <w:t>60</w:t>
                  </w:r>
                </w:p>
              </w:tc>
              <w:tc>
                <w:tcPr>
                  <w:tcW w:w="387" w:type="pct"/>
                  <w:noWrap/>
                  <w:vAlign w:val="center"/>
                </w:tcPr>
                <w:p w14:paraId="73E1B045">
                  <w:pPr>
                    <w:pStyle w:val="83"/>
                    <w:rPr>
                      <w:rFonts w:hint="default"/>
                    </w:rPr>
                  </w:pPr>
                  <w:r>
                    <w:t>达标</w:t>
                  </w:r>
                </w:p>
              </w:tc>
            </w:tr>
            <w:tr w14:paraId="354D11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5237CF7D">
                  <w:pPr>
                    <w:pStyle w:val="83"/>
                    <w:rPr>
                      <w:rFonts w:hint="default"/>
                    </w:rPr>
                  </w:pPr>
                </w:p>
              </w:tc>
              <w:tc>
                <w:tcPr>
                  <w:tcW w:w="1036" w:type="pct"/>
                  <w:vMerge w:val="continue"/>
                  <w:vAlign w:val="center"/>
                </w:tcPr>
                <w:p w14:paraId="421FCE52">
                  <w:pPr>
                    <w:pStyle w:val="83"/>
                    <w:rPr>
                      <w:rFonts w:hint="default"/>
                    </w:rPr>
                  </w:pPr>
                </w:p>
              </w:tc>
              <w:tc>
                <w:tcPr>
                  <w:tcW w:w="777" w:type="pct"/>
                  <w:noWrap/>
                  <w:vAlign w:val="center"/>
                </w:tcPr>
                <w:p w14:paraId="593AE672">
                  <w:pPr>
                    <w:pStyle w:val="83"/>
                    <w:rPr>
                      <w:rFonts w:hint="default"/>
                    </w:rPr>
                  </w:pPr>
                  <w:r>
                    <w:t>颗粒物</w:t>
                  </w:r>
                </w:p>
              </w:tc>
              <w:tc>
                <w:tcPr>
                  <w:tcW w:w="922" w:type="dxa"/>
                  <w:vMerge w:val="continue"/>
                  <w:vAlign w:val="center"/>
                </w:tcPr>
                <w:p w14:paraId="43A78845">
                  <w:pPr>
                    <w:pStyle w:val="83"/>
                    <w:rPr>
                      <w:rFonts w:hint="default"/>
                    </w:rPr>
                  </w:pPr>
                </w:p>
              </w:tc>
              <w:tc>
                <w:tcPr>
                  <w:tcW w:w="922" w:type="dxa"/>
                  <w:noWrap/>
                  <w:vAlign w:val="center"/>
                </w:tcPr>
                <w:p w14:paraId="0D238547">
                  <w:pPr>
                    <w:pStyle w:val="83"/>
                    <w:rPr>
                      <w:rFonts w:hint="default"/>
                    </w:rPr>
                  </w:pPr>
                  <w:r>
                    <w:t>&lt;1.0</w:t>
                  </w:r>
                </w:p>
              </w:tc>
              <w:tc>
                <w:tcPr>
                  <w:tcW w:w="1230" w:type="dxa"/>
                  <w:vAlign w:val="center"/>
                </w:tcPr>
                <w:p w14:paraId="26BCAFD7">
                  <w:pPr>
                    <w:pStyle w:val="83"/>
                    <w:rPr>
                      <w:rFonts w:hint="default"/>
                    </w:rPr>
                  </w:pPr>
                  <w:r>
                    <w:t>0.013</w:t>
                  </w:r>
                </w:p>
              </w:tc>
              <w:tc>
                <w:tcPr>
                  <w:tcW w:w="556" w:type="pct"/>
                  <w:noWrap/>
                  <w:vAlign w:val="center"/>
                </w:tcPr>
                <w:p w14:paraId="2FB283AD">
                  <w:pPr>
                    <w:pStyle w:val="83"/>
                    <w:rPr>
                      <w:rFonts w:hint="default"/>
                    </w:rPr>
                  </w:pPr>
                  <w:r>
                    <w:t>20</w:t>
                  </w:r>
                </w:p>
              </w:tc>
              <w:tc>
                <w:tcPr>
                  <w:tcW w:w="387" w:type="pct"/>
                  <w:noWrap/>
                  <w:vAlign w:val="center"/>
                </w:tcPr>
                <w:p w14:paraId="6E726301">
                  <w:pPr>
                    <w:pStyle w:val="83"/>
                    <w:rPr>
                      <w:rFonts w:hint="default"/>
                    </w:rPr>
                  </w:pPr>
                  <w:r>
                    <w:t>达标</w:t>
                  </w:r>
                </w:p>
              </w:tc>
            </w:tr>
            <w:tr w14:paraId="76CA9E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noWrap/>
                  <w:vAlign w:val="center"/>
                </w:tcPr>
                <w:p w14:paraId="68A26A5F">
                  <w:pPr>
                    <w:pStyle w:val="83"/>
                    <w:rPr>
                      <w:rFonts w:hint="default"/>
                    </w:rPr>
                  </w:pPr>
                </w:p>
              </w:tc>
              <w:tc>
                <w:tcPr>
                  <w:tcW w:w="1036" w:type="pct"/>
                  <w:noWrap/>
                  <w:vAlign w:val="center"/>
                </w:tcPr>
                <w:p w14:paraId="39D7AE4E">
                  <w:pPr>
                    <w:pStyle w:val="83"/>
                    <w:rPr>
                      <w:rFonts w:hint="default"/>
                    </w:rPr>
                  </w:pPr>
                  <w:r>
                    <w:t>组件煅烧排气筒</w:t>
                  </w:r>
                </w:p>
                <w:p w14:paraId="2246C07A">
                  <w:pPr>
                    <w:pStyle w:val="83"/>
                    <w:rPr>
                      <w:rFonts w:hint="default"/>
                    </w:rPr>
                  </w:pPr>
                  <w:r>
                    <w:t>DA232</w:t>
                  </w:r>
                </w:p>
              </w:tc>
              <w:tc>
                <w:tcPr>
                  <w:tcW w:w="777" w:type="pct"/>
                  <w:noWrap/>
                  <w:vAlign w:val="center"/>
                </w:tcPr>
                <w:p w14:paraId="0F52CF81">
                  <w:pPr>
                    <w:pStyle w:val="83"/>
                    <w:rPr>
                      <w:rFonts w:hint="default"/>
                    </w:rPr>
                  </w:pPr>
                  <w:r>
                    <w:t>非甲烷总烃</w:t>
                  </w:r>
                </w:p>
              </w:tc>
              <w:tc>
                <w:tcPr>
                  <w:tcW w:w="922" w:type="dxa"/>
                  <w:vAlign w:val="center"/>
                </w:tcPr>
                <w:p w14:paraId="76EF50C4">
                  <w:pPr>
                    <w:pStyle w:val="83"/>
                    <w:rPr>
                      <w:rFonts w:hint="default"/>
                    </w:rPr>
                  </w:pPr>
                  <w:r>
                    <w:t>2450</w:t>
                  </w:r>
                </w:p>
              </w:tc>
              <w:tc>
                <w:tcPr>
                  <w:tcW w:w="922" w:type="dxa"/>
                  <w:noWrap/>
                  <w:vAlign w:val="center"/>
                </w:tcPr>
                <w:p w14:paraId="55FA654A">
                  <w:pPr>
                    <w:pStyle w:val="83"/>
                    <w:rPr>
                      <w:rFonts w:hint="default"/>
                    </w:rPr>
                  </w:pPr>
                  <w:r>
                    <w:t>2.15</w:t>
                  </w:r>
                </w:p>
              </w:tc>
              <w:tc>
                <w:tcPr>
                  <w:tcW w:w="1230" w:type="dxa"/>
                  <w:vAlign w:val="center"/>
                </w:tcPr>
                <w:p w14:paraId="020CABEB">
                  <w:pPr>
                    <w:pStyle w:val="83"/>
                    <w:rPr>
                      <w:rFonts w:hint="default"/>
                    </w:rPr>
                  </w:pPr>
                  <w:r>
                    <w:t>0.0053</w:t>
                  </w:r>
                </w:p>
              </w:tc>
              <w:tc>
                <w:tcPr>
                  <w:tcW w:w="556" w:type="pct"/>
                  <w:noWrap/>
                  <w:vAlign w:val="center"/>
                </w:tcPr>
                <w:p w14:paraId="3B2BF64B">
                  <w:pPr>
                    <w:pStyle w:val="83"/>
                    <w:rPr>
                      <w:rFonts w:hint="default"/>
                    </w:rPr>
                  </w:pPr>
                  <w:r>
                    <w:t>60</w:t>
                  </w:r>
                </w:p>
              </w:tc>
              <w:tc>
                <w:tcPr>
                  <w:tcW w:w="387" w:type="pct"/>
                  <w:noWrap/>
                  <w:vAlign w:val="center"/>
                </w:tcPr>
                <w:p w14:paraId="20945D43">
                  <w:pPr>
                    <w:pStyle w:val="83"/>
                    <w:rPr>
                      <w:rFonts w:hint="default"/>
                    </w:rPr>
                  </w:pPr>
                  <w:r>
                    <w:t>达标</w:t>
                  </w:r>
                </w:p>
              </w:tc>
            </w:tr>
          </w:tbl>
          <w:p w14:paraId="563AA836">
            <w:pPr>
              <w:ind w:firstLine="480"/>
            </w:pPr>
            <w:r>
              <w:rPr>
                <w:rFonts w:hint="eastAsia"/>
              </w:rPr>
              <w:t>4.纺丝四期</w:t>
            </w:r>
          </w:p>
          <w:p w14:paraId="23541123">
            <w:pPr>
              <w:ind w:firstLine="480"/>
            </w:pPr>
            <w:r>
              <w:rPr>
                <w:rFonts w:hint="eastAsia"/>
              </w:rPr>
              <w:t>现有纺丝四期项目产生的废气主要是单体抽吸废气、油剂废气和组件煅烧废气。单体抽吸废气由单体抽吸系统处理后通过8根24m排气筒排放；油剂废气由静电吸附装置处理后通过2根24m排气筒排放；组件煅烧废气由水喷淋装置处理后通过1根20m排气筒排放。纺丝四期废气监测数据见表2.4-4。</w:t>
            </w:r>
          </w:p>
          <w:p w14:paraId="6B22264E">
            <w:pPr>
              <w:pStyle w:val="13"/>
            </w:pPr>
            <w:r>
              <w:rPr>
                <w:rFonts w:hint="eastAsia"/>
              </w:rPr>
              <w:t>表2.4-4  纺丝四期废气监测结果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0AD0CD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18248030">
                  <w:pPr>
                    <w:pStyle w:val="83"/>
                    <w:rPr>
                      <w:rFonts w:hint="default"/>
                    </w:rPr>
                  </w:pPr>
                  <w:r>
                    <w:t>监测</w:t>
                  </w:r>
                </w:p>
                <w:p w14:paraId="4B568309">
                  <w:pPr>
                    <w:pStyle w:val="83"/>
                    <w:rPr>
                      <w:rFonts w:hint="default"/>
                    </w:rPr>
                  </w:pPr>
                  <w:r>
                    <w:t>日期</w:t>
                  </w:r>
                </w:p>
              </w:tc>
              <w:tc>
                <w:tcPr>
                  <w:tcW w:w="1036" w:type="pct"/>
                  <w:noWrap/>
                  <w:vAlign w:val="center"/>
                </w:tcPr>
                <w:p w14:paraId="50EDC2B1">
                  <w:pPr>
                    <w:pStyle w:val="83"/>
                    <w:rPr>
                      <w:rFonts w:hint="default"/>
                    </w:rPr>
                  </w:pPr>
                  <w:r>
                    <w:t>监测点位</w:t>
                  </w:r>
                </w:p>
              </w:tc>
              <w:tc>
                <w:tcPr>
                  <w:tcW w:w="777" w:type="pct"/>
                  <w:noWrap/>
                  <w:vAlign w:val="center"/>
                </w:tcPr>
                <w:p w14:paraId="4C52D2A6">
                  <w:pPr>
                    <w:pStyle w:val="83"/>
                    <w:rPr>
                      <w:rFonts w:hint="default"/>
                    </w:rPr>
                  </w:pPr>
                  <w:r>
                    <w:t>监测项目</w:t>
                  </w:r>
                </w:p>
              </w:tc>
              <w:tc>
                <w:tcPr>
                  <w:tcW w:w="518" w:type="pct"/>
                  <w:vAlign w:val="center"/>
                </w:tcPr>
                <w:p w14:paraId="2067F5AF">
                  <w:pPr>
                    <w:pStyle w:val="83"/>
                    <w:rPr>
                      <w:rFonts w:hint="default"/>
                    </w:rPr>
                  </w:pPr>
                  <w:r>
                    <w:t>标杆</w:t>
                  </w:r>
                </w:p>
                <w:p w14:paraId="4F490A13">
                  <w:pPr>
                    <w:pStyle w:val="83"/>
                    <w:rPr>
                      <w:rFonts w:hint="default"/>
                    </w:rPr>
                  </w:pPr>
                  <w:r>
                    <w:t>流量</w:t>
                  </w:r>
                </w:p>
                <w:p w14:paraId="40144A07">
                  <w:pPr>
                    <w:pStyle w:val="83"/>
                    <w:rPr>
                      <w:rFonts w:hint="default"/>
                    </w:rPr>
                  </w:pPr>
                  <w:r>
                    <w:t>m</w:t>
                  </w:r>
                  <w:r>
                    <w:rPr>
                      <w:vertAlign w:val="superscript"/>
                    </w:rPr>
                    <w:t>3</w:t>
                  </w:r>
                  <w:r>
                    <w:t>/h</w:t>
                  </w:r>
                </w:p>
              </w:tc>
              <w:tc>
                <w:tcPr>
                  <w:tcW w:w="518" w:type="pct"/>
                  <w:vAlign w:val="center"/>
                </w:tcPr>
                <w:p w14:paraId="6568C130">
                  <w:pPr>
                    <w:pStyle w:val="83"/>
                    <w:rPr>
                      <w:rFonts w:hint="default"/>
                    </w:rPr>
                  </w:pPr>
                  <w:r>
                    <w:t>排放</w:t>
                  </w:r>
                </w:p>
                <w:p w14:paraId="7EC835AF">
                  <w:pPr>
                    <w:pStyle w:val="83"/>
                    <w:rPr>
                      <w:rFonts w:hint="default"/>
                    </w:rPr>
                  </w:pPr>
                  <w:r>
                    <w:t>浓度</w:t>
                  </w:r>
                </w:p>
                <w:p w14:paraId="61C08650">
                  <w:pPr>
                    <w:pStyle w:val="83"/>
                    <w:rPr>
                      <w:rFonts w:hint="default"/>
                    </w:rPr>
                  </w:pPr>
                  <w:r>
                    <w:t>mg/m</w:t>
                  </w:r>
                  <w:r>
                    <w:rPr>
                      <w:vertAlign w:val="superscript"/>
                    </w:rPr>
                    <w:t>3</w:t>
                  </w:r>
                </w:p>
              </w:tc>
              <w:tc>
                <w:tcPr>
                  <w:tcW w:w="691" w:type="pct"/>
                  <w:vAlign w:val="center"/>
                </w:tcPr>
                <w:p w14:paraId="31EDA220">
                  <w:pPr>
                    <w:pStyle w:val="83"/>
                    <w:rPr>
                      <w:rFonts w:hint="default"/>
                    </w:rPr>
                  </w:pPr>
                  <w:r>
                    <w:t>排放速率</w:t>
                  </w:r>
                </w:p>
                <w:p w14:paraId="04717128">
                  <w:pPr>
                    <w:pStyle w:val="83"/>
                    <w:rPr>
                      <w:rFonts w:hint="default"/>
                    </w:rPr>
                  </w:pPr>
                  <w:r>
                    <w:t>kg/h</w:t>
                  </w:r>
                </w:p>
              </w:tc>
              <w:tc>
                <w:tcPr>
                  <w:tcW w:w="556" w:type="pct"/>
                  <w:vAlign w:val="center"/>
                </w:tcPr>
                <w:p w14:paraId="0F0EC29B">
                  <w:pPr>
                    <w:pStyle w:val="83"/>
                    <w:rPr>
                      <w:rFonts w:hint="default"/>
                    </w:rPr>
                  </w:pPr>
                  <w:r>
                    <w:t>标准</w:t>
                  </w:r>
                </w:p>
                <w:p w14:paraId="444C7B31">
                  <w:pPr>
                    <w:pStyle w:val="83"/>
                    <w:rPr>
                      <w:rFonts w:hint="default"/>
                    </w:rPr>
                  </w:pPr>
                  <w:r>
                    <w:t>限值</w:t>
                  </w:r>
                </w:p>
                <w:p w14:paraId="451EDA32">
                  <w:pPr>
                    <w:pStyle w:val="83"/>
                    <w:rPr>
                      <w:rFonts w:hint="default"/>
                    </w:rPr>
                  </w:pPr>
                  <w:r>
                    <w:t>mg/m</w:t>
                  </w:r>
                  <w:r>
                    <w:rPr>
                      <w:vertAlign w:val="superscript"/>
                    </w:rPr>
                    <w:t>3</w:t>
                  </w:r>
                </w:p>
              </w:tc>
              <w:tc>
                <w:tcPr>
                  <w:tcW w:w="387" w:type="pct"/>
                  <w:noWrap/>
                  <w:vAlign w:val="center"/>
                </w:tcPr>
                <w:p w14:paraId="4BA5905F">
                  <w:pPr>
                    <w:pStyle w:val="83"/>
                    <w:rPr>
                      <w:rFonts w:hint="default"/>
                    </w:rPr>
                  </w:pPr>
                  <w:r>
                    <w:t>达标</w:t>
                  </w:r>
                </w:p>
                <w:p w14:paraId="29A06F0B">
                  <w:pPr>
                    <w:pStyle w:val="83"/>
                    <w:rPr>
                      <w:rFonts w:hint="default"/>
                    </w:rPr>
                  </w:pPr>
                  <w:r>
                    <w:t>情况</w:t>
                  </w:r>
                </w:p>
              </w:tc>
            </w:tr>
            <w:tr w14:paraId="1A6C0A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restart"/>
                  <w:noWrap/>
                  <w:vAlign w:val="center"/>
                </w:tcPr>
                <w:p w14:paraId="076356DC">
                  <w:pPr>
                    <w:pStyle w:val="83"/>
                    <w:rPr>
                      <w:rFonts w:hint="default"/>
                    </w:rPr>
                  </w:pPr>
                  <w:r>
                    <w:t>2025.</w:t>
                  </w:r>
                </w:p>
                <w:p w14:paraId="0907E2E2">
                  <w:pPr>
                    <w:pStyle w:val="83"/>
                    <w:rPr>
                      <w:rFonts w:hint="default"/>
                    </w:rPr>
                  </w:pPr>
                  <w:r>
                    <w:t>11.18</w:t>
                  </w:r>
                </w:p>
              </w:tc>
              <w:tc>
                <w:tcPr>
                  <w:tcW w:w="1036" w:type="pct"/>
                  <w:vMerge w:val="restart"/>
                  <w:noWrap/>
                  <w:vAlign w:val="center"/>
                </w:tcPr>
                <w:p w14:paraId="0E97AAFB">
                  <w:pPr>
                    <w:pStyle w:val="83"/>
                    <w:rPr>
                      <w:rFonts w:hint="default"/>
                    </w:rPr>
                  </w:pPr>
                  <w:r>
                    <w:t>纺丝1#排气筒</w:t>
                  </w:r>
                </w:p>
                <w:p w14:paraId="6B871F78">
                  <w:pPr>
                    <w:pStyle w:val="83"/>
                    <w:rPr>
                      <w:rFonts w:hint="default"/>
                    </w:rPr>
                  </w:pPr>
                  <w:r>
                    <w:t>DA096</w:t>
                  </w:r>
                </w:p>
              </w:tc>
              <w:tc>
                <w:tcPr>
                  <w:tcW w:w="777" w:type="pct"/>
                  <w:noWrap/>
                  <w:vAlign w:val="center"/>
                </w:tcPr>
                <w:p w14:paraId="39CF38F4">
                  <w:pPr>
                    <w:pStyle w:val="83"/>
                    <w:rPr>
                      <w:rFonts w:hint="default"/>
                    </w:rPr>
                  </w:pPr>
                  <w:r>
                    <w:t>非甲烷总烃</w:t>
                  </w:r>
                </w:p>
              </w:tc>
              <w:tc>
                <w:tcPr>
                  <w:tcW w:w="922" w:type="dxa"/>
                  <w:vMerge w:val="restart"/>
                  <w:vAlign w:val="center"/>
                </w:tcPr>
                <w:p w14:paraId="5DC8B3F1">
                  <w:pPr>
                    <w:pStyle w:val="83"/>
                    <w:rPr>
                      <w:rFonts w:hint="default"/>
                    </w:rPr>
                  </w:pPr>
                  <w:r>
                    <w:t>9200</w:t>
                  </w:r>
                </w:p>
              </w:tc>
              <w:tc>
                <w:tcPr>
                  <w:tcW w:w="922" w:type="dxa"/>
                  <w:noWrap/>
                  <w:vAlign w:val="center"/>
                </w:tcPr>
                <w:p w14:paraId="77AC1371">
                  <w:pPr>
                    <w:pStyle w:val="83"/>
                    <w:rPr>
                      <w:rFonts w:hint="default"/>
                    </w:rPr>
                  </w:pPr>
                  <w:r>
                    <w:t>2.88</w:t>
                  </w:r>
                </w:p>
              </w:tc>
              <w:tc>
                <w:tcPr>
                  <w:tcW w:w="1230" w:type="dxa"/>
                  <w:vAlign w:val="center"/>
                </w:tcPr>
                <w:p w14:paraId="1F72CFA9">
                  <w:pPr>
                    <w:pStyle w:val="83"/>
                    <w:rPr>
                      <w:rFonts w:hint="default"/>
                    </w:rPr>
                  </w:pPr>
                  <w:r>
                    <w:t>0.026</w:t>
                  </w:r>
                </w:p>
              </w:tc>
              <w:tc>
                <w:tcPr>
                  <w:tcW w:w="556" w:type="pct"/>
                  <w:noWrap/>
                  <w:vAlign w:val="center"/>
                </w:tcPr>
                <w:p w14:paraId="129558BE">
                  <w:pPr>
                    <w:pStyle w:val="83"/>
                    <w:rPr>
                      <w:rFonts w:hint="default"/>
                    </w:rPr>
                  </w:pPr>
                  <w:r>
                    <w:t>60</w:t>
                  </w:r>
                </w:p>
              </w:tc>
              <w:tc>
                <w:tcPr>
                  <w:tcW w:w="387" w:type="pct"/>
                  <w:noWrap/>
                  <w:vAlign w:val="center"/>
                </w:tcPr>
                <w:p w14:paraId="067A3C68">
                  <w:pPr>
                    <w:pStyle w:val="83"/>
                    <w:rPr>
                      <w:rFonts w:hint="default"/>
                    </w:rPr>
                  </w:pPr>
                  <w:r>
                    <w:t>达标</w:t>
                  </w:r>
                </w:p>
              </w:tc>
            </w:tr>
            <w:tr w14:paraId="7A5DAC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DEBA87F">
                  <w:pPr>
                    <w:pStyle w:val="83"/>
                    <w:rPr>
                      <w:rFonts w:hint="default"/>
                    </w:rPr>
                  </w:pPr>
                </w:p>
              </w:tc>
              <w:tc>
                <w:tcPr>
                  <w:tcW w:w="1036" w:type="pct"/>
                  <w:vMerge w:val="continue"/>
                  <w:vAlign w:val="center"/>
                </w:tcPr>
                <w:p w14:paraId="14ABE2C9">
                  <w:pPr>
                    <w:pStyle w:val="83"/>
                    <w:rPr>
                      <w:rFonts w:hint="default"/>
                    </w:rPr>
                  </w:pPr>
                </w:p>
              </w:tc>
              <w:tc>
                <w:tcPr>
                  <w:tcW w:w="777" w:type="pct"/>
                  <w:noWrap/>
                  <w:vAlign w:val="center"/>
                </w:tcPr>
                <w:p w14:paraId="2127F9E9">
                  <w:pPr>
                    <w:pStyle w:val="83"/>
                    <w:rPr>
                      <w:rFonts w:hint="default"/>
                    </w:rPr>
                  </w:pPr>
                  <w:r>
                    <w:t>颗粒物</w:t>
                  </w:r>
                </w:p>
              </w:tc>
              <w:tc>
                <w:tcPr>
                  <w:tcW w:w="922" w:type="dxa"/>
                  <w:vMerge w:val="continue"/>
                  <w:vAlign w:val="center"/>
                </w:tcPr>
                <w:p w14:paraId="15AB1EAA">
                  <w:pPr>
                    <w:pStyle w:val="83"/>
                    <w:rPr>
                      <w:rFonts w:hint="default"/>
                    </w:rPr>
                  </w:pPr>
                </w:p>
              </w:tc>
              <w:tc>
                <w:tcPr>
                  <w:tcW w:w="922" w:type="dxa"/>
                  <w:noWrap/>
                  <w:vAlign w:val="center"/>
                </w:tcPr>
                <w:p w14:paraId="60C40A04">
                  <w:pPr>
                    <w:pStyle w:val="83"/>
                    <w:rPr>
                      <w:rFonts w:hint="default"/>
                    </w:rPr>
                  </w:pPr>
                  <w:r>
                    <w:t>4.6</w:t>
                  </w:r>
                </w:p>
              </w:tc>
              <w:tc>
                <w:tcPr>
                  <w:tcW w:w="1230" w:type="dxa"/>
                  <w:vAlign w:val="center"/>
                </w:tcPr>
                <w:p w14:paraId="5BC12660">
                  <w:pPr>
                    <w:pStyle w:val="83"/>
                    <w:rPr>
                      <w:rFonts w:hint="default"/>
                    </w:rPr>
                  </w:pPr>
                  <w:r>
                    <w:t>0.042</w:t>
                  </w:r>
                </w:p>
              </w:tc>
              <w:tc>
                <w:tcPr>
                  <w:tcW w:w="556" w:type="pct"/>
                  <w:noWrap/>
                  <w:vAlign w:val="center"/>
                </w:tcPr>
                <w:p w14:paraId="1BEA126F">
                  <w:pPr>
                    <w:pStyle w:val="83"/>
                    <w:rPr>
                      <w:rFonts w:hint="default"/>
                    </w:rPr>
                  </w:pPr>
                  <w:r>
                    <w:t>20</w:t>
                  </w:r>
                </w:p>
              </w:tc>
              <w:tc>
                <w:tcPr>
                  <w:tcW w:w="387" w:type="pct"/>
                  <w:noWrap/>
                  <w:vAlign w:val="center"/>
                </w:tcPr>
                <w:p w14:paraId="7DD1F2D4">
                  <w:pPr>
                    <w:pStyle w:val="83"/>
                    <w:rPr>
                      <w:rFonts w:hint="default"/>
                    </w:rPr>
                  </w:pPr>
                  <w:r>
                    <w:t>达标</w:t>
                  </w:r>
                </w:p>
              </w:tc>
            </w:tr>
            <w:tr w14:paraId="0708DA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6A7AE0E">
                  <w:pPr>
                    <w:pStyle w:val="83"/>
                    <w:rPr>
                      <w:rFonts w:hint="default"/>
                    </w:rPr>
                  </w:pPr>
                </w:p>
              </w:tc>
              <w:tc>
                <w:tcPr>
                  <w:tcW w:w="1036" w:type="pct"/>
                  <w:vMerge w:val="restart"/>
                  <w:noWrap/>
                  <w:vAlign w:val="center"/>
                </w:tcPr>
                <w:p w14:paraId="19CD562F">
                  <w:pPr>
                    <w:pStyle w:val="83"/>
                    <w:rPr>
                      <w:rFonts w:hint="default"/>
                    </w:rPr>
                  </w:pPr>
                  <w:r>
                    <w:t>纺丝7#排气筒</w:t>
                  </w:r>
                </w:p>
                <w:p w14:paraId="75700FBB">
                  <w:pPr>
                    <w:pStyle w:val="83"/>
                    <w:rPr>
                      <w:rFonts w:hint="default"/>
                    </w:rPr>
                  </w:pPr>
                  <w:r>
                    <w:t>DA102</w:t>
                  </w:r>
                </w:p>
              </w:tc>
              <w:tc>
                <w:tcPr>
                  <w:tcW w:w="777" w:type="pct"/>
                  <w:noWrap/>
                  <w:vAlign w:val="center"/>
                </w:tcPr>
                <w:p w14:paraId="67185DC9">
                  <w:pPr>
                    <w:pStyle w:val="83"/>
                    <w:rPr>
                      <w:rFonts w:hint="default"/>
                    </w:rPr>
                  </w:pPr>
                  <w:r>
                    <w:t>非甲烷总烃</w:t>
                  </w:r>
                </w:p>
              </w:tc>
              <w:tc>
                <w:tcPr>
                  <w:tcW w:w="922" w:type="dxa"/>
                  <w:vMerge w:val="restart"/>
                  <w:vAlign w:val="center"/>
                </w:tcPr>
                <w:p w14:paraId="2CD2D4BE">
                  <w:pPr>
                    <w:pStyle w:val="83"/>
                    <w:rPr>
                      <w:rFonts w:hint="default"/>
                    </w:rPr>
                  </w:pPr>
                  <w:r>
                    <w:t>7120</w:t>
                  </w:r>
                </w:p>
              </w:tc>
              <w:tc>
                <w:tcPr>
                  <w:tcW w:w="922" w:type="dxa"/>
                  <w:noWrap/>
                  <w:vAlign w:val="center"/>
                </w:tcPr>
                <w:p w14:paraId="2F384601">
                  <w:pPr>
                    <w:pStyle w:val="83"/>
                    <w:rPr>
                      <w:rFonts w:hint="default"/>
                    </w:rPr>
                  </w:pPr>
                  <w:r>
                    <w:t>2.13</w:t>
                  </w:r>
                </w:p>
              </w:tc>
              <w:tc>
                <w:tcPr>
                  <w:tcW w:w="1230" w:type="dxa"/>
                  <w:vAlign w:val="center"/>
                </w:tcPr>
                <w:p w14:paraId="1CE26B0F">
                  <w:pPr>
                    <w:pStyle w:val="83"/>
                    <w:rPr>
                      <w:rFonts w:hint="default"/>
                    </w:rPr>
                  </w:pPr>
                  <w:r>
                    <w:t>0.015</w:t>
                  </w:r>
                </w:p>
              </w:tc>
              <w:tc>
                <w:tcPr>
                  <w:tcW w:w="556" w:type="pct"/>
                  <w:noWrap/>
                  <w:vAlign w:val="center"/>
                </w:tcPr>
                <w:p w14:paraId="3531D7FF">
                  <w:pPr>
                    <w:pStyle w:val="83"/>
                    <w:rPr>
                      <w:rFonts w:hint="default"/>
                    </w:rPr>
                  </w:pPr>
                  <w:r>
                    <w:t>60</w:t>
                  </w:r>
                </w:p>
              </w:tc>
              <w:tc>
                <w:tcPr>
                  <w:tcW w:w="387" w:type="pct"/>
                  <w:noWrap/>
                  <w:vAlign w:val="center"/>
                </w:tcPr>
                <w:p w14:paraId="5438184B">
                  <w:pPr>
                    <w:pStyle w:val="83"/>
                    <w:rPr>
                      <w:rFonts w:hint="default"/>
                    </w:rPr>
                  </w:pPr>
                  <w:r>
                    <w:t>达标</w:t>
                  </w:r>
                </w:p>
              </w:tc>
            </w:tr>
            <w:tr w14:paraId="194A9B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9A3DDA6">
                  <w:pPr>
                    <w:pStyle w:val="83"/>
                    <w:rPr>
                      <w:rFonts w:hint="default"/>
                    </w:rPr>
                  </w:pPr>
                </w:p>
              </w:tc>
              <w:tc>
                <w:tcPr>
                  <w:tcW w:w="1036" w:type="pct"/>
                  <w:vMerge w:val="continue"/>
                  <w:vAlign w:val="center"/>
                </w:tcPr>
                <w:p w14:paraId="1E7B3114">
                  <w:pPr>
                    <w:pStyle w:val="83"/>
                    <w:rPr>
                      <w:rFonts w:hint="default"/>
                    </w:rPr>
                  </w:pPr>
                </w:p>
              </w:tc>
              <w:tc>
                <w:tcPr>
                  <w:tcW w:w="777" w:type="pct"/>
                  <w:noWrap/>
                  <w:vAlign w:val="center"/>
                </w:tcPr>
                <w:p w14:paraId="771684D5">
                  <w:pPr>
                    <w:pStyle w:val="83"/>
                    <w:rPr>
                      <w:rFonts w:hint="default"/>
                    </w:rPr>
                  </w:pPr>
                  <w:r>
                    <w:t>颗粒物</w:t>
                  </w:r>
                </w:p>
              </w:tc>
              <w:tc>
                <w:tcPr>
                  <w:tcW w:w="922" w:type="dxa"/>
                  <w:vMerge w:val="continue"/>
                  <w:vAlign w:val="center"/>
                </w:tcPr>
                <w:p w14:paraId="35F2E4E7">
                  <w:pPr>
                    <w:pStyle w:val="83"/>
                    <w:rPr>
                      <w:rFonts w:hint="default"/>
                    </w:rPr>
                  </w:pPr>
                </w:p>
              </w:tc>
              <w:tc>
                <w:tcPr>
                  <w:tcW w:w="922" w:type="dxa"/>
                  <w:noWrap/>
                  <w:vAlign w:val="center"/>
                </w:tcPr>
                <w:p w14:paraId="42443FC5">
                  <w:pPr>
                    <w:pStyle w:val="83"/>
                    <w:rPr>
                      <w:rFonts w:hint="default"/>
                    </w:rPr>
                  </w:pPr>
                  <w:r>
                    <w:t>3.3</w:t>
                  </w:r>
                </w:p>
              </w:tc>
              <w:tc>
                <w:tcPr>
                  <w:tcW w:w="1230" w:type="dxa"/>
                  <w:vAlign w:val="center"/>
                </w:tcPr>
                <w:p w14:paraId="4F4F37D7">
                  <w:pPr>
                    <w:pStyle w:val="83"/>
                    <w:rPr>
                      <w:rFonts w:hint="default"/>
                    </w:rPr>
                  </w:pPr>
                  <w:r>
                    <w:t>0.023</w:t>
                  </w:r>
                </w:p>
              </w:tc>
              <w:tc>
                <w:tcPr>
                  <w:tcW w:w="556" w:type="pct"/>
                  <w:noWrap/>
                  <w:vAlign w:val="center"/>
                </w:tcPr>
                <w:p w14:paraId="2D1E13B1">
                  <w:pPr>
                    <w:pStyle w:val="83"/>
                    <w:rPr>
                      <w:rFonts w:hint="default"/>
                    </w:rPr>
                  </w:pPr>
                  <w:r>
                    <w:t>20</w:t>
                  </w:r>
                </w:p>
              </w:tc>
              <w:tc>
                <w:tcPr>
                  <w:tcW w:w="387" w:type="pct"/>
                  <w:noWrap/>
                  <w:vAlign w:val="center"/>
                </w:tcPr>
                <w:p w14:paraId="75E625F2">
                  <w:pPr>
                    <w:pStyle w:val="83"/>
                    <w:rPr>
                      <w:rFonts w:hint="default"/>
                    </w:rPr>
                  </w:pPr>
                  <w:r>
                    <w:t>达标</w:t>
                  </w:r>
                </w:p>
              </w:tc>
            </w:tr>
            <w:tr w14:paraId="02AA7C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5E2ABEA6">
                  <w:pPr>
                    <w:pStyle w:val="83"/>
                    <w:rPr>
                      <w:rFonts w:hint="default"/>
                    </w:rPr>
                  </w:pPr>
                </w:p>
              </w:tc>
              <w:tc>
                <w:tcPr>
                  <w:tcW w:w="1036" w:type="pct"/>
                  <w:vMerge w:val="restart"/>
                  <w:noWrap/>
                  <w:vAlign w:val="center"/>
                </w:tcPr>
                <w:p w14:paraId="28E0D55A">
                  <w:pPr>
                    <w:pStyle w:val="83"/>
                    <w:rPr>
                      <w:rFonts w:hint="default"/>
                    </w:rPr>
                  </w:pPr>
                  <w:r>
                    <w:t>纺丝12#排气筒</w:t>
                  </w:r>
                </w:p>
                <w:p w14:paraId="54659883">
                  <w:pPr>
                    <w:pStyle w:val="83"/>
                    <w:rPr>
                      <w:rFonts w:hint="default"/>
                    </w:rPr>
                  </w:pPr>
                  <w:r>
                    <w:t>DA107</w:t>
                  </w:r>
                </w:p>
              </w:tc>
              <w:tc>
                <w:tcPr>
                  <w:tcW w:w="777" w:type="pct"/>
                  <w:noWrap/>
                  <w:vAlign w:val="center"/>
                </w:tcPr>
                <w:p w14:paraId="5898C9FB">
                  <w:pPr>
                    <w:pStyle w:val="83"/>
                    <w:rPr>
                      <w:rFonts w:hint="default"/>
                    </w:rPr>
                  </w:pPr>
                  <w:r>
                    <w:t>非甲烷总烃</w:t>
                  </w:r>
                </w:p>
              </w:tc>
              <w:tc>
                <w:tcPr>
                  <w:tcW w:w="922" w:type="dxa"/>
                  <w:vMerge w:val="restart"/>
                  <w:vAlign w:val="center"/>
                </w:tcPr>
                <w:p w14:paraId="78898DB4">
                  <w:pPr>
                    <w:pStyle w:val="83"/>
                    <w:rPr>
                      <w:rFonts w:hint="default"/>
                    </w:rPr>
                  </w:pPr>
                  <w:r>
                    <w:t>7060</w:t>
                  </w:r>
                </w:p>
              </w:tc>
              <w:tc>
                <w:tcPr>
                  <w:tcW w:w="922" w:type="dxa"/>
                  <w:noWrap/>
                  <w:vAlign w:val="center"/>
                </w:tcPr>
                <w:p w14:paraId="500E2554">
                  <w:pPr>
                    <w:pStyle w:val="83"/>
                    <w:rPr>
                      <w:rFonts w:hint="default"/>
                    </w:rPr>
                  </w:pPr>
                  <w:r>
                    <w:t>2.07</w:t>
                  </w:r>
                </w:p>
              </w:tc>
              <w:tc>
                <w:tcPr>
                  <w:tcW w:w="1230" w:type="dxa"/>
                  <w:vAlign w:val="center"/>
                </w:tcPr>
                <w:p w14:paraId="49BAF9EE">
                  <w:pPr>
                    <w:pStyle w:val="83"/>
                    <w:rPr>
                      <w:rFonts w:hint="default"/>
                    </w:rPr>
                  </w:pPr>
                  <w:r>
                    <w:t>0.015</w:t>
                  </w:r>
                </w:p>
              </w:tc>
              <w:tc>
                <w:tcPr>
                  <w:tcW w:w="556" w:type="pct"/>
                  <w:noWrap/>
                  <w:vAlign w:val="center"/>
                </w:tcPr>
                <w:p w14:paraId="25130750">
                  <w:pPr>
                    <w:pStyle w:val="83"/>
                    <w:rPr>
                      <w:rFonts w:hint="default"/>
                    </w:rPr>
                  </w:pPr>
                  <w:r>
                    <w:t>60</w:t>
                  </w:r>
                </w:p>
              </w:tc>
              <w:tc>
                <w:tcPr>
                  <w:tcW w:w="387" w:type="pct"/>
                  <w:noWrap/>
                  <w:vAlign w:val="center"/>
                </w:tcPr>
                <w:p w14:paraId="660C5875">
                  <w:pPr>
                    <w:pStyle w:val="83"/>
                    <w:rPr>
                      <w:rFonts w:hint="default"/>
                    </w:rPr>
                  </w:pPr>
                  <w:r>
                    <w:t>达标</w:t>
                  </w:r>
                </w:p>
              </w:tc>
            </w:tr>
            <w:tr w14:paraId="3C5EB3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6185D805">
                  <w:pPr>
                    <w:pStyle w:val="83"/>
                    <w:rPr>
                      <w:rFonts w:hint="default"/>
                    </w:rPr>
                  </w:pPr>
                </w:p>
              </w:tc>
              <w:tc>
                <w:tcPr>
                  <w:tcW w:w="1036" w:type="pct"/>
                  <w:vMerge w:val="continue"/>
                  <w:vAlign w:val="center"/>
                </w:tcPr>
                <w:p w14:paraId="66BD2390">
                  <w:pPr>
                    <w:pStyle w:val="83"/>
                    <w:rPr>
                      <w:rFonts w:hint="default"/>
                    </w:rPr>
                  </w:pPr>
                </w:p>
              </w:tc>
              <w:tc>
                <w:tcPr>
                  <w:tcW w:w="777" w:type="pct"/>
                  <w:noWrap/>
                  <w:vAlign w:val="center"/>
                </w:tcPr>
                <w:p w14:paraId="010A43CD">
                  <w:pPr>
                    <w:pStyle w:val="83"/>
                    <w:rPr>
                      <w:rFonts w:hint="default"/>
                    </w:rPr>
                  </w:pPr>
                  <w:r>
                    <w:t>颗粒物</w:t>
                  </w:r>
                </w:p>
              </w:tc>
              <w:tc>
                <w:tcPr>
                  <w:tcW w:w="922" w:type="dxa"/>
                  <w:vMerge w:val="continue"/>
                  <w:vAlign w:val="center"/>
                </w:tcPr>
                <w:p w14:paraId="01D7C5F3">
                  <w:pPr>
                    <w:pStyle w:val="83"/>
                    <w:rPr>
                      <w:rFonts w:hint="default"/>
                    </w:rPr>
                  </w:pPr>
                </w:p>
              </w:tc>
              <w:tc>
                <w:tcPr>
                  <w:tcW w:w="922" w:type="dxa"/>
                  <w:noWrap/>
                  <w:vAlign w:val="center"/>
                </w:tcPr>
                <w:p w14:paraId="4DD1B0C7">
                  <w:pPr>
                    <w:pStyle w:val="83"/>
                    <w:rPr>
                      <w:rFonts w:hint="default"/>
                    </w:rPr>
                  </w:pPr>
                  <w:r>
                    <w:t>4.9</w:t>
                  </w:r>
                </w:p>
              </w:tc>
              <w:tc>
                <w:tcPr>
                  <w:tcW w:w="1230" w:type="dxa"/>
                  <w:vAlign w:val="center"/>
                </w:tcPr>
                <w:p w14:paraId="00779BCC">
                  <w:pPr>
                    <w:pStyle w:val="83"/>
                    <w:rPr>
                      <w:rFonts w:hint="default"/>
                    </w:rPr>
                  </w:pPr>
                  <w:r>
                    <w:t>0.035</w:t>
                  </w:r>
                </w:p>
              </w:tc>
              <w:tc>
                <w:tcPr>
                  <w:tcW w:w="556" w:type="pct"/>
                  <w:noWrap/>
                  <w:vAlign w:val="center"/>
                </w:tcPr>
                <w:p w14:paraId="07A08FA5">
                  <w:pPr>
                    <w:pStyle w:val="83"/>
                    <w:rPr>
                      <w:rFonts w:hint="default"/>
                    </w:rPr>
                  </w:pPr>
                  <w:r>
                    <w:t>20</w:t>
                  </w:r>
                </w:p>
              </w:tc>
              <w:tc>
                <w:tcPr>
                  <w:tcW w:w="387" w:type="pct"/>
                  <w:noWrap/>
                  <w:vAlign w:val="center"/>
                </w:tcPr>
                <w:p w14:paraId="35B358B4">
                  <w:pPr>
                    <w:pStyle w:val="83"/>
                    <w:rPr>
                      <w:rFonts w:hint="default"/>
                    </w:rPr>
                  </w:pPr>
                  <w:r>
                    <w:t>达标</w:t>
                  </w:r>
                </w:p>
              </w:tc>
            </w:tr>
            <w:tr w14:paraId="024DA1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813E156">
                  <w:pPr>
                    <w:pStyle w:val="83"/>
                    <w:rPr>
                      <w:rFonts w:hint="default"/>
                    </w:rPr>
                  </w:pPr>
                </w:p>
              </w:tc>
              <w:tc>
                <w:tcPr>
                  <w:tcW w:w="1036" w:type="pct"/>
                  <w:vMerge w:val="restart"/>
                  <w:noWrap/>
                  <w:vAlign w:val="center"/>
                </w:tcPr>
                <w:p w14:paraId="4DB85EF5">
                  <w:pPr>
                    <w:pStyle w:val="83"/>
                    <w:rPr>
                      <w:rFonts w:hint="default"/>
                    </w:rPr>
                  </w:pPr>
                  <w:r>
                    <w:t>纺丝39#排气筒</w:t>
                  </w:r>
                </w:p>
                <w:p w14:paraId="351FB81E">
                  <w:pPr>
                    <w:pStyle w:val="83"/>
                    <w:rPr>
                      <w:rFonts w:hint="default"/>
                    </w:rPr>
                  </w:pPr>
                  <w:r>
                    <w:t>DA186</w:t>
                  </w:r>
                </w:p>
              </w:tc>
              <w:tc>
                <w:tcPr>
                  <w:tcW w:w="777" w:type="pct"/>
                  <w:noWrap/>
                  <w:vAlign w:val="center"/>
                </w:tcPr>
                <w:p w14:paraId="1CE72BF2">
                  <w:pPr>
                    <w:pStyle w:val="83"/>
                    <w:rPr>
                      <w:rFonts w:hint="default"/>
                    </w:rPr>
                  </w:pPr>
                  <w:r>
                    <w:t>非甲烷总烃</w:t>
                  </w:r>
                </w:p>
              </w:tc>
              <w:tc>
                <w:tcPr>
                  <w:tcW w:w="922" w:type="dxa"/>
                  <w:vMerge w:val="restart"/>
                  <w:vAlign w:val="center"/>
                </w:tcPr>
                <w:p w14:paraId="6B8D9C9B">
                  <w:pPr>
                    <w:pStyle w:val="83"/>
                    <w:rPr>
                      <w:rFonts w:hint="default"/>
                    </w:rPr>
                  </w:pPr>
                  <w:r>
                    <w:t>8460</w:t>
                  </w:r>
                </w:p>
              </w:tc>
              <w:tc>
                <w:tcPr>
                  <w:tcW w:w="922" w:type="dxa"/>
                  <w:noWrap/>
                  <w:vAlign w:val="center"/>
                </w:tcPr>
                <w:p w14:paraId="32BDE144">
                  <w:pPr>
                    <w:pStyle w:val="83"/>
                    <w:rPr>
                      <w:rFonts w:hint="default"/>
                    </w:rPr>
                  </w:pPr>
                  <w:r>
                    <w:t>2.37</w:t>
                  </w:r>
                </w:p>
              </w:tc>
              <w:tc>
                <w:tcPr>
                  <w:tcW w:w="1230" w:type="dxa"/>
                  <w:vAlign w:val="center"/>
                </w:tcPr>
                <w:p w14:paraId="3977CA64">
                  <w:pPr>
                    <w:pStyle w:val="83"/>
                    <w:rPr>
                      <w:rFonts w:hint="default"/>
                    </w:rPr>
                  </w:pPr>
                  <w:r>
                    <w:t>0.020</w:t>
                  </w:r>
                </w:p>
              </w:tc>
              <w:tc>
                <w:tcPr>
                  <w:tcW w:w="556" w:type="pct"/>
                  <w:noWrap/>
                  <w:vAlign w:val="center"/>
                </w:tcPr>
                <w:p w14:paraId="439C2C41">
                  <w:pPr>
                    <w:pStyle w:val="83"/>
                    <w:rPr>
                      <w:rFonts w:hint="default"/>
                    </w:rPr>
                  </w:pPr>
                  <w:r>
                    <w:t>60</w:t>
                  </w:r>
                </w:p>
              </w:tc>
              <w:tc>
                <w:tcPr>
                  <w:tcW w:w="387" w:type="pct"/>
                  <w:noWrap/>
                  <w:vAlign w:val="center"/>
                </w:tcPr>
                <w:p w14:paraId="595A8FDB">
                  <w:pPr>
                    <w:pStyle w:val="83"/>
                    <w:rPr>
                      <w:rFonts w:hint="default"/>
                    </w:rPr>
                  </w:pPr>
                  <w:r>
                    <w:t>达标</w:t>
                  </w:r>
                </w:p>
              </w:tc>
            </w:tr>
            <w:tr w14:paraId="30F760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7271C32">
                  <w:pPr>
                    <w:pStyle w:val="83"/>
                    <w:rPr>
                      <w:rFonts w:hint="default"/>
                    </w:rPr>
                  </w:pPr>
                </w:p>
              </w:tc>
              <w:tc>
                <w:tcPr>
                  <w:tcW w:w="1036" w:type="pct"/>
                  <w:vMerge w:val="continue"/>
                  <w:vAlign w:val="center"/>
                </w:tcPr>
                <w:p w14:paraId="3271B323">
                  <w:pPr>
                    <w:pStyle w:val="83"/>
                    <w:rPr>
                      <w:rFonts w:hint="default"/>
                    </w:rPr>
                  </w:pPr>
                </w:p>
              </w:tc>
              <w:tc>
                <w:tcPr>
                  <w:tcW w:w="777" w:type="pct"/>
                  <w:noWrap/>
                  <w:vAlign w:val="center"/>
                </w:tcPr>
                <w:p w14:paraId="4EF211C4">
                  <w:pPr>
                    <w:pStyle w:val="83"/>
                    <w:rPr>
                      <w:rFonts w:hint="default"/>
                    </w:rPr>
                  </w:pPr>
                  <w:r>
                    <w:t>颗粒物</w:t>
                  </w:r>
                </w:p>
              </w:tc>
              <w:tc>
                <w:tcPr>
                  <w:tcW w:w="922" w:type="dxa"/>
                  <w:vMerge w:val="continue"/>
                  <w:vAlign w:val="center"/>
                </w:tcPr>
                <w:p w14:paraId="37A0740E">
                  <w:pPr>
                    <w:pStyle w:val="83"/>
                    <w:rPr>
                      <w:rFonts w:hint="default"/>
                    </w:rPr>
                  </w:pPr>
                </w:p>
              </w:tc>
              <w:tc>
                <w:tcPr>
                  <w:tcW w:w="922" w:type="dxa"/>
                  <w:noWrap/>
                  <w:vAlign w:val="center"/>
                </w:tcPr>
                <w:p w14:paraId="21910D7C">
                  <w:pPr>
                    <w:pStyle w:val="83"/>
                    <w:rPr>
                      <w:rFonts w:hint="default"/>
                    </w:rPr>
                  </w:pPr>
                  <w:r>
                    <w:t>3.3</w:t>
                  </w:r>
                </w:p>
              </w:tc>
              <w:tc>
                <w:tcPr>
                  <w:tcW w:w="1230" w:type="dxa"/>
                  <w:vAlign w:val="center"/>
                </w:tcPr>
                <w:p w14:paraId="54BF2410">
                  <w:pPr>
                    <w:pStyle w:val="83"/>
                    <w:rPr>
                      <w:rFonts w:hint="default"/>
                    </w:rPr>
                  </w:pPr>
                  <w:r>
                    <w:t>0.028</w:t>
                  </w:r>
                </w:p>
              </w:tc>
              <w:tc>
                <w:tcPr>
                  <w:tcW w:w="556" w:type="pct"/>
                  <w:noWrap/>
                  <w:vAlign w:val="center"/>
                </w:tcPr>
                <w:p w14:paraId="43D767BB">
                  <w:pPr>
                    <w:pStyle w:val="83"/>
                    <w:rPr>
                      <w:rFonts w:hint="default"/>
                    </w:rPr>
                  </w:pPr>
                  <w:r>
                    <w:t>20</w:t>
                  </w:r>
                </w:p>
              </w:tc>
              <w:tc>
                <w:tcPr>
                  <w:tcW w:w="387" w:type="pct"/>
                  <w:noWrap/>
                  <w:vAlign w:val="center"/>
                </w:tcPr>
                <w:p w14:paraId="39B35CAE">
                  <w:pPr>
                    <w:pStyle w:val="83"/>
                    <w:rPr>
                      <w:rFonts w:hint="default"/>
                    </w:rPr>
                  </w:pPr>
                  <w:r>
                    <w:t>达标</w:t>
                  </w:r>
                </w:p>
              </w:tc>
            </w:tr>
            <w:tr w14:paraId="04CB9E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D454C35">
                  <w:pPr>
                    <w:pStyle w:val="83"/>
                    <w:rPr>
                      <w:rFonts w:hint="default"/>
                    </w:rPr>
                  </w:pPr>
                </w:p>
              </w:tc>
              <w:tc>
                <w:tcPr>
                  <w:tcW w:w="1036" w:type="pct"/>
                  <w:vMerge w:val="restart"/>
                  <w:vAlign w:val="center"/>
                </w:tcPr>
                <w:p w14:paraId="068941EF">
                  <w:pPr>
                    <w:pStyle w:val="83"/>
                    <w:rPr>
                      <w:rFonts w:hint="default"/>
                    </w:rPr>
                  </w:pPr>
                  <w:r>
                    <w:t>纺丝42#排气筒</w:t>
                  </w:r>
                </w:p>
                <w:p w14:paraId="5AB31589">
                  <w:pPr>
                    <w:pStyle w:val="83"/>
                    <w:rPr>
                      <w:rFonts w:hint="default"/>
                    </w:rPr>
                  </w:pPr>
                  <w:r>
                    <w:t>DA191</w:t>
                  </w:r>
                </w:p>
              </w:tc>
              <w:tc>
                <w:tcPr>
                  <w:tcW w:w="777" w:type="pct"/>
                  <w:noWrap/>
                  <w:vAlign w:val="center"/>
                </w:tcPr>
                <w:p w14:paraId="234E0CF3">
                  <w:pPr>
                    <w:pStyle w:val="83"/>
                    <w:rPr>
                      <w:rFonts w:hint="default"/>
                    </w:rPr>
                  </w:pPr>
                  <w:r>
                    <w:t>非甲烷总烃</w:t>
                  </w:r>
                </w:p>
              </w:tc>
              <w:tc>
                <w:tcPr>
                  <w:tcW w:w="922" w:type="dxa"/>
                  <w:vMerge w:val="restart"/>
                  <w:vAlign w:val="center"/>
                </w:tcPr>
                <w:p w14:paraId="04539A80">
                  <w:pPr>
                    <w:pStyle w:val="83"/>
                    <w:rPr>
                      <w:rFonts w:hint="default"/>
                    </w:rPr>
                  </w:pPr>
                  <w:r>
                    <w:t>7170</w:t>
                  </w:r>
                </w:p>
              </w:tc>
              <w:tc>
                <w:tcPr>
                  <w:tcW w:w="922" w:type="dxa"/>
                  <w:noWrap/>
                  <w:vAlign w:val="center"/>
                </w:tcPr>
                <w:p w14:paraId="165ADA46">
                  <w:pPr>
                    <w:pStyle w:val="83"/>
                    <w:rPr>
                      <w:rFonts w:hint="default"/>
                    </w:rPr>
                  </w:pPr>
                  <w:r>
                    <w:t>2.33</w:t>
                  </w:r>
                </w:p>
              </w:tc>
              <w:tc>
                <w:tcPr>
                  <w:tcW w:w="1230" w:type="dxa"/>
                  <w:vAlign w:val="center"/>
                </w:tcPr>
                <w:p w14:paraId="367464A1">
                  <w:pPr>
                    <w:pStyle w:val="83"/>
                    <w:rPr>
                      <w:rFonts w:hint="default"/>
                    </w:rPr>
                  </w:pPr>
                  <w:r>
                    <w:t>0.017</w:t>
                  </w:r>
                </w:p>
              </w:tc>
              <w:tc>
                <w:tcPr>
                  <w:tcW w:w="556" w:type="pct"/>
                  <w:noWrap/>
                  <w:vAlign w:val="center"/>
                </w:tcPr>
                <w:p w14:paraId="2A454CFB">
                  <w:pPr>
                    <w:pStyle w:val="83"/>
                    <w:rPr>
                      <w:rFonts w:hint="default"/>
                    </w:rPr>
                  </w:pPr>
                  <w:r>
                    <w:t>60</w:t>
                  </w:r>
                </w:p>
              </w:tc>
              <w:tc>
                <w:tcPr>
                  <w:tcW w:w="387" w:type="pct"/>
                  <w:noWrap/>
                  <w:vAlign w:val="center"/>
                </w:tcPr>
                <w:p w14:paraId="3FA70084">
                  <w:pPr>
                    <w:pStyle w:val="83"/>
                    <w:rPr>
                      <w:rFonts w:hint="default"/>
                    </w:rPr>
                  </w:pPr>
                  <w:r>
                    <w:t>达标</w:t>
                  </w:r>
                </w:p>
              </w:tc>
            </w:tr>
            <w:tr w14:paraId="523DE9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297BF98">
                  <w:pPr>
                    <w:pStyle w:val="83"/>
                    <w:rPr>
                      <w:rFonts w:hint="default"/>
                    </w:rPr>
                  </w:pPr>
                </w:p>
              </w:tc>
              <w:tc>
                <w:tcPr>
                  <w:tcW w:w="1036" w:type="pct"/>
                  <w:vMerge w:val="continue"/>
                  <w:vAlign w:val="center"/>
                </w:tcPr>
                <w:p w14:paraId="629DE8A2">
                  <w:pPr>
                    <w:pStyle w:val="83"/>
                    <w:rPr>
                      <w:rFonts w:hint="default"/>
                    </w:rPr>
                  </w:pPr>
                </w:p>
              </w:tc>
              <w:tc>
                <w:tcPr>
                  <w:tcW w:w="777" w:type="pct"/>
                  <w:noWrap/>
                  <w:vAlign w:val="center"/>
                </w:tcPr>
                <w:p w14:paraId="5EF27474">
                  <w:pPr>
                    <w:pStyle w:val="83"/>
                    <w:rPr>
                      <w:rFonts w:hint="default"/>
                    </w:rPr>
                  </w:pPr>
                  <w:r>
                    <w:t>颗粒物</w:t>
                  </w:r>
                </w:p>
              </w:tc>
              <w:tc>
                <w:tcPr>
                  <w:tcW w:w="922" w:type="dxa"/>
                  <w:vMerge w:val="continue"/>
                  <w:vAlign w:val="center"/>
                </w:tcPr>
                <w:p w14:paraId="166A6BAC">
                  <w:pPr>
                    <w:pStyle w:val="83"/>
                    <w:rPr>
                      <w:rFonts w:hint="default"/>
                    </w:rPr>
                  </w:pPr>
                </w:p>
              </w:tc>
              <w:tc>
                <w:tcPr>
                  <w:tcW w:w="922" w:type="dxa"/>
                  <w:noWrap/>
                  <w:vAlign w:val="center"/>
                </w:tcPr>
                <w:p w14:paraId="0BB15DAF">
                  <w:pPr>
                    <w:pStyle w:val="83"/>
                    <w:rPr>
                      <w:rFonts w:hint="default"/>
                    </w:rPr>
                  </w:pPr>
                  <w:r>
                    <w:t>5.8</w:t>
                  </w:r>
                </w:p>
              </w:tc>
              <w:tc>
                <w:tcPr>
                  <w:tcW w:w="1230" w:type="dxa"/>
                  <w:vAlign w:val="center"/>
                </w:tcPr>
                <w:p w14:paraId="2E63BEE5">
                  <w:pPr>
                    <w:pStyle w:val="83"/>
                    <w:rPr>
                      <w:rFonts w:hint="default"/>
                    </w:rPr>
                  </w:pPr>
                  <w:r>
                    <w:t>0.042</w:t>
                  </w:r>
                </w:p>
              </w:tc>
              <w:tc>
                <w:tcPr>
                  <w:tcW w:w="556" w:type="pct"/>
                  <w:noWrap/>
                  <w:vAlign w:val="center"/>
                </w:tcPr>
                <w:p w14:paraId="439F1322">
                  <w:pPr>
                    <w:pStyle w:val="83"/>
                    <w:rPr>
                      <w:rFonts w:hint="default"/>
                    </w:rPr>
                  </w:pPr>
                  <w:r>
                    <w:t>20</w:t>
                  </w:r>
                </w:p>
              </w:tc>
              <w:tc>
                <w:tcPr>
                  <w:tcW w:w="387" w:type="pct"/>
                  <w:noWrap/>
                  <w:vAlign w:val="center"/>
                </w:tcPr>
                <w:p w14:paraId="48ADE52E">
                  <w:pPr>
                    <w:pStyle w:val="83"/>
                    <w:rPr>
                      <w:rFonts w:hint="default"/>
                    </w:rPr>
                  </w:pPr>
                  <w:r>
                    <w:t>达标</w:t>
                  </w:r>
                </w:p>
              </w:tc>
            </w:tr>
            <w:tr w14:paraId="19C868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2C3E6FDB">
                  <w:pPr>
                    <w:pStyle w:val="83"/>
                    <w:rPr>
                      <w:rFonts w:hint="default"/>
                    </w:rPr>
                  </w:pPr>
                </w:p>
              </w:tc>
              <w:tc>
                <w:tcPr>
                  <w:tcW w:w="1036" w:type="pct"/>
                  <w:vMerge w:val="restart"/>
                  <w:vAlign w:val="center"/>
                </w:tcPr>
                <w:p w14:paraId="7255E1FF">
                  <w:pPr>
                    <w:pStyle w:val="83"/>
                    <w:rPr>
                      <w:rFonts w:hint="default"/>
                    </w:rPr>
                  </w:pPr>
                  <w:r>
                    <w:t>纺丝44#排气筒</w:t>
                  </w:r>
                </w:p>
                <w:p w14:paraId="63CBF1BD">
                  <w:pPr>
                    <w:pStyle w:val="83"/>
                    <w:rPr>
                      <w:rFonts w:hint="default"/>
                    </w:rPr>
                  </w:pPr>
                  <w:r>
                    <w:t>DA196</w:t>
                  </w:r>
                </w:p>
              </w:tc>
              <w:tc>
                <w:tcPr>
                  <w:tcW w:w="777" w:type="pct"/>
                  <w:noWrap/>
                  <w:vAlign w:val="center"/>
                </w:tcPr>
                <w:p w14:paraId="2205D47A">
                  <w:pPr>
                    <w:pStyle w:val="83"/>
                    <w:rPr>
                      <w:rFonts w:hint="default"/>
                    </w:rPr>
                  </w:pPr>
                  <w:r>
                    <w:t>非甲烷总烃</w:t>
                  </w:r>
                </w:p>
              </w:tc>
              <w:tc>
                <w:tcPr>
                  <w:tcW w:w="922" w:type="dxa"/>
                  <w:vMerge w:val="restart"/>
                  <w:vAlign w:val="center"/>
                </w:tcPr>
                <w:p w14:paraId="54B5069D">
                  <w:pPr>
                    <w:pStyle w:val="83"/>
                    <w:rPr>
                      <w:rFonts w:hint="default"/>
                    </w:rPr>
                  </w:pPr>
                  <w:r>
                    <w:t>7550</w:t>
                  </w:r>
                </w:p>
              </w:tc>
              <w:tc>
                <w:tcPr>
                  <w:tcW w:w="922" w:type="dxa"/>
                  <w:noWrap/>
                  <w:vAlign w:val="center"/>
                </w:tcPr>
                <w:p w14:paraId="3FCB9B03">
                  <w:pPr>
                    <w:pStyle w:val="83"/>
                    <w:rPr>
                      <w:rFonts w:hint="default"/>
                    </w:rPr>
                  </w:pPr>
                  <w:r>
                    <w:t>3.17</w:t>
                  </w:r>
                </w:p>
              </w:tc>
              <w:tc>
                <w:tcPr>
                  <w:tcW w:w="1230" w:type="dxa"/>
                  <w:vAlign w:val="center"/>
                </w:tcPr>
                <w:p w14:paraId="0106A41A">
                  <w:pPr>
                    <w:pStyle w:val="83"/>
                    <w:rPr>
                      <w:rFonts w:hint="default"/>
                    </w:rPr>
                  </w:pPr>
                  <w:r>
                    <w:t>0.024</w:t>
                  </w:r>
                </w:p>
              </w:tc>
              <w:tc>
                <w:tcPr>
                  <w:tcW w:w="556" w:type="pct"/>
                  <w:noWrap/>
                  <w:vAlign w:val="center"/>
                </w:tcPr>
                <w:p w14:paraId="76D21D09">
                  <w:pPr>
                    <w:pStyle w:val="83"/>
                    <w:rPr>
                      <w:rFonts w:hint="default"/>
                    </w:rPr>
                  </w:pPr>
                  <w:r>
                    <w:t>60</w:t>
                  </w:r>
                </w:p>
              </w:tc>
              <w:tc>
                <w:tcPr>
                  <w:tcW w:w="387" w:type="pct"/>
                  <w:noWrap/>
                  <w:vAlign w:val="center"/>
                </w:tcPr>
                <w:p w14:paraId="75B0C6D2">
                  <w:pPr>
                    <w:pStyle w:val="83"/>
                    <w:rPr>
                      <w:rFonts w:hint="default"/>
                    </w:rPr>
                  </w:pPr>
                  <w:r>
                    <w:t>达标</w:t>
                  </w:r>
                </w:p>
              </w:tc>
            </w:tr>
            <w:tr w14:paraId="2993A5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86CBD62">
                  <w:pPr>
                    <w:pStyle w:val="83"/>
                    <w:rPr>
                      <w:rFonts w:hint="default"/>
                    </w:rPr>
                  </w:pPr>
                </w:p>
              </w:tc>
              <w:tc>
                <w:tcPr>
                  <w:tcW w:w="1036" w:type="pct"/>
                  <w:vMerge w:val="continue"/>
                  <w:vAlign w:val="center"/>
                </w:tcPr>
                <w:p w14:paraId="3EAA282D">
                  <w:pPr>
                    <w:pStyle w:val="83"/>
                    <w:rPr>
                      <w:rFonts w:hint="default"/>
                    </w:rPr>
                  </w:pPr>
                </w:p>
              </w:tc>
              <w:tc>
                <w:tcPr>
                  <w:tcW w:w="777" w:type="pct"/>
                  <w:noWrap/>
                  <w:vAlign w:val="center"/>
                </w:tcPr>
                <w:p w14:paraId="20D41C71">
                  <w:pPr>
                    <w:pStyle w:val="83"/>
                    <w:rPr>
                      <w:rFonts w:hint="default"/>
                    </w:rPr>
                  </w:pPr>
                  <w:r>
                    <w:t>颗粒物</w:t>
                  </w:r>
                </w:p>
              </w:tc>
              <w:tc>
                <w:tcPr>
                  <w:tcW w:w="922" w:type="dxa"/>
                  <w:vMerge w:val="continue"/>
                  <w:vAlign w:val="center"/>
                </w:tcPr>
                <w:p w14:paraId="0453E994">
                  <w:pPr>
                    <w:pStyle w:val="83"/>
                    <w:rPr>
                      <w:rFonts w:hint="default"/>
                    </w:rPr>
                  </w:pPr>
                </w:p>
              </w:tc>
              <w:tc>
                <w:tcPr>
                  <w:tcW w:w="922" w:type="dxa"/>
                  <w:noWrap/>
                  <w:vAlign w:val="center"/>
                </w:tcPr>
                <w:p w14:paraId="22349408">
                  <w:pPr>
                    <w:pStyle w:val="83"/>
                    <w:rPr>
                      <w:rFonts w:hint="default"/>
                    </w:rPr>
                  </w:pPr>
                  <w:r>
                    <w:t>8.3</w:t>
                  </w:r>
                </w:p>
              </w:tc>
              <w:tc>
                <w:tcPr>
                  <w:tcW w:w="1230" w:type="dxa"/>
                  <w:vAlign w:val="center"/>
                </w:tcPr>
                <w:p w14:paraId="561FB266">
                  <w:pPr>
                    <w:pStyle w:val="83"/>
                    <w:rPr>
                      <w:rFonts w:hint="default"/>
                    </w:rPr>
                  </w:pPr>
                  <w:r>
                    <w:t>0.063</w:t>
                  </w:r>
                </w:p>
              </w:tc>
              <w:tc>
                <w:tcPr>
                  <w:tcW w:w="556" w:type="pct"/>
                  <w:noWrap/>
                  <w:vAlign w:val="center"/>
                </w:tcPr>
                <w:p w14:paraId="190BD570">
                  <w:pPr>
                    <w:pStyle w:val="83"/>
                    <w:rPr>
                      <w:rFonts w:hint="default"/>
                    </w:rPr>
                  </w:pPr>
                  <w:r>
                    <w:t>20</w:t>
                  </w:r>
                </w:p>
              </w:tc>
              <w:tc>
                <w:tcPr>
                  <w:tcW w:w="387" w:type="pct"/>
                  <w:noWrap/>
                  <w:vAlign w:val="center"/>
                </w:tcPr>
                <w:p w14:paraId="7607F01E">
                  <w:pPr>
                    <w:pStyle w:val="83"/>
                    <w:rPr>
                      <w:rFonts w:hint="default"/>
                    </w:rPr>
                  </w:pPr>
                  <w:r>
                    <w:t>达标</w:t>
                  </w:r>
                </w:p>
              </w:tc>
            </w:tr>
            <w:tr w14:paraId="1ADE89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2035DB44">
                  <w:pPr>
                    <w:pStyle w:val="83"/>
                    <w:rPr>
                      <w:rFonts w:hint="default"/>
                    </w:rPr>
                  </w:pPr>
                </w:p>
              </w:tc>
              <w:tc>
                <w:tcPr>
                  <w:tcW w:w="1036" w:type="pct"/>
                  <w:vMerge w:val="restart"/>
                  <w:vAlign w:val="center"/>
                </w:tcPr>
                <w:p w14:paraId="4D298097">
                  <w:pPr>
                    <w:pStyle w:val="83"/>
                    <w:rPr>
                      <w:rFonts w:hint="default"/>
                    </w:rPr>
                  </w:pPr>
                  <w:r>
                    <w:t>纺丝23#排气筒</w:t>
                  </w:r>
                </w:p>
                <w:p w14:paraId="4C37063C">
                  <w:pPr>
                    <w:pStyle w:val="83"/>
                    <w:rPr>
                      <w:rFonts w:hint="default"/>
                    </w:rPr>
                  </w:pPr>
                  <w:r>
                    <w:t>DA201</w:t>
                  </w:r>
                </w:p>
              </w:tc>
              <w:tc>
                <w:tcPr>
                  <w:tcW w:w="777" w:type="pct"/>
                  <w:noWrap/>
                  <w:vAlign w:val="center"/>
                </w:tcPr>
                <w:p w14:paraId="75F6FC6B">
                  <w:pPr>
                    <w:pStyle w:val="83"/>
                    <w:rPr>
                      <w:rFonts w:hint="default"/>
                    </w:rPr>
                  </w:pPr>
                  <w:r>
                    <w:t>非甲烷总烃</w:t>
                  </w:r>
                </w:p>
              </w:tc>
              <w:tc>
                <w:tcPr>
                  <w:tcW w:w="922" w:type="dxa"/>
                  <w:vMerge w:val="restart"/>
                  <w:vAlign w:val="center"/>
                </w:tcPr>
                <w:p w14:paraId="1F3E7FCC">
                  <w:pPr>
                    <w:pStyle w:val="83"/>
                    <w:rPr>
                      <w:rFonts w:hint="default"/>
                    </w:rPr>
                  </w:pPr>
                  <w:r>
                    <w:t>5760</w:t>
                  </w:r>
                </w:p>
              </w:tc>
              <w:tc>
                <w:tcPr>
                  <w:tcW w:w="922" w:type="dxa"/>
                  <w:noWrap/>
                  <w:vAlign w:val="center"/>
                </w:tcPr>
                <w:p w14:paraId="3BB97061">
                  <w:pPr>
                    <w:pStyle w:val="83"/>
                    <w:rPr>
                      <w:rFonts w:hint="default"/>
                    </w:rPr>
                  </w:pPr>
                  <w:r>
                    <w:t>3.26</w:t>
                  </w:r>
                </w:p>
              </w:tc>
              <w:tc>
                <w:tcPr>
                  <w:tcW w:w="1230" w:type="dxa"/>
                  <w:vAlign w:val="center"/>
                </w:tcPr>
                <w:p w14:paraId="541906B7">
                  <w:pPr>
                    <w:pStyle w:val="83"/>
                    <w:rPr>
                      <w:rFonts w:hint="default"/>
                    </w:rPr>
                  </w:pPr>
                  <w:r>
                    <w:t>0.019</w:t>
                  </w:r>
                </w:p>
              </w:tc>
              <w:tc>
                <w:tcPr>
                  <w:tcW w:w="556" w:type="pct"/>
                  <w:noWrap/>
                  <w:vAlign w:val="center"/>
                </w:tcPr>
                <w:p w14:paraId="5F236D46">
                  <w:pPr>
                    <w:pStyle w:val="83"/>
                    <w:rPr>
                      <w:rFonts w:hint="default"/>
                    </w:rPr>
                  </w:pPr>
                  <w:r>
                    <w:t>60</w:t>
                  </w:r>
                </w:p>
              </w:tc>
              <w:tc>
                <w:tcPr>
                  <w:tcW w:w="387" w:type="pct"/>
                  <w:noWrap/>
                  <w:vAlign w:val="center"/>
                </w:tcPr>
                <w:p w14:paraId="6D240B9D">
                  <w:pPr>
                    <w:pStyle w:val="83"/>
                    <w:rPr>
                      <w:rFonts w:hint="default"/>
                    </w:rPr>
                  </w:pPr>
                  <w:r>
                    <w:t>达标</w:t>
                  </w:r>
                </w:p>
              </w:tc>
            </w:tr>
            <w:tr w14:paraId="35FD23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664F1E37">
                  <w:pPr>
                    <w:pStyle w:val="83"/>
                    <w:rPr>
                      <w:rFonts w:hint="default"/>
                    </w:rPr>
                  </w:pPr>
                </w:p>
              </w:tc>
              <w:tc>
                <w:tcPr>
                  <w:tcW w:w="1036" w:type="pct"/>
                  <w:vMerge w:val="continue"/>
                  <w:vAlign w:val="center"/>
                </w:tcPr>
                <w:p w14:paraId="04470ED5">
                  <w:pPr>
                    <w:pStyle w:val="83"/>
                    <w:rPr>
                      <w:rFonts w:hint="default"/>
                    </w:rPr>
                  </w:pPr>
                </w:p>
              </w:tc>
              <w:tc>
                <w:tcPr>
                  <w:tcW w:w="777" w:type="pct"/>
                  <w:noWrap/>
                  <w:vAlign w:val="center"/>
                </w:tcPr>
                <w:p w14:paraId="3510B59B">
                  <w:pPr>
                    <w:pStyle w:val="83"/>
                    <w:rPr>
                      <w:rFonts w:hint="default"/>
                    </w:rPr>
                  </w:pPr>
                  <w:r>
                    <w:t>颗粒物</w:t>
                  </w:r>
                </w:p>
              </w:tc>
              <w:tc>
                <w:tcPr>
                  <w:tcW w:w="922" w:type="dxa"/>
                  <w:vMerge w:val="continue"/>
                  <w:vAlign w:val="center"/>
                </w:tcPr>
                <w:p w14:paraId="5D13C5F0">
                  <w:pPr>
                    <w:pStyle w:val="83"/>
                    <w:rPr>
                      <w:rFonts w:hint="default"/>
                    </w:rPr>
                  </w:pPr>
                </w:p>
              </w:tc>
              <w:tc>
                <w:tcPr>
                  <w:tcW w:w="922" w:type="dxa"/>
                  <w:noWrap/>
                  <w:vAlign w:val="center"/>
                </w:tcPr>
                <w:p w14:paraId="5A9D5EBA">
                  <w:pPr>
                    <w:pStyle w:val="83"/>
                    <w:rPr>
                      <w:rFonts w:hint="default"/>
                    </w:rPr>
                  </w:pPr>
                  <w:r>
                    <w:t>6.3</w:t>
                  </w:r>
                </w:p>
              </w:tc>
              <w:tc>
                <w:tcPr>
                  <w:tcW w:w="1230" w:type="dxa"/>
                  <w:vAlign w:val="center"/>
                </w:tcPr>
                <w:p w14:paraId="6247FDE7">
                  <w:pPr>
                    <w:pStyle w:val="83"/>
                    <w:rPr>
                      <w:rFonts w:hint="default"/>
                    </w:rPr>
                  </w:pPr>
                  <w:r>
                    <w:t>0.036</w:t>
                  </w:r>
                </w:p>
              </w:tc>
              <w:tc>
                <w:tcPr>
                  <w:tcW w:w="556" w:type="pct"/>
                  <w:noWrap/>
                  <w:vAlign w:val="center"/>
                </w:tcPr>
                <w:p w14:paraId="7EE47C2D">
                  <w:pPr>
                    <w:pStyle w:val="83"/>
                    <w:rPr>
                      <w:rFonts w:hint="default"/>
                    </w:rPr>
                  </w:pPr>
                  <w:r>
                    <w:t>20</w:t>
                  </w:r>
                </w:p>
              </w:tc>
              <w:tc>
                <w:tcPr>
                  <w:tcW w:w="387" w:type="pct"/>
                  <w:noWrap/>
                  <w:vAlign w:val="center"/>
                </w:tcPr>
                <w:p w14:paraId="1E7CD4D1">
                  <w:pPr>
                    <w:pStyle w:val="83"/>
                    <w:rPr>
                      <w:rFonts w:hint="default"/>
                    </w:rPr>
                  </w:pPr>
                  <w:r>
                    <w:t>达标</w:t>
                  </w:r>
                </w:p>
              </w:tc>
            </w:tr>
            <w:tr w14:paraId="251443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4B3B599A">
                  <w:pPr>
                    <w:pStyle w:val="83"/>
                    <w:rPr>
                      <w:rFonts w:hint="default"/>
                    </w:rPr>
                  </w:pPr>
                </w:p>
              </w:tc>
              <w:tc>
                <w:tcPr>
                  <w:tcW w:w="1036" w:type="pct"/>
                  <w:vMerge w:val="restart"/>
                  <w:vAlign w:val="center"/>
                </w:tcPr>
                <w:p w14:paraId="3EE94422">
                  <w:pPr>
                    <w:pStyle w:val="83"/>
                    <w:rPr>
                      <w:rFonts w:hint="default"/>
                    </w:rPr>
                  </w:pPr>
                  <w:r>
                    <w:t>纺丝49#排气筒</w:t>
                  </w:r>
                </w:p>
                <w:p w14:paraId="15E7A85E">
                  <w:pPr>
                    <w:pStyle w:val="83"/>
                    <w:rPr>
                      <w:rFonts w:hint="default"/>
                    </w:rPr>
                  </w:pPr>
                  <w:r>
                    <w:t>DA206</w:t>
                  </w:r>
                </w:p>
              </w:tc>
              <w:tc>
                <w:tcPr>
                  <w:tcW w:w="777" w:type="pct"/>
                  <w:noWrap/>
                  <w:vAlign w:val="center"/>
                </w:tcPr>
                <w:p w14:paraId="7332D3B8">
                  <w:pPr>
                    <w:pStyle w:val="83"/>
                    <w:rPr>
                      <w:rFonts w:hint="default"/>
                    </w:rPr>
                  </w:pPr>
                  <w:r>
                    <w:t>非甲烷总烃</w:t>
                  </w:r>
                </w:p>
              </w:tc>
              <w:tc>
                <w:tcPr>
                  <w:tcW w:w="922" w:type="dxa"/>
                  <w:vMerge w:val="restart"/>
                  <w:vAlign w:val="center"/>
                </w:tcPr>
                <w:p w14:paraId="7FF1352C">
                  <w:pPr>
                    <w:pStyle w:val="83"/>
                    <w:rPr>
                      <w:rFonts w:hint="default"/>
                    </w:rPr>
                  </w:pPr>
                  <w:r>
                    <w:t>4840</w:t>
                  </w:r>
                </w:p>
              </w:tc>
              <w:tc>
                <w:tcPr>
                  <w:tcW w:w="922" w:type="dxa"/>
                  <w:noWrap/>
                  <w:vAlign w:val="center"/>
                </w:tcPr>
                <w:p w14:paraId="6391D896">
                  <w:pPr>
                    <w:pStyle w:val="83"/>
                    <w:rPr>
                      <w:rFonts w:hint="default"/>
                    </w:rPr>
                  </w:pPr>
                  <w:r>
                    <w:t>3.03</w:t>
                  </w:r>
                </w:p>
              </w:tc>
              <w:tc>
                <w:tcPr>
                  <w:tcW w:w="1230" w:type="dxa"/>
                  <w:vAlign w:val="center"/>
                </w:tcPr>
                <w:p w14:paraId="6D2ED937">
                  <w:pPr>
                    <w:pStyle w:val="83"/>
                    <w:rPr>
                      <w:rFonts w:hint="default"/>
                    </w:rPr>
                  </w:pPr>
                  <w:r>
                    <w:t>0.015</w:t>
                  </w:r>
                </w:p>
              </w:tc>
              <w:tc>
                <w:tcPr>
                  <w:tcW w:w="556" w:type="pct"/>
                  <w:noWrap/>
                  <w:vAlign w:val="center"/>
                </w:tcPr>
                <w:p w14:paraId="3950144F">
                  <w:pPr>
                    <w:pStyle w:val="83"/>
                    <w:rPr>
                      <w:rFonts w:hint="default"/>
                    </w:rPr>
                  </w:pPr>
                  <w:r>
                    <w:t>60</w:t>
                  </w:r>
                </w:p>
              </w:tc>
              <w:tc>
                <w:tcPr>
                  <w:tcW w:w="387" w:type="pct"/>
                  <w:noWrap/>
                  <w:vAlign w:val="center"/>
                </w:tcPr>
                <w:p w14:paraId="5027E1F5">
                  <w:pPr>
                    <w:pStyle w:val="83"/>
                    <w:rPr>
                      <w:rFonts w:hint="default"/>
                    </w:rPr>
                  </w:pPr>
                  <w:r>
                    <w:t>达标</w:t>
                  </w:r>
                </w:p>
              </w:tc>
            </w:tr>
            <w:tr w14:paraId="575E76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57CDA58">
                  <w:pPr>
                    <w:pStyle w:val="83"/>
                    <w:rPr>
                      <w:rFonts w:hint="default"/>
                    </w:rPr>
                  </w:pPr>
                </w:p>
              </w:tc>
              <w:tc>
                <w:tcPr>
                  <w:tcW w:w="1036" w:type="pct"/>
                  <w:vMerge w:val="continue"/>
                  <w:vAlign w:val="center"/>
                </w:tcPr>
                <w:p w14:paraId="71D12002">
                  <w:pPr>
                    <w:pStyle w:val="83"/>
                    <w:rPr>
                      <w:rFonts w:hint="default"/>
                    </w:rPr>
                  </w:pPr>
                </w:p>
              </w:tc>
              <w:tc>
                <w:tcPr>
                  <w:tcW w:w="777" w:type="pct"/>
                  <w:noWrap/>
                  <w:vAlign w:val="center"/>
                </w:tcPr>
                <w:p w14:paraId="7EC5D5D9">
                  <w:pPr>
                    <w:pStyle w:val="83"/>
                    <w:rPr>
                      <w:rFonts w:hint="default"/>
                    </w:rPr>
                  </w:pPr>
                  <w:r>
                    <w:t>颗粒物</w:t>
                  </w:r>
                </w:p>
              </w:tc>
              <w:tc>
                <w:tcPr>
                  <w:tcW w:w="922" w:type="dxa"/>
                  <w:vMerge w:val="continue"/>
                  <w:vAlign w:val="center"/>
                </w:tcPr>
                <w:p w14:paraId="06A9E00B">
                  <w:pPr>
                    <w:pStyle w:val="83"/>
                    <w:rPr>
                      <w:rFonts w:hint="default"/>
                    </w:rPr>
                  </w:pPr>
                </w:p>
              </w:tc>
              <w:tc>
                <w:tcPr>
                  <w:tcW w:w="922" w:type="dxa"/>
                  <w:noWrap/>
                  <w:vAlign w:val="center"/>
                </w:tcPr>
                <w:p w14:paraId="3E04C35D">
                  <w:pPr>
                    <w:pStyle w:val="83"/>
                    <w:rPr>
                      <w:rFonts w:hint="default"/>
                    </w:rPr>
                  </w:pPr>
                  <w:r>
                    <w:t>2.3</w:t>
                  </w:r>
                </w:p>
              </w:tc>
              <w:tc>
                <w:tcPr>
                  <w:tcW w:w="1230" w:type="dxa"/>
                  <w:vAlign w:val="center"/>
                </w:tcPr>
                <w:p w14:paraId="57C7978F">
                  <w:pPr>
                    <w:pStyle w:val="83"/>
                    <w:rPr>
                      <w:rFonts w:hint="default"/>
                    </w:rPr>
                  </w:pPr>
                  <w:r>
                    <w:t>0.011</w:t>
                  </w:r>
                </w:p>
              </w:tc>
              <w:tc>
                <w:tcPr>
                  <w:tcW w:w="556" w:type="pct"/>
                  <w:noWrap/>
                  <w:vAlign w:val="center"/>
                </w:tcPr>
                <w:p w14:paraId="1F0E1B73">
                  <w:pPr>
                    <w:pStyle w:val="83"/>
                    <w:rPr>
                      <w:rFonts w:hint="default"/>
                    </w:rPr>
                  </w:pPr>
                  <w:r>
                    <w:t>20</w:t>
                  </w:r>
                </w:p>
              </w:tc>
              <w:tc>
                <w:tcPr>
                  <w:tcW w:w="387" w:type="pct"/>
                  <w:noWrap/>
                  <w:vAlign w:val="center"/>
                </w:tcPr>
                <w:p w14:paraId="7B3FBDBA">
                  <w:pPr>
                    <w:pStyle w:val="83"/>
                    <w:rPr>
                      <w:rFonts w:hint="default"/>
                    </w:rPr>
                  </w:pPr>
                  <w:r>
                    <w:t>达标</w:t>
                  </w:r>
                </w:p>
              </w:tc>
            </w:tr>
            <w:tr w14:paraId="57EAE9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5DE905BF">
                  <w:pPr>
                    <w:pStyle w:val="83"/>
                    <w:rPr>
                      <w:rFonts w:hint="default"/>
                    </w:rPr>
                  </w:pPr>
                </w:p>
              </w:tc>
              <w:tc>
                <w:tcPr>
                  <w:tcW w:w="1036" w:type="pct"/>
                  <w:vMerge w:val="restart"/>
                  <w:noWrap/>
                  <w:vAlign w:val="center"/>
                </w:tcPr>
                <w:p w14:paraId="4F8E6952">
                  <w:pPr>
                    <w:pStyle w:val="83"/>
                    <w:rPr>
                      <w:rFonts w:hint="default"/>
                    </w:rPr>
                  </w:pPr>
                  <w:r>
                    <w:t>油烟16#排气筒</w:t>
                  </w:r>
                </w:p>
                <w:p w14:paraId="256B4F13">
                  <w:pPr>
                    <w:pStyle w:val="83"/>
                    <w:rPr>
                      <w:rFonts w:hint="default"/>
                    </w:rPr>
                  </w:pPr>
                  <w:r>
                    <w:t>DA167</w:t>
                  </w:r>
                </w:p>
              </w:tc>
              <w:tc>
                <w:tcPr>
                  <w:tcW w:w="777" w:type="pct"/>
                  <w:noWrap/>
                  <w:vAlign w:val="center"/>
                </w:tcPr>
                <w:p w14:paraId="20C54F0A">
                  <w:pPr>
                    <w:pStyle w:val="83"/>
                    <w:rPr>
                      <w:rFonts w:hint="default"/>
                    </w:rPr>
                  </w:pPr>
                  <w:r>
                    <w:t>非甲烷总烃</w:t>
                  </w:r>
                </w:p>
              </w:tc>
              <w:tc>
                <w:tcPr>
                  <w:tcW w:w="922" w:type="dxa"/>
                  <w:vMerge w:val="restart"/>
                  <w:vAlign w:val="center"/>
                </w:tcPr>
                <w:p w14:paraId="4C7602E1">
                  <w:pPr>
                    <w:pStyle w:val="83"/>
                    <w:rPr>
                      <w:rFonts w:hint="default"/>
                    </w:rPr>
                  </w:pPr>
                  <w:r>
                    <w:t>35500</w:t>
                  </w:r>
                </w:p>
              </w:tc>
              <w:tc>
                <w:tcPr>
                  <w:tcW w:w="922" w:type="dxa"/>
                  <w:noWrap/>
                  <w:vAlign w:val="center"/>
                </w:tcPr>
                <w:p w14:paraId="6659602E">
                  <w:pPr>
                    <w:pStyle w:val="83"/>
                    <w:rPr>
                      <w:rFonts w:hint="default"/>
                    </w:rPr>
                  </w:pPr>
                  <w:r>
                    <w:t>2.24</w:t>
                  </w:r>
                </w:p>
              </w:tc>
              <w:tc>
                <w:tcPr>
                  <w:tcW w:w="1230" w:type="dxa"/>
                  <w:vAlign w:val="center"/>
                </w:tcPr>
                <w:p w14:paraId="0DCBBAE0">
                  <w:pPr>
                    <w:pStyle w:val="83"/>
                    <w:rPr>
                      <w:rFonts w:hint="default"/>
                    </w:rPr>
                  </w:pPr>
                  <w:r>
                    <w:t>0.080</w:t>
                  </w:r>
                </w:p>
              </w:tc>
              <w:tc>
                <w:tcPr>
                  <w:tcW w:w="556" w:type="pct"/>
                  <w:noWrap/>
                  <w:vAlign w:val="center"/>
                </w:tcPr>
                <w:p w14:paraId="5BCCE802">
                  <w:pPr>
                    <w:pStyle w:val="83"/>
                    <w:rPr>
                      <w:rFonts w:hint="default"/>
                    </w:rPr>
                  </w:pPr>
                  <w:r>
                    <w:t>60</w:t>
                  </w:r>
                </w:p>
              </w:tc>
              <w:tc>
                <w:tcPr>
                  <w:tcW w:w="387" w:type="pct"/>
                  <w:noWrap/>
                  <w:vAlign w:val="center"/>
                </w:tcPr>
                <w:p w14:paraId="5EED7D40">
                  <w:pPr>
                    <w:pStyle w:val="83"/>
                    <w:rPr>
                      <w:rFonts w:hint="default"/>
                    </w:rPr>
                  </w:pPr>
                  <w:r>
                    <w:t>达标</w:t>
                  </w:r>
                </w:p>
              </w:tc>
            </w:tr>
            <w:tr w14:paraId="481417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69F97C4A">
                  <w:pPr>
                    <w:pStyle w:val="83"/>
                    <w:rPr>
                      <w:rFonts w:hint="default"/>
                    </w:rPr>
                  </w:pPr>
                </w:p>
              </w:tc>
              <w:tc>
                <w:tcPr>
                  <w:tcW w:w="1036" w:type="pct"/>
                  <w:vMerge w:val="continue"/>
                  <w:vAlign w:val="center"/>
                </w:tcPr>
                <w:p w14:paraId="2322142D">
                  <w:pPr>
                    <w:pStyle w:val="83"/>
                    <w:rPr>
                      <w:rFonts w:hint="default"/>
                    </w:rPr>
                  </w:pPr>
                </w:p>
              </w:tc>
              <w:tc>
                <w:tcPr>
                  <w:tcW w:w="777" w:type="pct"/>
                  <w:noWrap/>
                  <w:vAlign w:val="center"/>
                </w:tcPr>
                <w:p w14:paraId="6D6CCE66">
                  <w:pPr>
                    <w:pStyle w:val="83"/>
                    <w:rPr>
                      <w:rFonts w:hint="default"/>
                    </w:rPr>
                  </w:pPr>
                  <w:r>
                    <w:t>颗粒物</w:t>
                  </w:r>
                </w:p>
              </w:tc>
              <w:tc>
                <w:tcPr>
                  <w:tcW w:w="922" w:type="dxa"/>
                  <w:vMerge w:val="continue"/>
                  <w:vAlign w:val="center"/>
                </w:tcPr>
                <w:p w14:paraId="023706E9">
                  <w:pPr>
                    <w:pStyle w:val="83"/>
                    <w:rPr>
                      <w:rFonts w:hint="default"/>
                    </w:rPr>
                  </w:pPr>
                </w:p>
              </w:tc>
              <w:tc>
                <w:tcPr>
                  <w:tcW w:w="922" w:type="dxa"/>
                  <w:noWrap/>
                  <w:vAlign w:val="center"/>
                </w:tcPr>
                <w:p w14:paraId="1410C2D5">
                  <w:pPr>
                    <w:pStyle w:val="83"/>
                    <w:rPr>
                      <w:rFonts w:hint="default"/>
                    </w:rPr>
                  </w:pPr>
                  <w:r>
                    <w:t>1.6</w:t>
                  </w:r>
                </w:p>
              </w:tc>
              <w:tc>
                <w:tcPr>
                  <w:tcW w:w="1230" w:type="dxa"/>
                  <w:vAlign w:val="center"/>
                </w:tcPr>
                <w:p w14:paraId="620F22F8">
                  <w:pPr>
                    <w:pStyle w:val="83"/>
                    <w:rPr>
                      <w:rFonts w:hint="default"/>
                    </w:rPr>
                  </w:pPr>
                  <w:r>
                    <w:t>0.057</w:t>
                  </w:r>
                </w:p>
              </w:tc>
              <w:tc>
                <w:tcPr>
                  <w:tcW w:w="556" w:type="pct"/>
                  <w:noWrap/>
                  <w:vAlign w:val="center"/>
                </w:tcPr>
                <w:p w14:paraId="79BD80C5">
                  <w:pPr>
                    <w:pStyle w:val="83"/>
                    <w:rPr>
                      <w:rFonts w:hint="default"/>
                    </w:rPr>
                  </w:pPr>
                  <w:r>
                    <w:t>20</w:t>
                  </w:r>
                </w:p>
              </w:tc>
              <w:tc>
                <w:tcPr>
                  <w:tcW w:w="387" w:type="pct"/>
                  <w:noWrap/>
                  <w:vAlign w:val="center"/>
                </w:tcPr>
                <w:p w14:paraId="76020F5B">
                  <w:pPr>
                    <w:pStyle w:val="83"/>
                    <w:rPr>
                      <w:rFonts w:hint="default"/>
                    </w:rPr>
                  </w:pPr>
                  <w:r>
                    <w:t>达标</w:t>
                  </w:r>
                </w:p>
              </w:tc>
            </w:tr>
            <w:tr w14:paraId="4EA8C5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45E05780">
                  <w:pPr>
                    <w:pStyle w:val="83"/>
                    <w:rPr>
                      <w:rFonts w:hint="default"/>
                    </w:rPr>
                  </w:pPr>
                </w:p>
              </w:tc>
              <w:tc>
                <w:tcPr>
                  <w:tcW w:w="1036" w:type="pct"/>
                  <w:vMerge w:val="restart"/>
                  <w:vAlign w:val="center"/>
                </w:tcPr>
                <w:p w14:paraId="4A89A42A">
                  <w:pPr>
                    <w:pStyle w:val="83"/>
                    <w:rPr>
                      <w:rFonts w:hint="default"/>
                    </w:rPr>
                  </w:pPr>
                  <w:r>
                    <w:t>油烟26#排气筒</w:t>
                  </w:r>
                </w:p>
                <w:p w14:paraId="1D6BB0DB">
                  <w:pPr>
                    <w:pStyle w:val="83"/>
                    <w:rPr>
                      <w:rFonts w:hint="default"/>
                    </w:rPr>
                  </w:pPr>
                  <w:r>
                    <w:t>DA239</w:t>
                  </w:r>
                </w:p>
              </w:tc>
              <w:tc>
                <w:tcPr>
                  <w:tcW w:w="777" w:type="pct"/>
                  <w:noWrap/>
                  <w:vAlign w:val="center"/>
                </w:tcPr>
                <w:p w14:paraId="476C93FB">
                  <w:pPr>
                    <w:pStyle w:val="83"/>
                    <w:rPr>
                      <w:rFonts w:hint="default"/>
                    </w:rPr>
                  </w:pPr>
                  <w:r>
                    <w:t>非甲烷总烃</w:t>
                  </w:r>
                </w:p>
              </w:tc>
              <w:tc>
                <w:tcPr>
                  <w:tcW w:w="922" w:type="dxa"/>
                  <w:vMerge w:val="restart"/>
                  <w:vAlign w:val="center"/>
                </w:tcPr>
                <w:p w14:paraId="2B75D688">
                  <w:pPr>
                    <w:pStyle w:val="83"/>
                    <w:rPr>
                      <w:rFonts w:hint="default"/>
                    </w:rPr>
                  </w:pPr>
                  <w:r>
                    <w:t>36100</w:t>
                  </w:r>
                </w:p>
              </w:tc>
              <w:tc>
                <w:tcPr>
                  <w:tcW w:w="922" w:type="dxa"/>
                  <w:noWrap/>
                  <w:vAlign w:val="center"/>
                </w:tcPr>
                <w:p w14:paraId="62B3EAC8">
                  <w:pPr>
                    <w:pStyle w:val="83"/>
                    <w:rPr>
                      <w:rFonts w:hint="default"/>
                    </w:rPr>
                  </w:pPr>
                  <w:r>
                    <w:t>2.14</w:t>
                  </w:r>
                </w:p>
              </w:tc>
              <w:tc>
                <w:tcPr>
                  <w:tcW w:w="1230" w:type="dxa"/>
                  <w:vAlign w:val="center"/>
                </w:tcPr>
                <w:p w14:paraId="2B42F085">
                  <w:pPr>
                    <w:pStyle w:val="83"/>
                    <w:rPr>
                      <w:rFonts w:hint="default"/>
                    </w:rPr>
                  </w:pPr>
                  <w:r>
                    <w:t>0.077</w:t>
                  </w:r>
                </w:p>
              </w:tc>
              <w:tc>
                <w:tcPr>
                  <w:tcW w:w="556" w:type="pct"/>
                  <w:noWrap/>
                  <w:vAlign w:val="center"/>
                </w:tcPr>
                <w:p w14:paraId="4211ED71">
                  <w:pPr>
                    <w:pStyle w:val="83"/>
                    <w:rPr>
                      <w:rFonts w:hint="default"/>
                    </w:rPr>
                  </w:pPr>
                  <w:r>
                    <w:t>60</w:t>
                  </w:r>
                </w:p>
              </w:tc>
              <w:tc>
                <w:tcPr>
                  <w:tcW w:w="387" w:type="pct"/>
                  <w:noWrap/>
                  <w:vAlign w:val="center"/>
                </w:tcPr>
                <w:p w14:paraId="44CEDAB2">
                  <w:pPr>
                    <w:pStyle w:val="83"/>
                    <w:rPr>
                      <w:rFonts w:hint="default"/>
                    </w:rPr>
                  </w:pPr>
                  <w:r>
                    <w:t>达标</w:t>
                  </w:r>
                </w:p>
              </w:tc>
            </w:tr>
            <w:tr w14:paraId="266E3F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3BBD8763">
                  <w:pPr>
                    <w:pStyle w:val="83"/>
                    <w:rPr>
                      <w:rFonts w:hint="default"/>
                    </w:rPr>
                  </w:pPr>
                </w:p>
              </w:tc>
              <w:tc>
                <w:tcPr>
                  <w:tcW w:w="1036" w:type="pct"/>
                  <w:vMerge w:val="continue"/>
                  <w:vAlign w:val="center"/>
                </w:tcPr>
                <w:p w14:paraId="70FFB196">
                  <w:pPr>
                    <w:pStyle w:val="83"/>
                    <w:rPr>
                      <w:rFonts w:hint="default"/>
                    </w:rPr>
                  </w:pPr>
                </w:p>
              </w:tc>
              <w:tc>
                <w:tcPr>
                  <w:tcW w:w="777" w:type="pct"/>
                  <w:noWrap/>
                  <w:vAlign w:val="center"/>
                </w:tcPr>
                <w:p w14:paraId="1C4CB26B">
                  <w:pPr>
                    <w:pStyle w:val="83"/>
                    <w:rPr>
                      <w:rFonts w:hint="default"/>
                    </w:rPr>
                  </w:pPr>
                  <w:r>
                    <w:t>颗粒物</w:t>
                  </w:r>
                </w:p>
              </w:tc>
              <w:tc>
                <w:tcPr>
                  <w:tcW w:w="922" w:type="dxa"/>
                  <w:vMerge w:val="continue"/>
                  <w:vAlign w:val="center"/>
                </w:tcPr>
                <w:p w14:paraId="45656E24">
                  <w:pPr>
                    <w:pStyle w:val="83"/>
                    <w:rPr>
                      <w:rFonts w:hint="default"/>
                    </w:rPr>
                  </w:pPr>
                </w:p>
              </w:tc>
              <w:tc>
                <w:tcPr>
                  <w:tcW w:w="922" w:type="dxa"/>
                  <w:noWrap/>
                  <w:vAlign w:val="center"/>
                </w:tcPr>
                <w:p w14:paraId="5F3F288D">
                  <w:pPr>
                    <w:pStyle w:val="83"/>
                    <w:rPr>
                      <w:rFonts w:hint="default"/>
                    </w:rPr>
                  </w:pPr>
                  <w:r>
                    <w:t>2.4</w:t>
                  </w:r>
                </w:p>
              </w:tc>
              <w:tc>
                <w:tcPr>
                  <w:tcW w:w="1230" w:type="dxa"/>
                  <w:vAlign w:val="center"/>
                </w:tcPr>
                <w:p w14:paraId="1503A262">
                  <w:pPr>
                    <w:pStyle w:val="83"/>
                    <w:rPr>
                      <w:rFonts w:hint="default"/>
                    </w:rPr>
                  </w:pPr>
                  <w:r>
                    <w:t>0.087</w:t>
                  </w:r>
                </w:p>
              </w:tc>
              <w:tc>
                <w:tcPr>
                  <w:tcW w:w="556" w:type="pct"/>
                  <w:noWrap/>
                  <w:vAlign w:val="center"/>
                </w:tcPr>
                <w:p w14:paraId="4779586D">
                  <w:pPr>
                    <w:pStyle w:val="83"/>
                    <w:rPr>
                      <w:rFonts w:hint="default"/>
                    </w:rPr>
                  </w:pPr>
                  <w:r>
                    <w:t>20</w:t>
                  </w:r>
                </w:p>
              </w:tc>
              <w:tc>
                <w:tcPr>
                  <w:tcW w:w="387" w:type="pct"/>
                  <w:noWrap/>
                  <w:vAlign w:val="center"/>
                </w:tcPr>
                <w:p w14:paraId="15422ABD">
                  <w:pPr>
                    <w:pStyle w:val="83"/>
                    <w:rPr>
                      <w:rFonts w:hint="default"/>
                    </w:rPr>
                  </w:pPr>
                  <w:r>
                    <w:t>达标</w:t>
                  </w:r>
                </w:p>
              </w:tc>
            </w:tr>
            <w:tr w14:paraId="5A75D0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noWrap/>
                  <w:vAlign w:val="center"/>
                </w:tcPr>
                <w:p w14:paraId="6E8D66FF">
                  <w:pPr>
                    <w:pStyle w:val="83"/>
                    <w:rPr>
                      <w:rFonts w:hint="default"/>
                    </w:rPr>
                  </w:pPr>
                </w:p>
              </w:tc>
              <w:tc>
                <w:tcPr>
                  <w:tcW w:w="1036" w:type="pct"/>
                  <w:noWrap/>
                  <w:vAlign w:val="center"/>
                </w:tcPr>
                <w:p w14:paraId="41B549B6">
                  <w:pPr>
                    <w:pStyle w:val="83"/>
                    <w:rPr>
                      <w:rFonts w:hint="default"/>
                    </w:rPr>
                  </w:pPr>
                  <w:r>
                    <w:t>组件煅烧排气筒</w:t>
                  </w:r>
                </w:p>
                <w:p w14:paraId="62D9955F">
                  <w:pPr>
                    <w:pStyle w:val="83"/>
                    <w:rPr>
                      <w:rFonts w:hint="default"/>
                    </w:rPr>
                  </w:pPr>
                  <w:r>
                    <w:t>DA230</w:t>
                  </w:r>
                </w:p>
              </w:tc>
              <w:tc>
                <w:tcPr>
                  <w:tcW w:w="777" w:type="pct"/>
                  <w:noWrap/>
                  <w:vAlign w:val="center"/>
                </w:tcPr>
                <w:p w14:paraId="50443793">
                  <w:pPr>
                    <w:pStyle w:val="83"/>
                    <w:rPr>
                      <w:rFonts w:hint="default"/>
                    </w:rPr>
                  </w:pPr>
                  <w:r>
                    <w:t>非甲烷总烃</w:t>
                  </w:r>
                </w:p>
              </w:tc>
              <w:tc>
                <w:tcPr>
                  <w:tcW w:w="922" w:type="dxa"/>
                  <w:vAlign w:val="center"/>
                </w:tcPr>
                <w:p w14:paraId="6414E8FA">
                  <w:pPr>
                    <w:pStyle w:val="83"/>
                    <w:rPr>
                      <w:rFonts w:hint="default"/>
                    </w:rPr>
                  </w:pPr>
                  <w:r>
                    <w:t>648</w:t>
                  </w:r>
                </w:p>
              </w:tc>
              <w:tc>
                <w:tcPr>
                  <w:tcW w:w="922" w:type="dxa"/>
                  <w:noWrap/>
                  <w:vAlign w:val="center"/>
                </w:tcPr>
                <w:p w14:paraId="113AB237">
                  <w:pPr>
                    <w:pStyle w:val="83"/>
                    <w:rPr>
                      <w:rFonts w:hint="default"/>
                    </w:rPr>
                  </w:pPr>
                  <w:r>
                    <w:t>3.03</w:t>
                  </w:r>
                </w:p>
              </w:tc>
              <w:tc>
                <w:tcPr>
                  <w:tcW w:w="1230" w:type="dxa"/>
                  <w:vAlign w:val="center"/>
                </w:tcPr>
                <w:p w14:paraId="13D390F8">
                  <w:pPr>
                    <w:pStyle w:val="83"/>
                    <w:rPr>
                      <w:rFonts w:hint="default"/>
                    </w:rPr>
                  </w:pPr>
                  <w:r>
                    <w:t>0.002</w:t>
                  </w:r>
                </w:p>
              </w:tc>
              <w:tc>
                <w:tcPr>
                  <w:tcW w:w="556" w:type="pct"/>
                  <w:noWrap/>
                  <w:vAlign w:val="center"/>
                </w:tcPr>
                <w:p w14:paraId="366D3B48">
                  <w:pPr>
                    <w:pStyle w:val="83"/>
                    <w:rPr>
                      <w:rFonts w:hint="default"/>
                    </w:rPr>
                  </w:pPr>
                  <w:r>
                    <w:t>60</w:t>
                  </w:r>
                </w:p>
              </w:tc>
              <w:tc>
                <w:tcPr>
                  <w:tcW w:w="387" w:type="pct"/>
                  <w:noWrap/>
                  <w:vAlign w:val="center"/>
                </w:tcPr>
                <w:p w14:paraId="1788140C">
                  <w:pPr>
                    <w:pStyle w:val="83"/>
                    <w:rPr>
                      <w:rFonts w:hint="default"/>
                    </w:rPr>
                  </w:pPr>
                  <w:r>
                    <w:t>达标</w:t>
                  </w:r>
                </w:p>
              </w:tc>
            </w:tr>
          </w:tbl>
          <w:p w14:paraId="74CC848E">
            <w:pPr>
              <w:ind w:firstLine="480"/>
            </w:pPr>
            <w:r>
              <w:rPr>
                <w:rFonts w:hint="eastAsia"/>
              </w:rPr>
              <w:t>5.纺丝五期</w:t>
            </w:r>
          </w:p>
          <w:p w14:paraId="6506356B">
            <w:pPr>
              <w:ind w:firstLine="480"/>
            </w:pPr>
            <w:r>
              <w:rPr>
                <w:rFonts w:hint="eastAsia"/>
              </w:rPr>
              <w:t>现有纺丝五期项目产生的废气主要是单体抽吸废气、油剂废气和组件煅烧废气。单体抽吸废气由单体抽吸系统处理后通过10根24m排气筒排放；油剂废气由静电吸附装置处理后通过2根26m排气筒排放；组件煅烧废气由水喷淋装置处理后通过1根24m排气筒排放。纺丝五期废气监测数据见表2.4-5。</w:t>
            </w:r>
          </w:p>
          <w:p w14:paraId="3A3C3133">
            <w:pPr>
              <w:pStyle w:val="13"/>
            </w:pPr>
            <w:r>
              <w:rPr>
                <w:rFonts w:hint="eastAsia"/>
              </w:rPr>
              <w:t>表2.4-5  纺丝五期废气监测结果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75"/>
              <w:gridCol w:w="1719"/>
              <w:gridCol w:w="1336"/>
              <w:gridCol w:w="1063"/>
              <w:gridCol w:w="1096"/>
              <w:gridCol w:w="1142"/>
              <w:gridCol w:w="1080"/>
              <w:gridCol w:w="689"/>
            </w:tblGrid>
            <w:tr w14:paraId="0E4DB8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noWrap/>
                  <w:vAlign w:val="center"/>
                </w:tcPr>
                <w:p w14:paraId="32383783">
                  <w:pPr>
                    <w:pStyle w:val="83"/>
                    <w:rPr>
                      <w:rFonts w:hint="default"/>
                    </w:rPr>
                  </w:pPr>
                  <w:r>
                    <w:t>监测</w:t>
                  </w:r>
                </w:p>
                <w:p w14:paraId="31B66918">
                  <w:pPr>
                    <w:pStyle w:val="83"/>
                    <w:rPr>
                      <w:rFonts w:hint="default"/>
                    </w:rPr>
                  </w:pPr>
                  <w:r>
                    <w:t>日期</w:t>
                  </w:r>
                </w:p>
              </w:tc>
              <w:tc>
                <w:tcPr>
                  <w:tcW w:w="965" w:type="pct"/>
                  <w:noWrap/>
                  <w:vAlign w:val="center"/>
                </w:tcPr>
                <w:p w14:paraId="3DEA82A7">
                  <w:pPr>
                    <w:pStyle w:val="83"/>
                    <w:rPr>
                      <w:rFonts w:hint="default"/>
                    </w:rPr>
                  </w:pPr>
                  <w:r>
                    <w:t>监测点位</w:t>
                  </w:r>
                </w:p>
              </w:tc>
              <w:tc>
                <w:tcPr>
                  <w:tcW w:w="750" w:type="pct"/>
                  <w:noWrap/>
                  <w:vAlign w:val="center"/>
                </w:tcPr>
                <w:p w14:paraId="68A31EB3">
                  <w:pPr>
                    <w:pStyle w:val="83"/>
                    <w:rPr>
                      <w:rFonts w:hint="default"/>
                    </w:rPr>
                  </w:pPr>
                  <w:r>
                    <w:t>监测项目</w:t>
                  </w:r>
                </w:p>
              </w:tc>
              <w:tc>
                <w:tcPr>
                  <w:tcW w:w="597" w:type="pct"/>
                  <w:vAlign w:val="center"/>
                </w:tcPr>
                <w:p w14:paraId="54DDB7A8">
                  <w:pPr>
                    <w:pStyle w:val="83"/>
                    <w:rPr>
                      <w:rFonts w:hint="default"/>
                    </w:rPr>
                  </w:pPr>
                  <w:r>
                    <w:t>标杆流量</w:t>
                  </w:r>
                </w:p>
                <w:p w14:paraId="58DB80D2">
                  <w:pPr>
                    <w:pStyle w:val="83"/>
                    <w:rPr>
                      <w:rFonts w:hint="default"/>
                    </w:rPr>
                  </w:pPr>
                  <w:r>
                    <w:t>m</w:t>
                  </w:r>
                  <w:r>
                    <w:rPr>
                      <w:vertAlign w:val="superscript"/>
                    </w:rPr>
                    <w:t>3</w:t>
                  </w:r>
                  <w:r>
                    <w:t>/h</w:t>
                  </w:r>
                </w:p>
              </w:tc>
              <w:tc>
                <w:tcPr>
                  <w:tcW w:w="615" w:type="pct"/>
                  <w:vAlign w:val="center"/>
                </w:tcPr>
                <w:p w14:paraId="77E9DB7E">
                  <w:pPr>
                    <w:pStyle w:val="83"/>
                    <w:rPr>
                      <w:rFonts w:hint="default"/>
                    </w:rPr>
                  </w:pPr>
                  <w:r>
                    <w:t>排放浓度</w:t>
                  </w:r>
                </w:p>
                <w:p w14:paraId="61965D7E">
                  <w:pPr>
                    <w:pStyle w:val="83"/>
                    <w:rPr>
                      <w:rFonts w:hint="default"/>
                    </w:rPr>
                  </w:pPr>
                  <w:r>
                    <w:t>mg/m</w:t>
                  </w:r>
                  <w:r>
                    <w:rPr>
                      <w:vertAlign w:val="superscript"/>
                    </w:rPr>
                    <w:t>3</w:t>
                  </w:r>
                </w:p>
              </w:tc>
              <w:tc>
                <w:tcPr>
                  <w:tcW w:w="641" w:type="pct"/>
                  <w:vAlign w:val="center"/>
                </w:tcPr>
                <w:p w14:paraId="608D9A31">
                  <w:pPr>
                    <w:pStyle w:val="83"/>
                    <w:rPr>
                      <w:rFonts w:hint="default"/>
                    </w:rPr>
                  </w:pPr>
                  <w:r>
                    <w:t>排放速率</w:t>
                  </w:r>
                </w:p>
                <w:p w14:paraId="33612776">
                  <w:pPr>
                    <w:pStyle w:val="83"/>
                    <w:rPr>
                      <w:rFonts w:hint="default"/>
                    </w:rPr>
                  </w:pPr>
                  <w:r>
                    <w:t>kg/h</w:t>
                  </w:r>
                </w:p>
              </w:tc>
              <w:tc>
                <w:tcPr>
                  <w:tcW w:w="606" w:type="pct"/>
                  <w:vAlign w:val="center"/>
                </w:tcPr>
                <w:p w14:paraId="3133B5A8">
                  <w:pPr>
                    <w:pStyle w:val="83"/>
                    <w:rPr>
                      <w:rFonts w:hint="default"/>
                    </w:rPr>
                  </w:pPr>
                  <w:r>
                    <w:t>标准限值</w:t>
                  </w:r>
                </w:p>
                <w:p w14:paraId="27CCB511">
                  <w:pPr>
                    <w:pStyle w:val="83"/>
                    <w:rPr>
                      <w:rFonts w:hint="default"/>
                    </w:rPr>
                  </w:pPr>
                  <w:r>
                    <w:t>mg/m</w:t>
                  </w:r>
                  <w:r>
                    <w:rPr>
                      <w:vertAlign w:val="superscript"/>
                    </w:rPr>
                    <w:t>3</w:t>
                  </w:r>
                </w:p>
              </w:tc>
              <w:tc>
                <w:tcPr>
                  <w:tcW w:w="387" w:type="pct"/>
                  <w:noWrap/>
                  <w:vAlign w:val="center"/>
                </w:tcPr>
                <w:p w14:paraId="734B0824">
                  <w:pPr>
                    <w:pStyle w:val="83"/>
                    <w:rPr>
                      <w:rFonts w:hint="default"/>
                    </w:rPr>
                  </w:pPr>
                  <w:r>
                    <w:t>达标</w:t>
                  </w:r>
                </w:p>
                <w:p w14:paraId="20844B69">
                  <w:pPr>
                    <w:pStyle w:val="83"/>
                    <w:rPr>
                      <w:rFonts w:hint="default"/>
                    </w:rPr>
                  </w:pPr>
                  <w:r>
                    <w:t>情况</w:t>
                  </w:r>
                </w:p>
              </w:tc>
            </w:tr>
            <w:tr w14:paraId="3DE41B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restart"/>
                  <w:noWrap/>
                  <w:vAlign w:val="center"/>
                </w:tcPr>
                <w:p w14:paraId="56A0CAE1">
                  <w:pPr>
                    <w:pStyle w:val="83"/>
                    <w:rPr>
                      <w:rFonts w:hint="default"/>
                    </w:rPr>
                  </w:pPr>
                  <w:r>
                    <w:t>2025.</w:t>
                  </w:r>
                </w:p>
                <w:p w14:paraId="7193FCB7">
                  <w:pPr>
                    <w:pStyle w:val="83"/>
                    <w:rPr>
                      <w:rFonts w:hint="default"/>
                    </w:rPr>
                  </w:pPr>
                  <w:r>
                    <w:t>12.04</w:t>
                  </w:r>
                </w:p>
              </w:tc>
              <w:tc>
                <w:tcPr>
                  <w:tcW w:w="965" w:type="pct"/>
                  <w:vMerge w:val="restart"/>
                  <w:noWrap/>
                  <w:vAlign w:val="center"/>
                </w:tcPr>
                <w:p w14:paraId="5552F6A9">
                  <w:pPr>
                    <w:pStyle w:val="83"/>
                    <w:rPr>
                      <w:rFonts w:hint="default"/>
                    </w:rPr>
                  </w:pPr>
                  <w:r>
                    <w:t>纺丝11#排气筒</w:t>
                  </w:r>
                </w:p>
                <w:p w14:paraId="6ACD86BC">
                  <w:pPr>
                    <w:pStyle w:val="83"/>
                    <w:rPr>
                      <w:rFonts w:hint="default"/>
                    </w:rPr>
                  </w:pPr>
                  <w:r>
                    <w:t>DA112</w:t>
                  </w:r>
                </w:p>
              </w:tc>
              <w:tc>
                <w:tcPr>
                  <w:tcW w:w="750" w:type="pct"/>
                  <w:noWrap/>
                  <w:vAlign w:val="center"/>
                </w:tcPr>
                <w:p w14:paraId="69B6D63A">
                  <w:pPr>
                    <w:pStyle w:val="83"/>
                    <w:rPr>
                      <w:rFonts w:hint="default"/>
                    </w:rPr>
                  </w:pPr>
                  <w:r>
                    <w:t>非甲烷总烃</w:t>
                  </w:r>
                </w:p>
              </w:tc>
              <w:tc>
                <w:tcPr>
                  <w:tcW w:w="1063" w:type="dxa"/>
                  <w:vMerge w:val="restart"/>
                  <w:vAlign w:val="center"/>
                </w:tcPr>
                <w:p w14:paraId="264559B2">
                  <w:pPr>
                    <w:pStyle w:val="83"/>
                    <w:rPr>
                      <w:rFonts w:hint="default"/>
                    </w:rPr>
                  </w:pPr>
                  <w:r>
                    <w:t>6380</w:t>
                  </w:r>
                </w:p>
              </w:tc>
              <w:tc>
                <w:tcPr>
                  <w:tcW w:w="1096" w:type="dxa"/>
                  <w:noWrap/>
                  <w:vAlign w:val="center"/>
                </w:tcPr>
                <w:p w14:paraId="4D8EC759">
                  <w:pPr>
                    <w:pStyle w:val="83"/>
                    <w:rPr>
                      <w:rFonts w:hint="default"/>
                    </w:rPr>
                  </w:pPr>
                  <w:r>
                    <w:t>4.03</w:t>
                  </w:r>
                </w:p>
              </w:tc>
              <w:tc>
                <w:tcPr>
                  <w:tcW w:w="1142" w:type="dxa"/>
                  <w:vAlign w:val="center"/>
                </w:tcPr>
                <w:p w14:paraId="79827852">
                  <w:pPr>
                    <w:pStyle w:val="83"/>
                    <w:rPr>
                      <w:rFonts w:hint="default"/>
                    </w:rPr>
                  </w:pPr>
                  <w:r>
                    <w:t>0.026</w:t>
                  </w:r>
                </w:p>
              </w:tc>
              <w:tc>
                <w:tcPr>
                  <w:tcW w:w="606" w:type="pct"/>
                  <w:noWrap/>
                  <w:vAlign w:val="center"/>
                </w:tcPr>
                <w:p w14:paraId="1D4EDD93">
                  <w:pPr>
                    <w:pStyle w:val="83"/>
                    <w:rPr>
                      <w:rFonts w:hint="default"/>
                    </w:rPr>
                  </w:pPr>
                  <w:r>
                    <w:t>60</w:t>
                  </w:r>
                </w:p>
              </w:tc>
              <w:tc>
                <w:tcPr>
                  <w:tcW w:w="387" w:type="pct"/>
                  <w:noWrap/>
                  <w:vAlign w:val="center"/>
                </w:tcPr>
                <w:p w14:paraId="75970693">
                  <w:pPr>
                    <w:pStyle w:val="83"/>
                    <w:rPr>
                      <w:rFonts w:hint="default"/>
                    </w:rPr>
                  </w:pPr>
                  <w:r>
                    <w:t>达标</w:t>
                  </w:r>
                </w:p>
              </w:tc>
            </w:tr>
            <w:tr w14:paraId="3EF645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730999BF">
                  <w:pPr>
                    <w:pStyle w:val="83"/>
                    <w:rPr>
                      <w:rFonts w:hint="default"/>
                    </w:rPr>
                  </w:pPr>
                </w:p>
              </w:tc>
              <w:tc>
                <w:tcPr>
                  <w:tcW w:w="965" w:type="pct"/>
                  <w:vMerge w:val="continue"/>
                  <w:vAlign w:val="center"/>
                </w:tcPr>
                <w:p w14:paraId="525C1E09">
                  <w:pPr>
                    <w:pStyle w:val="83"/>
                    <w:rPr>
                      <w:rFonts w:hint="default"/>
                    </w:rPr>
                  </w:pPr>
                </w:p>
              </w:tc>
              <w:tc>
                <w:tcPr>
                  <w:tcW w:w="750" w:type="pct"/>
                  <w:noWrap/>
                  <w:vAlign w:val="center"/>
                </w:tcPr>
                <w:p w14:paraId="32F91D9B">
                  <w:pPr>
                    <w:pStyle w:val="83"/>
                    <w:rPr>
                      <w:rFonts w:hint="default"/>
                    </w:rPr>
                  </w:pPr>
                  <w:r>
                    <w:t>颗粒物</w:t>
                  </w:r>
                </w:p>
              </w:tc>
              <w:tc>
                <w:tcPr>
                  <w:tcW w:w="1063" w:type="dxa"/>
                  <w:vMerge w:val="continue"/>
                  <w:vAlign w:val="center"/>
                </w:tcPr>
                <w:p w14:paraId="19F19116">
                  <w:pPr>
                    <w:pStyle w:val="83"/>
                    <w:rPr>
                      <w:rFonts w:hint="default"/>
                    </w:rPr>
                  </w:pPr>
                </w:p>
              </w:tc>
              <w:tc>
                <w:tcPr>
                  <w:tcW w:w="1096" w:type="dxa"/>
                  <w:noWrap/>
                  <w:vAlign w:val="center"/>
                </w:tcPr>
                <w:p w14:paraId="6357C14C">
                  <w:pPr>
                    <w:pStyle w:val="83"/>
                    <w:rPr>
                      <w:rFonts w:hint="default"/>
                    </w:rPr>
                  </w:pPr>
                  <w:r>
                    <w:t>&lt;1.0</w:t>
                  </w:r>
                </w:p>
              </w:tc>
              <w:tc>
                <w:tcPr>
                  <w:tcW w:w="1142" w:type="dxa"/>
                  <w:vAlign w:val="center"/>
                </w:tcPr>
                <w:p w14:paraId="389F6550">
                  <w:pPr>
                    <w:pStyle w:val="83"/>
                    <w:rPr>
                      <w:rFonts w:hint="default"/>
                    </w:rPr>
                  </w:pPr>
                  <w:r>
                    <w:t>0.0032</w:t>
                  </w:r>
                </w:p>
              </w:tc>
              <w:tc>
                <w:tcPr>
                  <w:tcW w:w="606" w:type="pct"/>
                  <w:noWrap/>
                  <w:vAlign w:val="center"/>
                </w:tcPr>
                <w:p w14:paraId="55FE8CB2">
                  <w:pPr>
                    <w:pStyle w:val="83"/>
                    <w:rPr>
                      <w:rFonts w:hint="default"/>
                    </w:rPr>
                  </w:pPr>
                  <w:r>
                    <w:t>20</w:t>
                  </w:r>
                </w:p>
              </w:tc>
              <w:tc>
                <w:tcPr>
                  <w:tcW w:w="387" w:type="pct"/>
                  <w:noWrap/>
                  <w:vAlign w:val="center"/>
                </w:tcPr>
                <w:p w14:paraId="21687251">
                  <w:pPr>
                    <w:pStyle w:val="83"/>
                    <w:rPr>
                      <w:rFonts w:hint="default"/>
                    </w:rPr>
                  </w:pPr>
                  <w:r>
                    <w:t>达标</w:t>
                  </w:r>
                </w:p>
              </w:tc>
            </w:tr>
            <w:tr w14:paraId="7135B9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08CB6818">
                  <w:pPr>
                    <w:pStyle w:val="83"/>
                    <w:rPr>
                      <w:rFonts w:hint="default"/>
                    </w:rPr>
                  </w:pPr>
                </w:p>
              </w:tc>
              <w:tc>
                <w:tcPr>
                  <w:tcW w:w="965" w:type="pct"/>
                  <w:vMerge w:val="restart"/>
                  <w:noWrap/>
                  <w:vAlign w:val="center"/>
                </w:tcPr>
                <w:p w14:paraId="7E650AE6">
                  <w:pPr>
                    <w:pStyle w:val="83"/>
                    <w:rPr>
                      <w:rFonts w:hint="default"/>
                    </w:rPr>
                  </w:pPr>
                  <w:r>
                    <w:t>纺丝12#排气筒</w:t>
                  </w:r>
                </w:p>
                <w:p w14:paraId="056023E0">
                  <w:pPr>
                    <w:pStyle w:val="83"/>
                    <w:rPr>
                      <w:rFonts w:hint="default"/>
                    </w:rPr>
                  </w:pPr>
                  <w:r>
                    <w:t>DA113</w:t>
                  </w:r>
                </w:p>
              </w:tc>
              <w:tc>
                <w:tcPr>
                  <w:tcW w:w="750" w:type="pct"/>
                  <w:noWrap/>
                  <w:vAlign w:val="center"/>
                </w:tcPr>
                <w:p w14:paraId="544D07D7">
                  <w:pPr>
                    <w:pStyle w:val="83"/>
                    <w:rPr>
                      <w:rFonts w:hint="default"/>
                    </w:rPr>
                  </w:pPr>
                  <w:r>
                    <w:t>非甲烷总烃</w:t>
                  </w:r>
                </w:p>
              </w:tc>
              <w:tc>
                <w:tcPr>
                  <w:tcW w:w="1063" w:type="dxa"/>
                  <w:vMerge w:val="restart"/>
                  <w:vAlign w:val="center"/>
                </w:tcPr>
                <w:p w14:paraId="2A32972D">
                  <w:pPr>
                    <w:pStyle w:val="83"/>
                    <w:rPr>
                      <w:rFonts w:hint="default"/>
                    </w:rPr>
                  </w:pPr>
                  <w:r>
                    <w:t>5690</w:t>
                  </w:r>
                </w:p>
              </w:tc>
              <w:tc>
                <w:tcPr>
                  <w:tcW w:w="1096" w:type="dxa"/>
                  <w:noWrap/>
                  <w:vAlign w:val="center"/>
                </w:tcPr>
                <w:p w14:paraId="71DE6B8B">
                  <w:pPr>
                    <w:pStyle w:val="83"/>
                    <w:rPr>
                      <w:rFonts w:hint="default"/>
                    </w:rPr>
                  </w:pPr>
                  <w:r>
                    <w:t>5.16</w:t>
                  </w:r>
                </w:p>
              </w:tc>
              <w:tc>
                <w:tcPr>
                  <w:tcW w:w="1142" w:type="dxa"/>
                  <w:vAlign w:val="center"/>
                </w:tcPr>
                <w:p w14:paraId="7CD0974C">
                  <w:pPr>
                    <w:pStyle w:val="83"/>
                    <w:rPr>
                      <w:rFonts w:hint="default"/>
                    </w:rPr>
                  </w:pPr>
                  <w:r>
                    <w:t>0.029</w:t>
                  </w:r>
                </w:p>
              </w:tc>
              <w:tc>
                <w:tcPr>
                  <w:tcW w:w="606" w:type="pct"/>
                  <w:noWrap/>
                  <w:vAlign w:val="center"/>
                </w:tcPr>
                <w:p w14:paraId="69493CB6">
                  <w:pPr>
                    <w:pStyle w:val="83"/>
                    <w:rPr>
                      <w:rFonts w:hint="default"/>
                    </w:rPr>
                  </w:pPr>
                  <w:r>
                    <w:t>60</w:t>
                  </w:r>
                </w:p>
              </w:tc>
              <w:tc>
                <w:tcPr>
                  <w:tcW w:w="387" w:type="pct"/>
                  <w:noWrap/>
                  <w:vAlign w:val="center"/>
                </w:tcPr>
                <w:p w14:paraId="39AB06EE">
                  <w:pPr>
                    <w:pStyle w:val="83"/>
                    <w:rPr>
                      <w:rFonts w:hint="default"/>
                    </w:rPr>
                  </w:pPr>
                  <w:r>
                    <w:t>达标</w:t>
                  </w:r>
                </w:p>
              </w:tc>
            </w:tr>
            <w:tr w14:paraId="697478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350B99E0">
                  <w:pPr>
                    <w:pStyle w:val="83"/>
                    <w:rPr>
                      <w:rFonts w:hint="default"/>
                    </w:rPr>
                  </w:pPr>
                </w:p>
              </w:tc>
              <w:tc>
                <w:tcPr>
                  <w:tcW w:w="965" w:type="pct"/>
                  <w:vMerge w:val="continue"/>
                  <w:vAlign w:val="center"/>
                </w:tcPr>
                <w:p w14:paraId="191B0875">
                  <w:pPr>
                    <w:pStyle w:val="83"/>
                    <w:rPr>
                      <w:rFonts w:hint="default"/>
                    </w:rPr>
                  </w:pPr>
                </w:p>
              </w:tc>
              <w:tc>
                <w:tcPr>
                  <w:tcW w:w="750" w:type="pct"/>
                  <w:noWrap/>
                  <w:vAlign w:val="center"/>
                </w:tcPr>
                <w:p w14:paraId="3D20416D">
                  <w:pPr>
                    <w:pStyle w:val="83"/>
                    <w:rPr>
                      <w:rFonts w:hint="default"/>
                    </w:rPr>
                  </w:pPr>
                  <w:r>
                    <w:t>颗粒物</w:t>
                  </w:r>
                </w:p>
              </w:tc>
              <w:tc>
                <w:tcPr>
                  <w:tcW w:w="1063" w:type="dxa"/>
                  <w:vMerge w:val="continue"/>
                  <w:vAlign w:val="center"/>
                </w:tcPr>
                <w:p w14:paraId="197AD308">
                  <w:pPr>
                    <w:pStyle w:val="83"/>
                    <w:rPr>
                      <w:rFonts w:hint="default"/>
                    </w:rPr>
                  </w:pPr>
                </w:p>
              </w:tc>
              <w:tc>
                <w:tcPr>
                  <w:tcW w:w="1096" w:type="dxa"/>
                  <w:noWrap/>
                  <w:vAlign w:val="center"/>
                </w:tcPr>
                <w:p w14:paraId="17FEAAFB">
                  <w:pPr>
                    <w:pStyle w:val="83"/>
                    <w:rPr>
                      <w:rFonts w:hint="default"/>
                    </w:rPr>
                  </w:pPr>
                  <w:r>
                    <w:t>&lt;1.0</w:t>
                  </w:r>
                </w:p>
              </w:tc>
              <w:tc>
                <w:tcPr>
                  <w:tcW w:w="1142" w:type="dxa"/>
                  <w:vAlign w:val="center"/>
                </w:tcPr>
                <w:p w14:paraId="1FF22731">
                  <w:pPr>
                    <w:pStyle w:val="83"/>
                    <w:rPr>
                      <w:rFonts w:hint="default"/>
                    </w:rPr>
                  </w:pPr>
                  <w:r>
                    <w:t>0.0028</w:t>
                  </w:r>
                </w:p>
              </w:tc>
              <w:tc>
                <w:tcPr>
                  <w:tcW w:w="606" w:type="pct"/>
                  <w:noWrap/>
                  <w:vAlign w:val="center"/>
                </w:tcPr>
                <w:p w14:paraId="27D64BA2">
                  <w:pPr>
                    <w:pStyle w:val="83"/>
                    <w:rPr>
                      <w:rFonts w:hint="default"/>
                    </w:rPr>
                  </w:pPr>
                  <w:r>
                    <w:t>20</w:t>
                  </w:r>
                </w:p>
              </w:tc>
              <w:tc>
                <w:tcPr>
                  <w:tcW w:w="387" w:type="pct"/>
                  <w:noWrap/>
                  <w:vAlign w:val="center"/>
                </w:tcPr>
                <w:p w14:paraId="63204E9B">
                  <w:pPr>
                    <w:pStyle w:val="83"/>
                    <w:rPr>
                      <w:rFonts w:hint="default"/>
                    </w:rPr>
                  </w:pPr>
                  <w:r>
                    <w:t>达标</w:t>
                  </w:r>
                </w:p>
              </w:tc>
            </w:tr>
            <w:tr w14:paraId="0E044E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343E0CC7">
                  <w:pPr>
                    <w:pStyle w:val="83"/>
                    <w:rPr>
                      <w:rFonts w:hint="default"/>
                    </w:rPr>
                  </w:pPr>
                </w:p>
              </w:tc>
              <w:tc>
                <w:tcPr>
                  <w:tcW w:w="965" w:type="pct"/>
                  <w:vMerge w:val="restart"/>
                  <w:noWrap/>
                  <w:vAlign w:val="center"/>
                </w:tcPr>
                <w:p w14:paraId="4B7CF3D3">
                  <w:pPr>
                    <w:pStyle w:val="83"/>
                    <w:rPr>
                      <w:rFonts w:hint="default"/>
                    </w:rPr>
                  </w:pPr>
                  <w:r>
                    <w:t>纺丝14#排气筒</w:t>
                  </w:r>
                </w:p>
                <w:p w14:paraId="13A2D513">
                  <w:pPr>
                    <w:pStyle w:val="83"/>
                    <w:rPr>
                      <w:rFonts w:hint="default"/>
                    </w:rPr>
                  </w:pPr>
                  <w:r>
                    <w:t>DA114</w:t>
                  </w:r>
                </w:p>
              </w:tc>
              <w:tc>
                <w:tcPr>
                  <w:tcW w:w="750" w:type="pct"/>
                  <w:noWrap/>
                  <w:vAlign w:val="center"/>
                </w:tcPr>
                <w:p w14:paraId="68D4F132">
                  <w:pPr>
                    <w:pStyle w:val="83"/>
                    <w:rPr>
                      <w:rFonts w:hint="default"/>
                    </w:rPr>
                  </w:pPr>
                  <w:r>
                    <w:t>非甲烷总烃</w:t>
                  </w:r>
                </w:p>
              </w:tc>
              <w:tc>
                <w:tcPr>
                  <w:tcW w:w="1063" w:type="dxa"/>
                  <w:vMerge w:val="restart"/>
                  <w:vAlign w:val="center"/>
                </w:tcPr>
                <w:p w14:paraId="4C360D50">
                  <w:pPr>
                    <w:pStyle w:val="83"/>
                    <w:rPr>
                      <w:rFonts w:hint="default"/>
                    </w:rPr>
                  </w:pPr>
                  <w:r>
                    <w:t>6940</w:t>
                  </w:r>
                </w:p>
              </w:tc>
              <w:tc>
                <w:tcPr>
                  <w:tcW w:w="1096" w:type="dxa"/>
                  <w:noWrap/>
                  <w:vAlign w:val="center"/>
                </w:tcPr>
                <w:p w14:paraId="50A9A375">
                  <w:pPr>
                    <w:pStyle w:val="83"/>
                    <w:rPr>
                      <w:rFonts w:hint="default"/>
                    </w:rPr>
                  </w:pPr>
                  <w:r>
                    <w:t>4.55</w:t>
                  </w:r>
                </w:p>
              </w:tc>
              <w:tc>
                <w:tcPr>
                  <w:tcW w:w="1142" w:type="dxa"/>
                  <w:vAlign w:val="center"/>
                </w:tcPr>
                <w:p w14:paraId="16F0A0D7">
                  <w:pPr>
                    <w:pStyle w:val="83"/>
                    <w:rPr>
                      <w:rFonts w:hint="default"/>
                    </w:rPr>
                  </w:pPr>
                  <w:r>
                    <w:t>0.032</w:t>
                  </w:r>
                </w:p>
              </w:tc>
              <w:tc>
                <w:tcPr>
                  <w:tcW w:w="606" w:type="pct"/>
                  <w:noWrap/>
                  <w:vAlign w:val="center"/>
                </w:tcPr>
                <w:p w14:paraId="285709B6">
                  <w:pPr>
                    <w:pStyle w:val="83"/>
                    <w:rPr>
                      <w:rFonts w:hint="default"/>
                    </w:rPr>
                  </w:pPr>
                  <w:r>
                    <w:t>60</w:t>
                  </w:r>
                </w:p>
              </w:tc>
              <w:tc>
                <w:tcPr>
                  <w:tcW w:w="387" w:type="pct"/>
                  <w:noWrap/>
                  <w:vAlign w:val="center"/>
                </w:tcPr>
                <w:p w14:paraId="2E1C4809">
                  <w:pPr>
                    <w:pStyle w:val="83"/>
                    <w:rPr>
                      <w:rFonts w:hint="default"/>
                    </w:rPr>
                  </w:pPr>
                  <w:r>
                    <w:t>达标</w:t>
                  </w:r>
                </w:p>
              </w:tc>
            </w:tr>
            <w:tr w14:paraId="332BED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56480871">
                  <w:pPr>
                    <w:pStyle w:val="83"/>
                    <w:rPr>
                      <w:rFonts w:hint="default"/>
                    </w:rPr>
                  </w:pPr>
                </w:p>
              </w:tc>
              <w:tc>
                <w:tcPr>
                  <w:tcW w:w="965" w:type="pct"/>
                  <w:vMerge w:val="continue"/>
                  <w:vAlign w:val="center"/>
                </w:tcPr>
                <w:p w14:paraId="2478AE1F">
                  <w:pPr>
                    <w:pStyle w:val="83"/>
                    <w:rPr>
                      <w:rFonts w:hint="default"/>
                    </w:rPr>
                  </w:pPr>
                </w:p>
              </w:tc>
              <w:tc>
                <w:tcPr>
                  <w:tcW w:w="750" w:type="pct"/>
                  <w:noWrap/>
                  <w:vAlign w:val="center"/>
                </w:tcPr>
                <w:p w14:paraId="44BC9149">
                  <w:pPr>
                    <w:pStyle w:val="83"/>
                    <w:rPr>
                      <w:rFonts w:hint="default"/>
                    </w:rPr>
                  </w:pPr>
                  <w:r>
                    <w:t>颗粒物</w:t>
                  </w:r>
                </w:p>
              </w:tc>
              <w:tc>
                <w:tcPr>
                  <w:tcW w:w="1063" w:type="dxa"/>
                  <w:vMerge w:val="continue"/>
                  <w:vAlign w:val="center"/>
                </w:tcPr>
                <w:p w14:paraId="111E75F0">
                  <w:pPr>
                    <w:pStyle w:val="83"/>
                    <w:rPr>
                      <w:rFonts w:hint="default"/>
                    </w:rPr>
                  </w:pPr>
                </w:p>
              </w:tc>
              <w:tc>
                <w:tcPr>
                  <w:tcW w:w="1096" w:type="dxa"/>
                  <w:noWrap/>
                  <w:vAlign w:val="center"/>
                </w:tcPr>
                <w:p w14:paraId="589F388D">
                  <w:pPr>
                    <w:pStyle w:val="83"/>
                    <w:rPr>
                      <w:rFonts w:hint="default"/>
                    </w:rPr>
                  </w:pPr>
                  <w:r>
                    <w:t>1.8</w:t>
                  </w:r>
                </w:p>
              </w:tc>
              <w:tc>
                <w:tcPr>
                  <w:tcW w:w="1142" w:type="dxa"/>
                  <w:vAlign w:val="center"/>
                </w:tcPr>
                <w:p w14:paraId="6F49542F">
                  <w:pPr>
                    <w:pStyle w:val="83"/>
                    <w:rPr>
                      <w:rFonts w:hint="default"/>
                    </w:rPr>
                  </w:pPr>
                  <w:r>
                    <w:t>0.012</w:t>
                  </w:r>
                </w:p>
              </w:tc>
              <w:tc>
                <w:tcPr>
                  <w:tcW w:w="606" w:type="pct"/>
                  <w:noWrap/>
                  <w:vAlign w:val="center"/>
                </w:tcPr>
                <w:p w14:paraId="6B2F7C8B">
                  <w:pPr>
                    <w:pStyle w:val="83"/>
                    <w:rPr>
                      <w:rFonts w:hint="default"/>
                    </w:rPr>
                  </w:pPr>
                  <w:r>
                    <w:t>20</w:t>
                  </w:r>
                </w:p>
              </w:tc>
              <w:tc>
                <w:tcPr>
                  <w:tcW w:w="387" w:type="pct"/>
                  <w:noWrap/>
                  <w:vAlign w:val="center"/>
                </w:tcPr>
                <w:p w14:paraId="17C9C8E0">
                  <w:pPr>
                    <w:pStyle w:val="83"/>
                    <w:rPr>
                      <w:rFonts w:hint="default"/>
                    </w:rPr>
                  </w:pPr>
                  <w:r>
                    <w:t>达标</w:t>
                  </w:r>
                </w:p>
              </w:tc>
            </w:tr>
            <w:tr w14:paraId="1DE2BC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3752770F">
                  <w:pPr>
                    <w:pStyle w:val="83"/>
                    <w:rPr>
                      <w:rFonts w:hint="default"/>
                    </w:rPr>
                  </w:pPr>
                </w:p>
              </w:tc>
              <w:tc>
                <w:tcPr>
                  <w:tcW w:w="965" w:type="pct"/>
                  <w:vMerge w:val="restart"/>
                  <w:noWrap/>
                  <w:vAlign w:val="center"/>
                </w:tcPr>
                <w:p w14:paraId="71AE4081">
                  <w:pPr>
                    <w:pStyle w:val="83"/>
                    <w:rPr>
                      <w:rFonts w:hint="default"/>
                    </w:rPr>
                  </w:pPr>
                  <w:r>
                    <w:t>纺丝16#排气筒</w:t>
                  </w:r>
                </w:p>
                <w:p w14:paraId="44ED8EB2">
                  <w:pPr>
                    <w:pStyle w:val="83"/>
                    <w:rPr>
                      <w:rFonts w:hint="default"/>
                    </w:rPr>
                  </w:pPr>
                  <w:r>
                    <w:t>DA115</w:t>
                  </w:r>
                </w:p>
              </w:tc>
              <w:tc>
                <w:tcPr>
                  <w:tcW w:w="750" w:type="pct"/>
                  <w:noWrap/>
                  <w:vAlign w:val="center"/>
                </w:tcPr>
                <w:p w14:paraId="688829FD">
                  <w:pPr>
                    <w:pStyle w:val="83"/>
                    <w:rPr>
                      <w:rFonts w:hint="default"/>
                    </w:rPr>
                  </w:pPr>
                  <w:r>
                    <w:t>非甲烷总烃</w:t>
                  </w:r>
                </w:p>
              </w:tc>
              <w:tc>
                <w:tcPr>
                  <w:tcW w:w="1063" w:type="dxa"/>
                  <w:vMerge w:val="restart"/>
                  <w:vAlign w:val="center"/>
                </w:tcPr>
                <w:p w14:paraId="4ABFBB42">
                  <w:pPr>
                    <w:pStyle w:val="83"/>
                    <w:rPr>
                      <w:rFonts w:hint="default"/>
                    </w:rPr>
                  </w:pPr>
                  <w:r>
                    <w:t>5720</w:t>
                  </w:r>
                </w:p>
              </w:tc>
              <w:tc>
                <w:tcPr>
                  <w:tcW w:w="1096" w:type="dxa"/>
                  <w:noWrap/>
                  <w:vAlign w:val="center"/>
                </w:tcPr>
                <w:p w14:paraId="387F9F7B">
                  <w:pPr>
                    <w:pStyle w:val="83"/>
                    <w:rPr>
                      <w:rFonts w:hint="default"/>
                    </w:rPr>
                  </w:pPr>
                  <w:r>
                    <w:t>2.4</w:t>
                  </w:r>
                </w:p>
              </w:tc>
              <w:tc>
                <w:tcPr>
                  <w:tcW w:w="1142" w:type="dxa"/>
                  <w:vAlign w:val="center"/>
                </w:tcPr>
                <w:p w14:paraId="1315F69F">
                  <w:pPr>
                    <w:pStyle w:val="83"/>
                    <w:rPr>
                      <w:rFonts w:hint="default"/>
                    </w:rPr>
                  </w:pPr>
                  <w:r>
                    <w:t>0.014</w:t>
                  </w:r>
                </w:p>
              </w:tc>
              <w:tc>
                <w:tcPr>
                  <w:tcW w:w="606" w:type="pct"/>
                  <w:noWrap/>
                  <w:vAlign w:val="center"/>
                </w:tcPr>
                <w:p w14:paraId="4CA2E96F">
                  <w:pPr>
                    <w:pStyle w:val="83"/>
                    <w:rPr>
                      <w:rFonts w:hint="default"/>
                    </w:rPr>
                  </w:pPr>
                  <w:r>
                    <w:t>60</w:t>
                  </w:r>
                </w:p>
              </w:tc>
              <w:tc>
                <w:tcPr>
                  <w:tcW w:w="387" w:type="pct"/>
                  <w:noWrap/>
                  <w:vAlign w:val="center"/>
                </w:tcPr>
                <w:p w14:paraId="20E21F98">
                  <w:pPr>
                    <w:pStyle w:val="83"/>
                    <w:rPr>
                      <w:rFonts w:hint="default"/>
                    </w:rPr>
                  </w:pPr>
                  <w:r>
                    <w:t>达标</w:t>
                  </w:r>
                </w:p>
              </w:tc>
            </w:tr>
            <w:tr w14:paraId="7E9D35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1E6BE926">
                  <w:pPr>
                    <w:pStyle w:val="83"/>
                    <w:rPr>
                      <w:rFonts w:hint="default"/>
                    </w:rPr>
                  </w:pPr>
                </w:p>
              </w:tc>
              <w:tc>
                <w:tcPr>
                  <w:tcW w:w="965" w:type="pct"/>
                  <w:vMerge w:val="continue"/>
                  <w:vAlign w:val="center"/>
                </w:tcPr>
                <w:p w14:paraId="2CDC1D2A">
                  <w:pPr>
                    <w:pStyle w:val="83"/>
                    <w:rPr>
                      <w:rFonts w:hint="default"/>
                    </w:rPr>
                  </w:pPr>
                </w:p>
              </w:tc>
              <w:tc>
                <w:tcPr>
                  <w:tcW w:w="750" w:type="pct"/>
                  <w:noWrap/>
                  <w:vAlign w:val="center"/>
                </w:tcPr>
                <w:p w14:paraId="13579D3E">
                  <w:pPr>
                    <w:pStyle w:val="83"/>
                    <w:rPr>
                      <w:rFonts w:hint="default"/>
                    </w:rPr>
                  </w:pPr>
                  <w:r>
                    <w:t>颗粒物</w:t>
                  </w:r>
                </w:p>
              </w:tc>
              <w:tc>
                <w:tcPr>
                  <w:tcW w:w="1063" w:type="dxa"/>
                  <w:vMerge w:val="continue"/>
                  <w:vAlign w:val="center"/>
                </w:tcPr>
                <w:p w14:paraId="233803DB">
                  <w:pPr>
                    <w:pStyle w:val="83"/>
                    <w:rPr>
                      <w:rFonts w:hint="default"/>
                    </w:rPr>
                  </w:pPr>
                </w:p>
              </w:tc>
              <w:tc>
                <w:tcPr>
                  <w:tcW w:w="1096" w:type="dxa"/>
                  <w:noWrap/>
                  <w:vAlign w:val="center"/>
                </w:tcPr>
                <w:p w14:paraId="36F8A21B">
                  <w:pPr>
                    <w:pStyle w:val="83"/>
                    <w:rPr>
                      <w:rFonts w:hint="default"/>
                    </w:rPr>
                  </w:pPr>
                  <w:r>
                    <w:t>6.5</w:t>
                  </w:r>
                </w:p>
              </w:tc>
              <w:tc>
                <w:tcPr>
                  <w:tcW w:w="1142" w:type="dxa"/>
                  <w:vAlign w:val="center"/>
                </w:tcPr>
                <w:p w14:paraId="7B6FAC76">
                  <w:pPr>
                    <w:pStyle w:val="83"/>
                    <w:rPr>
                      <w:rFonts w:hint="default"/>
                    </w:rPr>
                  </w:pPr>
                  <w:r>
                    <w:t>0.037</w:t>
                  </w:r>
                </w:p>
              </w:tc>
              <w:tc>
                <w:tcPr>
                  <w:tcW w:w="606" w:type="pct"/>
                  <w:noWrap/>
                  <w:vAlign w:val="center"/>
                </w:tcPr>
                <w:p w14:paraId="06383616">
                  <w:pPr>
                    <w:pStyle w:val="83"/>
                    <w:rPr>
                      <w:rFonts w:hint="default"/>
                    </w:rPr>
                  </w:pPr>
                  <w:r>
                    <w:t>20</w:t>
                  </w:r>
                </w:p>
              </w:tc>
              <w:tc>
                <w:tcPr>
                  <w:tcW w:w="387" w:type="pct"/>
                  <w:noWrap/>
                  <w:vAlign w:val="center"/>
                </w:tcPr>
                <w:p w14:paraId="357FB05A">
                  <w:pPr>
                    <w:pStyle w:val="83"/>
                    <w:rPr>
                      <w:rFonts w:hint="default"/>
                    </w:rPr>
                  </w:pPr>
                  <w:r>
                    <w:t>达标</w:t>
                  </w:r>
                </w:p>
              </w:tc>
            </w:tr>
            <w:tr w14:paraId="56E483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70210489">
                  <w:pPr>
                    <w:pStyle w:val="83"/>
                    <w:rPr>
                      <w:rFonts w:hint="default"/>
                    </w:rPr>
                  </w:pPr>
                </w:p>
              </w:tc>
              <w:tc>
                <w:tcPr>
                  <w:tcW w:w="965" w:type="pct"/>
                  <w:vMerge w:val="restart"/>
                  <w:vAlign w:val="center"/>
                </w:tcPr>
                <w:p w14:paraId="3DB8021E">
                  <w:pPr>
                    <w:pStyle w:val="83"/>
                    <w:rPr>
                      <w:rFonts w:hint="default"/>
                    </w:rPr>
                  </w:pPr>
                  <w:r>
                    <w:t>纺丝19#排气筒</w:t>
                  </w:r>
                </w:p>
                <w:p w14:paraId="57360699">
                  <w:pPr>
                    <w:pStyle w:val="83"/>
                    <w:rPr>
                      <w:rFonts w:hint="default"/>
                    </w:rPr>
                  </w:pPr>
                  <w:r>
                    <w:t>DA116</w:t>
                  </w:r>
                </w:p>
              </w:tc>
              <w:tc>
                <w:tcPr>
                  <w:tcW w:w="750" w:type="pct"/>
                  <w:noWrap/>
                  <w:vAlign w:val="center"/>
                </w:tcPr>
                <w:p w14:paraId="4EA80348">
                  <w:pPr>
                    <w:pStyle w:val="83"/>
                    <w:rPr>
                      <w:rFonts w:hint="default"/>
                    </w:rPr>
                  </w:pPr>
                  <w:r>
                    <w:t>非甲烷总烃</w:t>
                  </w:r>
                </w:p>
              </w:tc>
              <w:tc>
                <w:tcPr>
                  <w:tcW w:w="1063" w:type="dxa"/>
                  <w:vMerge w:val="restart"/>
                  <w:vAlign w:val="center"/>
                </w:tcPr>
                <w:p w14:paraId="1E92C9FC">
                  <w:pPr>
                    <w:pStyle w:val="83"/>
                    <w:rPr>
                      <w:rFonts w:hint="default"/>
                    </w:rPr>
                  </w:pPr>
                  <w:r>
                    <w:t>6440</w:t>
                  </w:r>
                </w:p>
              </w:tc>
              <w:tc>
                <w:tcPr>
                  <w:tcW w:w="1096" w:type="dxa"/>
                  <w:noWrap/>
                  <w:vAlign w:val="center"/>
                </w:tcPr>
                <w:p w14:paraId="005B8073">
                  <w:pPr>
                    <w:pStyle w:val="83"/>
                    <w:rPr>
                      <w:rFonts w:hint="default"/>
                    </w:rPr>
                  </w:pPr>
                  <w:r>
                    <w:t>2.42</w:t>
                  </w:r>
                </w:p>
              </w:tc>
              <w:tc>
                <w:tcPr>
                  <w:tcW w:w="1142" w:type="dxa"/>
                  <w:vAlign w:val="center"/>
                </w:tcPr>
                <w:p w14:paraId="515B5C38">
                  <w:pPr>
                    <w:pStyle w:val="83"/>
                    <w:rPr>
                      <w:rFonts w:hint="default"/>
                    </w:rPr>
                  </w:pPr>
                  <w:r>
                    <w:t>0.016</w:t>
                  </w:r>
                </w:p>
              </w:tc>
              <w:tc>
                <w:tcPr>
                  <w:tcW w:w="606" w:type="pct"/>
                  <w:noWrap/>
                  <w:vAlign w:val="center"/>
                </w:tcPr>
                <w:p w14:paraId="38EDC323">
                  <w:pPr>
                    <w:pStyle w:val="83"/>
                    <w:rPr>
                      <w:rFonts w:hint="default"/>
                    </w:rPr>
                  </w:pPr>
                  <w:r>
                    <w:t>60</w:t>
                  </w:r>
                </w:p>
              </w:tc>
              <w:tc>
                <w:tcPr>
                  <w:tcW w:w="387" w:type="pct"/>
                  <w:noWrap/>
                  <w:vAlign w:val="center"/>
                </w:tcPr>
                <w:p w14:paraId="1463E212">
                  <w:pPr>
                    <w:pStyle w:val="83"/>
                    <w:rPr>
                      <w:rFonts w:hint="default"/>
                    </w:rPr>
                  </w:pPr>
                  <w:r>
                    <w:t>达标</w:t>
                  </w:r>
                </w:p>
              </w:tc>
            </w:tr>
            <w:tr w14:paraId="4439C1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1797050D">
                  <w:pPr>
                    <w:pStyle w:val="83"/>
                    <w:rPr>
                      <w:rFonts w:hint="default"/>
                    </w:rPr>
                  </w:pPr>
                </w:p>
              </w:tc>
              <w:tc>
                <w:tcPr>
                  <w:tcW w:w="965" w:type="pct"/>
                  <w:vMerge w:val="continue"/>
                  <w:vAlign w:val="center"/>
                </w:tcPr>
                <w:p w14:paraId="17A974E1">
                  <w:pPr>
                    <w:pStyle w:val="83"/>
                    <w:rPr>
                      <w:rFonts w:hint="default"/>
                    </w:rPr>
                  </w:pPr>
                </w:p>
              </w:tc>
              <w:tc>
                <w:tcPr>
                  <w:tcW w:w="750" w:type="pct"/>
                  <w:noWrap/>
                  <w:vAlign w:val="center"/>
                </w:tcPr>
                <w:p w14:paraId="5AF59535">
                  <w:pPr>
                    <w:pStyle w:val="83"/>
                    <w:rPr>
                      <w:rFonts w:hint="default"/>
                    </w:rPr>
                  </w:pPr>
                  <w:r>
                    <w:t>颗粒物</w:t>
                  </w:r>
                </w:p>
              </w:tc>
              <w:tc>
                <w:tcPr>
                  <w:tcW w:w="1063" w:type="dxa"/>
                  <w:vMerge w:val="continue"/>
                  <w:vAlign w:val="center"/>
                </w:tcPr>
                <w:p w14:paraId="1A69F84F">
                  <w:pPr>
                    <w:pStyle w:val="83"/>
                    <w:rPr>
                      <w:rFonts w:hint="default"/>
                    </w:rPr>
                  </w:pPr>
                </w:p>
              </w:tc>
              <w:tc>
                <w:tcPr>
                  <w:tcW w:w="1096" w:type="dxa"/>
                  <w:noWrap/>
                  <w:vAlign w:val="center"/>
                </w:tcPr>
                <w:p w14:paraId="6E67B14F">
                  <w:pPr>
                    <w:pStyle w:val="83"/>
                    <w:rPr>
                      <w:rFonts w:hint="default"/>
                    </w:rPr>
                  </w:pPr>
                  <w:r>
                    <w:t>4.1</w:t>
                  </w:r>
                </w:p>
              </w:tc>
              <w:tc>
                <w:tcPr>
                  <w:tcW w:w="1142" w:type="dxa"/>
                  <w:vAlign w:val="center"/>
                </w:tcPr>
                <w:p w14:paraId="1B0A0FE6">
                  <w:pPr>
                    <w:pStyle w:val="83"/>
                    <w:rPr>
                      <w:rFonts w:hint="default"/>
                    </w:rPr>
                  </w:pPr>
                  <w:r>
                    <w:t>0.026</w:t>
                  </w:r>
                </w:p>
              </w:tc>
              <w:tc>
                <w:tcPr>
                  <w:tcW w:w="606" w:type="pct"/>
                  <w:noWrap/>
                  <w:vAlign w:val="center"/>
                </w:tcPr>
                <w:p w14:paraId="6C10A91E">
                  <w:pPr>
                    <w:pStyle w:val="83"/>
                    <w:rPr>
                      <w:rFonts w:hint="default"/>
                    </w:rPr>
                  </w:pPr>
                  <w:r>
                    <w:t>20</w:t>
                  </w:r>
                </w:p>
              </w:tc>
              <w:tc>
                <w:tcPr>
                  <w:tcW w:w="387" w:type="pct"/>
                  <w:noWrap/>
                  <w:vAlign w:val="center"/>
                </w:tcPr>
                <w:p w14:paraId="5634D770">
                  <w:pPr>
                    <w:pStyle w:val="83"/>
                    <w:rPr>
                      <w:rFonts w:hint="default"/>
                    </w:rPr>
                  </w:pPr>
                  <w:r>
                    <w:t>达标</w:t>
                  </w:r>
                </w:p>
              </w:tc>
            </w:tr>
            <w:tr w14:paraId="551189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76B2AF81">
                  <w:pPr>
                    <w:pStyle w:val="83"/>
                    <w:rPr>
                      <w:rFonts w:hint="default"/>
                    </w:rPr>
                  </w:pPr>
                </w:p>
              </w:tc>
              <w:tc>
                <w:tcPr>
                  <w:tcW w:w="965" w:type="pct"/>
                  <w:vMerge w:val="restart"/>
                  <w:vAlign w:val="center"/>
                </w:tcPr>
                <w:p w14:paraId="4003E19F">
                  <w:pPr>
                    <w:pStyle w:val="83"/>
                    <w:rPr>
                      <w:rFonts w:hint="default"/>
                    </w:rPr>
                  </w:pPr>
                  <w:r>
                    <w:t>纺丝20#排气筒</w:t>
                  </w:r>
                </w:p>
                <w:p w14:paraId="6FF3710B">
                  <w:pPr>
                    <w:pStyle w:val="83"/>
                    <w:rPr>
                      <w:rFonts w:hint="default"/>
                    </w:rPr>
                  </w:pPr>
                  <w:r>
                    <w:t>DA117</w:t>
                  </w:r>
                </w:p>
              </w:tc>
              <w:tc>
                <w:tcPr>
                  <w:tcW w:w="750" w:type="pct"/>
                  <w:noWrap/>
                  <w:vAlign w:val="center"/>
                </w:tcPr>
                <w:p w14:paraId="69449C7E">
                  <w:pPr>
                    <w:pStyle w:val="83"/>
                    <w:rPr>
                      <w:rFonts w:hint="default"/>
                    </w:rPr>
                  </w:pPr>
                  <w:r>
                    <w:t>非甲烷总烃</w:t>
                  </w:r>
                </w:p>
              </w:tc>
              <w:tc>
                <w:tcPr>
                  <w:tcW w:w="1063" w:type="dxa"/>
                  <w:vMerge w:val="restart"/>
                  <w:vAlign w:val="center"/>
                </w:tcPr>
                <w:p w14:paraId="08348463">
                  <w:pPr>
                    <w:pStyle w:val="83"/>
                    <w:rPr>
                      <w:rFonts w:hint="default"/>
                    </w:rPr>
                  </w:pPr>
                  <w:r>
                    <w:t>5880</w:t>
                  </w:r>
                </w:p>
              </w:tc>
              <w:tc>
                <w:tcPr>
                  <w:tcW w:w="1096" w:type="dxa"/>
                  <w:noWrap/>
                  <w:vAlign w:val="center"/>
                </w:tcPr>
                <w:p w14:paraId="61C7920B">
                  <w:pPr>
                    <w:pStyle w:val="83"/>
                    <w:rPr>
                      <w:rFonts w:hint="default"/>
                    </w:rPr>
                  </w:pPr>
                  <w:r>
                    <w:t>2.14</w:t>
                  </w:r>
                </w:p>
              </w:tc>
              <w:tc>
                <w:tcPr>
                  <w:tcW w:w="1142" w:type="dxa"/>
                  <w:vAlign w:val="center"/>
                </w:tcPr>
                <w:p w14:paraId="403AA629">
                  <w:pPr>
                    <w:pStyle w:val="83"/>
                    <w:rPr>
                      <w:rFonts w:hint="default"/>
                    </w:rPr>
                  </w:pPr>
                  <w:r>
                    <w:t>0.013</w:t>
                  </w:r>
                </w:p>
              </w:tc>
              <w:tc>
                <w:tcPr>
                  <w:tcW w:w="606" w:type="pct"/>
                  <w:noWrap/>
                  <w:vAlign w:val="center"/>
                </w:tcPr>
                <w:p w14:paraId="25053788">
                  <w:pPr>
                    <w:pStyle w:val="83"/>
                    <w:rPr>
                      <w:rFonts w:hint="default"/>
                    </w:rPr>
                  </w:pPr>
                  <w:r>
                    <w:t>60</w:t>
                  </w:r>
                </w:p>
              </w:tc>
              <w:tc>
                <w:tcPr>
                  <w:tcW w:w="387" w:type="pct"/>
                  <w:noWrap/>
                  <w:vAlign w:val="center"/>
                </w:tcPr>
                <w:p w14:paraId="54301E91">
                  <w:pPr>
                    <w:pStyle w:val="83"/>
                    <w:rPr>
                      <w:rFonts w:hint="default"/>
                    </w:rPr>
                  </w:pPr>
                  <w:r>
                    <w:t>达标</w:t>
                  </w:r>
                </w:p>
              </w:tc>
            </w:tr>
            <w:tr w14:paraId="02ED79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1CD1F1E4">
                  <w:pPr>
                    <w:pStyle w:val="83"/>
                    <w:rPr>
                      <w:rFonts w:hint="default"/>
                    </w:rPr>
                  </w:pPr>
                </w:p>
              </w:tc>
              <w:tc>
                <w:tcPr>
                  <w:tcW w:w="965" w:type="pct"/>
                  <w:vMerge w:val="continue"/>
                  <w:vAlign w:val="center"/>
                </w:tcPr>
                <w:p w14:paraId="3D3982C2">
                  <w:pPr>
                    <w:pStyle w:val="83"/>
                    <w:rPr>
                      <w:rFonts w:hint="default"/>
                    </w:rPr>
                  </w:pPr>
                </w:p>
              </w:tc>
              <w:tc>
                <w:tcPr>
                  <w:tcW w:w="750" w:type="pct"/>
                  <w:noWrap/>
                  <w:vAlign w:val="center"/>
                </w:tcPr>
                <w:p w14:paraId="625A1887">
                  <w:pPr>
                    <w:pStyle w:val="83"/>
                    <w:rPr>
                      <w:rFonts w:hint="default"/>
                    </w:rPr>
                  </w:pPr>
                  <w:r>
                    <w:t>颗粒物</w:t>
                  </w:r>
                </w:p>
              </w:tc>
              <w:tc>
                <w:tcPr>
                  <w:tcW w:w="1063" w:type="dxa"/>
                  <w:vMerge w:val="continue"/>
                  <w:vAlign w:val="center"/>
                </w:tcPr>
                <w:p w14:paraId="356BDAE5">
                  <w:pPr>
                    <w:pStyle w:val="83"/>
                    <w:rPr>
                      <w:rFonts w:hint="default"/>
                    </w:rPr>
                  </w:pPr>
                </w:p>
              </w:tc>
              <w:tc>
                <w:tcPr>
                  <w:tcW w:w="1096" w:type="dxa"/>
                  <w:noWrap/>
                  <w:vAlign w:val="center"/>
                </w:tcPr>
                <w:p w14:paraId="05B95398">
                  <w:pPr>
                    <w:pStyle w:val="83"/>
                    <w:rPr>
                      <w:rFonts w:hint="default"/>
                    </w:rPr>
                  </w:pPr>
                  <w:r>
                    <w:t>2.5</w:t>
                  </w:r>
                </w:p>
              </w:tc>
              <w:tc>
                <w:tcPr>
                  <w:tcW w:w="1142" w:type="dxa"/>
                  <w:vAlign w:val="center"/>
                </w:tcPr>
                <w:p w14:paraId="31C89DE0">
                  <w:pPr>
                    <w:pStyle w:val="83"/>
                    <w:rPr>
                      <w:rFonts w:hint="default"/>
                    </w:rPr>
                  </w:pPr>
                  <w:r>
                    <w:t>0.015</w:t>
                  </w:r>
                </w:p>
              </w:tc>
              <w:tc>
                <w:tcPr>
                  <w:tcW w:w="606" w:type="pct"/>
                  <w:noWrap/>
                  <w:vAlign w:val="center"/>
                </w:tcPr>
                <w:p w14:paraId="785D61EE">
                  <w:pPr>
                    <w:pStyle w:val="83"/>
                    <w:rPr>
                      <w:rFonts w:hint="default"/>
                    </w:rPr>
                  </w:pPr>
                  <w:r>
                    <w:t>20</w:t>
                  </w:r>
                </w:p>
              </w:tc>
              <w:tc>
                <w:tcPr>
                  <w:tcW w:w="387" w:type="pct"/>
                  <w:noWrap/>
                  <w:vAlign w:val="center"/>
                </w:tcPr>
                <w:p w14:paraId="3182D336">
                  <w:pPr>
                    <w:pStyle w:val="83"/>
                    <w:rPr>
                      <w:rFonts w:hint="default"/>
                    </w:rPr>
                  </w:pPr>
                  <w:r>
                    <w:t>达标</w:t>
                  </w:r>
                </w:p>
              </w:tc>
            </w:tr>
            <w:tr w14:paraId="4A3C66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6B69C6F0">
                  <w:pPr>
                    <w:pStyle w:val="83"/>
                    <w:rPr>
                      <w:rFonts w:hint="default"/>
                    </w:rPr>
                  </w:pPr>
                </w:p>
              </w:tc>
              <w:tc>
                <w:tcPr>
                  <w:tcW w:w="965" w:type="pct"/>
                  <w:vMerge w:val="restart"/>
                  <w:vAlign w:val="center"/>
                </w:tcPr>
                <w:p w14:paraId="5401DE59">
                  <w:pPr>
                    <w:pStyle w:val="83"/>
                    <w:rPr>
                      <w:rFonts w:hint="default"/>
                    </w:rPr>
                  </w:pPr>
                  <w:r>
                    <w:t>纺丝21#排气筒</w:t>
                  </w:r>
                </w:p>
                <w:p w14:paraId="66BBE228">
                  <w:pPr>
                    <w:pStyle w:val="83"/>
                    <w:rPr>
                      <w:rFonts w:hint="default"/>
                    </w:rPr>
                  </w:pPr>
                  <w:r>
                    <w:t>DA118</w:t>
                  </w:r>
                </w:p>
              </w:tc>
              <w:tc>
                <w:tcPr>
                  <w:tcW w:w="750" w:type="pct"/>
                  <w:noWrap/>
                  <w:vAlign w:val="center"/>
                </w:tcPr>
                <w:p w14:paraId="50E012F7">
                  <w:pPr>
                    <w:pStyle w:val="83"/>
                    <w:rPr>
                      <w:rFonts w:hint="default"/>
                    </w:rPr>
                  </w:pPr>
                  <w:r>
                    <w:t>非甲烷总烃</w:t>
                  </w:r>
                </w:p>
              </w:tc>
              <w:tc>
                <w:tcPr>
                  <w:tcW w:w="1063" w:type="dxa"/>
                  <w:vMerge w:val="restart"/>
                  <w:vAlign w:val="center"/>
                </w:tcPr>
                <w:p w14:paraId="3F445FED">
                  <w:pPr>
                    <w:pStyle w:val="83"/>
                    <w:rPr>
                      <w:rFonts w:hint="default"/>
                    </w:rPr>
                  </w:pPr>
                  <w:r>
                    <w:t>3920</w:t>
                  </w:r>
                </w:p>
              </w:tc>
              <w:tc>
                <w:tcPr>
                  <w:tcW w:w="1096" w:type="dxa"/>
                  <w:noWrap/>
                  <w:vAlign w:val="center"/>
                </w:tcPr>
                <w:p w14:paraId="3D20EAE7">
                  <w:pPr>
                    <w:pStyle w:val="83"/>
                    <w:rPr>
                      <w:rFonts w:hint="default"/>
                    </w:rPr>
                  </w:pPr>
                  <w:r>
                    <w:t>2.73</w:t>
                  </w:r>
                </w:p>
              </w:tc>
              <w:tc>
                <w:tcPr>
                  <w:tcW w:w="1142" w:type="dxa"/>
                  <w:vAlign w:val="center"/>
                </w:tcPr>
                <w:p w14:paraId="32E077A9">
                  <w:pPr>
                    <w:pStyle w:val="83"/>
                    <w:rPr>
                      <w:rFonts w:hint="default"/>
                    </w:rPr>
                  </w:pPr>
                  <w:r>
                    <w:t>0.011</w:t>
                  </w:r>
                </w:p>
              </w:tc>
              <w:tc>
                <w:tcPr>
                  <w:tcW w:w="606" w:type="pct"/>
                  <w:noWrap/>
                  <w:vAlign w:val="center"/>
                </w:tcPr>
                <w:p w14:paraId="685B5CC4">
                  <w:pPr>
                    <w:pStyle w:val="83"/>
                    <w:rPr>
                      <w:rFonts w:hint="default"/>
                    </w:rPr>
                  </w:pPr>
                  <w:r>
                    <w:t>60</w:t>
                  </w:r>
                </w:p>
              </w:tc>
              <w:tc>
                <w:tcPr>
                  <w:tcW w:w="387" w:type="pct"/>
                  <w:noWrap/>
                  <w:vAlign w:val="center"/>
                </w:tcPr>
                <w:p w14:paraId="1402CB42">
                  <w:pPr>
                    <w:pStyle w:val="83"/>
                    <w:rPr>
                      <w:rFonts w:hint="default"/>
                    </w:rPr>
                  </w:pPr>
                  <w:r>
                    <w:t>达标</w:t>
                  </w:r>
                </w:p>
              </w:tc>
            </w:tr>
            <w:tr w14:paraId="64C292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0A3D35C1">
                  <w:pPr>
                    <w:pStyle w:val="83"/>
                    <w:rPr>
                      <w:rFonts w:hint="default"/>
                    </w:rPr>
                  </w:pPr>
                </w:p>
              </w:tc>
              <w:tc>
                <w:tcPr>
                  <w:tcW w:w="965" w:type="pct"/>
                  <w:vMerge w:val="continue"/>
                  <w:vAlign w:val="center"/>
                </w:tcPr>
                <w:p w14:paraId="6943D439">
                  <w:pPr>
                    <w:pStyle w:val="83"/>
                    <w:rPr>
                      <w:rFonts w:hint="default"/>
                    </w:rPr>
                  </w:pPr>
                </w:p>
              </w:tc>
              <w:tc>
                <w:tcPr>
                  <w:tcW w:w="750" w:type="pct"/>
                  <w:noWrap/>
                  <w:vAlign w:val="center"/>
                </w:tcPr>
                <w:p w14:paraId="6A3187DD">
                  <w:pPr>
                    <w:pStyle w:val="83"/>
                    <w:rPr>
                      <w:rFonts w:hint="default"/>
                    </w:rPr>
                  </w:pPr>
                  <w:r>
                    <w:t>颗粒物</w:t>
                  </w:r>
                </w:p>
              </w:tc>
              <w:tc>
                <w:tcPr>
                  <w:tcW w:w="1063" w:type="dxa"/>
                  <w:vMerge w:val="continue"/>
                  <w:vAlign w:val="center"/>
                </w:tcPr>
                <w:p w14:paraId="09361E7A">
                  <w:pPr>
                    <w:pStyle w:val="83"/>
                    <w:rPr>
                      <w:rFonts w:hint="default"/>
                    </w:rPr>
                  </w:pPr>
                </w:p>
              </w:tc>
              <w:tc>
                <w:tcPr>
                  <w:tcW w:w="1096" w:type="dxa"/>
                  <w:noWrap/>
                  <w:vAlign w:val="center"/>
                </w:tcPr>
                <w:p w14:paraId="7C3BE517">
                  <w:pPr>
                    <w:pStyle w:val="83"/>
                    <w:rPr>
                      <w:rFonts w:hint="default"/>
                    </w:rPr>
                  </w:pPr>
                  <w:r>
                    <w:t>4</w:t>
                  </w:r>
                </w:p>
              </w:tc>
              <w:tc>
                <w:tcPr>
                  <w:tcW w:w="1142" w:type="dxa"/>
                  <w:vAlign w:val="center"/>
                </w:tcPr>
                <w:p w14:paraId="20D09B18">
                  <w:pPr>
                    <w:pStyle w:val="83"/>
                    <w:rPr>
                      <w:rFonts w:hint="default"/>
                    </w:rPr>
                  </w:pPr>
                  <w:r>
                    <w:t>0.016</w:t>
                  </w:r>
                </w:p>
              </w:tc>
              <w:tc>
                <w:tcPr>
                  <w:tcW w:w="606" w:type="pct"/>
                  <w:noWrap/>
                  <w:vAlign w:val="center"/>
                </w:tcPr>
                <w:p w14:paraId="7DDAA562">
                  <w:pPr>
                    <w:pStyle w:val="83"/>
                    <w:rPr>
                      <w:rFonts w:hint="default"/>
                    </w:rPr>
                  </w:pPr>
                  <w:r>
                    <w:t>20</w:t>
                  </w:r>
                </w:p>
              </w:tc>
              <w:tc>
                <w:tcPr>
                  <w:tcW w:w="387" w:type="pct"/>
                  <w:noWrap/>
                  <w:vAlign w:val="center"/>
                </w:tcPr>
                <w:p w14:paraId="48078D3F">
                  <w:pPr>
                    <w:pStyle w:val="83"/>
                    <w:rPr>
                      <w:rFonts w:hint="default"/>
                    </w:rPr>
                  </w:pPr>
                  <w:r>
                    <w:t>达标</w:t>
                  </w:r>
                </w:p>
              </w:tc>
            </w:tr>
            <w:tr w14:paraId="6D0387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1777AEE6">
                  <w:pPr>
                    <w:pStyle w:val="83"/>
                    <w:rPr>
                      <w:rFonts w:hint="default"/>
                    </w:rPr>
                  </w:pPr>
                </w:p>
              </w:tc>
              <w:tc>
                <w:tcPr>
                  <w:tcW w:w="965" w:type="pct"/>
                  <w:vMerge w:val="restart"/>
                  <w:vAlign w:val="center"/>
                </w:tcPr>
                <w:p w14:paraId="657D5E7B">
                  <w:pPr>
                    <w:pStyle w:val="83"/>
                    <w:rPr>
                      <w:rFonts w:hint="default"/>
                    </w:rPr>
                  </w:pPr>
                  <w:r>
                    <w:t>纺丝22#排气筒</w:t>
                  </w:r>
                </w:p>
                <w:p w14:paraId="159E85FA">
                  <w:pPr>
                    <w:pStyle w:val="83"/>
                    <w:rPr>
                      <w:rFonts w:hint="default"/>
                    </w:rPr>
                  </w:pPr>
                  <w:r>
                    <w:t>DA119</w:t>
                  </w:r>
                </w:p>
              </w:tc>
              <w:tc>
                <w:tcPr>
                  <w:tcW w:w="750" w:type="pct"/>
                  <w:noWrap/>
                  <w:vAlign w:val="center"/>
                </w:tcPr>
                <w:p w14:paraId="7D8693DE">
                  <w:pPr>
                    <w:pStyle w:val="83"/>
                    <w:rPr>
                      <w:rFonts w:hint="default"/>
                    </w:rPr>
                  </w:pPr>
                  <w:r>
                    <w:t>非甲烷总烃</w:t>
                  </w:r>
                </w:p>
              </w:tc>
              <w:tc>
                <w:tcPr>
                  <w:tcW w:w="1063" w:type="dxa"/>
                  <w:vMerge w:val="restart"/>
                  <w:vAlign w:val="center"/>
                </w:tcPr>
                <w:p w14:paraId="2EE3B9DD">
                  <w:pPr>
                    <w:pStyle w:val="83"/>
                    <w:rPr>
                      <w:rFonts w:hint="default"/>
                    </w:rPr>
                  </w:pPr>
                  <w:r>
                    <w:t>5080</w:t>
                  </w:r>
                </w:p>
              </w:tc>
              <w:tc>
                <w:tcPr>
                  <w:tcW w:w="1096" w:type="dxa"/>
                  <w:noWrap/>
                  <w:vAlign w:val="center"/>
                </w:tcPr>
                <w:p w14:paraId="715E23D5">
                  <w:pPr>
                    <w:pStyle w:val="83"/>
                    <w:rPr>
                      <w:rFonts w:hint="default"/>
                    </w:rPr>
                  </w:pPr>
                  <w:r>
                    <w:t>2.67</w:t>
                  </w:r>
                </w:p>
              </w:tc>
              <w:tc>
                <w:tcPr>
                  <w:tcW w:w="1142" w:type="dxa"/>
                  <w:vAlign w:val="center"/>
                </w:tcPr>
                <w:p w14:paraId="43918655">
                  <w:pPr>
                    <w:pStyle w:val="83"/>
                    <w:rPr>
                      <w:rFonts w:hint="default"/>
                    </w:rPr>
                  </w:pPr>
                  <w:r>
                    <w:t>0.014</w:t>
                  </w:r>
                </w:p>
              </w:tc>
              <w:tc>
                <w:tcPr>
                  <w:tcW w:w="606" w:type="pct"/>
                  <w:noWrap/>
                  <w:vAlign w:val="center"/>
                </w:tcPr>
                <w:p w14:paraId="40DB50B5">
                  <w:pPr>
                    <w:pStyle w:val="83"/>
                    <w:rPr>
                      <w:rFonts w:hint="default"/>
                    </w:rPr>
                  </w:pPr>
                  <w:r>
                    <w:t>60</w:t>
                  </w:r>
                </w:p>
              </w:tc>
              <w:tc>
                <w:tcPr>
                  <w:tcW w:w="387" w:type="pct"/>
                  <w:noWrap/>
                  <w:vAlign w:val="center"/>
                </w:tcPr>
                <w:p w14:paraId="38B403D3">
                  <w:pPr>
                    <w:pStyle w:val="83"/>
                    <w:rPr>
                      <w:rFonts w:hint="default"/>
                    </w:rPr>
                  </w:pPr>
                  <w:r>
                    <w:t>达标</w:t>
                  </w:r>
                </w:p>
              </w:tc>
            </w:tr>
            <w:tr w14:paraId="1364BC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3B7F73A3">
                  <w:pPr>
                    <w:pStyle w:val="83"/>
                    <w:rPr>
                      <w:rFonts w:hint="default"/>
                    </w:rPr>
                  </w:pPr>
                </w:p>
              </w:tc>
              <w:tc>
                <w:tcPr>
                  <w:tcW w:w="965" w:type="pct"/>
                  <w:vMerge w:val="continue"/>
                  <w:vAlign w:val="center"/>
                </w:tcPr>
                <w:p w14:paraId="23840BF5">
                  <w:pPr>
                    <w:pStyle w:val="83"/>
                    <w:rPr>
                      <w:rFonts w:hint="default"/>
                    </w:rPr>
                  </w:pPr>
                </w:p>
              </w:tc>
              <w:tc>
                <w:tcPr>
                  <w:tcW w:w="750" w:type="pct"/>
                  <w:noWrap/>
                  <w:vAlign w:val="center"/>
                </w:tcPr>
                <w:p w14:paraId="1BCB8462">
                  <w:pPr>
                    <w:pStyle w:val="83"/>
                    <w:rPr>
                      <w:rFonts w:hint="default"/>
                    </w:rPr>
                  </w:pPr>
                  <w:r>
                    <w:t>颗粒物</w:t>
                  </w:r>
                </w:p>
              </w:tc>
              <w:tc>
                <w:tcPr>
                  <w:tcW w:w="1063" w:type="dxa"/>
                  <w:vMerge w:val="continue"/>
                  <w:vAlign w:val="center"/>
                </w:tcPr>
                <w:p w14:paraId="69A256ED">
                  <w:pPr>
                    <w:pStyle w:val="83"/>
                    <w:rPr>
                      <w:rFonts w:hint="default"/>
                    </w:rPr>
                  </w:pPr>
                </w:p>
              </w:tc>
              <w:tc>
                <w:tcPr>
                  <w:tcW w:w="1096" w:type="dxa"/>
                  <w:noWrap/>
                  <w:vAlign w:val="center"/>
                </w:tcPr>
                <w:p w14:paraId="13EDAC33">
                  <w:pPr>
                    <w:pStyle w:val="83"/>
                    <w:rPr>
                      <w:rFonts w:hint="default"/>
                    </w:rPr>
                  </w:pPr>
                  <w:r>
                    <w:t>10.2</w:t>
                  </w:r>
                </w:p>
              </w:tc>
              <w:tc>
                <w:tcPr>
                  <w:tcW w:w="1142" w:type="dxa"/>
                  <w:vAlign w:val="center"/>
                </w:tcPr>
                <w:p w14:paraId="1FF3DBCC">
                  <w:pPr>
                    <w:pStyle w:val="83"/>
                    <w:rPr>
                      <w:rFonts w:hint="default"/>
                    </w:rPr>
                  </w:pPr>
                  <w:r>
                    <w:t>0.052</w:t>
                  </w:r>
                </w:p>
              </w:tc>
              <w:tc>
                <w:tcPr>
                  <w:tcW w:w="606" w:type="pct"/>
                  <w:noWrap/>
                  <w:vAlign w:val="center"/>
                </w:tcPr>
                <w:p w14:paraId="6943EE95">
                  <w:pPr>
                    <w:pStyle w:val="83"/>
                    <w:rPr>
                      <w:rFonts w:hint="default"/>
                    </w:rPr>
                  </w:pPr>
                  <w:r>
                    <w:t>20</w:t>
                  </w:r>
                </w:p>
              </w:tc>
              <w:tc>
                <w:tcPr>
                  <w:tcW w:w="387" w:type="pct"/>
                  <w:noWrap/>
                  <w:vAlign w:val="center"/>
                </w:tcPr>
                <w:p w14:paraId="6E24C349">
                  <w:pPr>
                    <w:pStyle w:val="83"/>
                    <w:rPr>
                      <w:rFonts w:hint="default"/>
                    </w:rPr>
                  </w:pPr>
                  <w:r>
                    <w:t>达标</w:t>
                  </w:r>
                </w:p>
              </w:tc>
            </w:tr>
            <w:tr w14:paraId="41CB9E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1AA848E4">
                  <w:pPr>
                    <w:pStyle w:val="83"/>
                    <w:rPr>
                      <w:rFonts w:hint="default"/>
                    </w:rPr>
                  </w:pPr>
                </w:p>
              </w:tc>
              <w:tc>
                <w:tcPr>
                  <w:tcW w:w="965" w:type="pct"/>
                  <w:vMerge w:val="restart"/>
                  <w:noWrap/>
                  <w:vAlign w:val="center"/>
                </w:tcPr>
                <w:p w14:paraId="45012433">
                  <w:pPr>
                    <w:pStyle w:val="83"/>
                    <w:rPr>
                      <w:rFonts w:hint="default"/>
                    </w:rPr>
                  </w:pPr>
                  <w:r>
                    <w:t>纺丝24#排气筒</w:t>
                  </w:r>
                </w:p>
                <w:p w14:paraId="57D69C68">
                  <w:pPr>
                    <w:pStyle w:val="83"/>
                    <w:rPr>
                      <w:rFonts w:hint="default"/>
                    </w:rPr>
                  </w:pPr>
                  <w:r>
                    <w:t>DA120</w:t>
                  </w:r>
                </w:p>
              </w:tc>
              <w:tc>
                <w:tcPr>
                  <w:tcW w:w="750" w:type="pct"/>
                  <w:noWrap/>
                  <w:vAlign w:val="center"/>
                </w:tcPr>
                <w:p w14:paraId="5F3B207D">
                  <w:pPr>
                    <w:pStyle w:val="83"/>
                    <w:rPr>
                      <w:rFonts w:hint="default"/>
                    </w:rPr>
                  </w:pPr>
                  <w:r>
                    <w:t>非甲烷总烃</w:t>
                  </w:r>
                </w:p>
              </w:tc>
              <w:tc>
                <w:tcPr>
                  <w:tcW w:w="1063" w:type="dxa"/>
                  <w:vMerge w:val="restart"/>
                  <w:vAlign w:val="center"/>
                </w:tcPr>
                <w:p w14:paraId="7A5A4C06">
                  <w:pPr>
                    <w:pStyle w:val="83"/>
                    <w:rPr>
                      <w:rFonts w:hint="default"/>
                    </w:rPr>
                  </w:pPr>
                  <w:r>
                    <w:t>4940</w:t>
                  </w:r>
                </w:p>
              </w:tc>
              <w:tc>
                <w:tcPr>
                  <w:tcW w:w="1096" w:type="dxa"/>
                  <w:noWrap/>
                  <w:vAlign w:val="center"/>
                </w:tcPr>
                <w:p w14:paraId="7523829B">
                  <w:pPr>
                    <w:pStyle w:val="83"/>
                    <w:rPr>
                      <w:rFonts w:hint="default"/>
                    </w:rPr>
                  </w:pPr>
                  <w:r>
                    <w:t>2.56</w:t>
                  </w:r>
                </w:p>
              </w:tc>
              <w:tc>
                <w:tcPr>
                  <w:tcW w:w="1142" w:type="dxa"/>
                  <w:vAlign w:val="center"/>
                </w:tcPr>
                <w:p w14:paraId="6E565B08">
                  <w:pPr>
                    <w:pStyle w:val="83"/>
                    <w:rPr>
                      <w:rFonts w:hint="default"/>
                    </w:rPr>
                  </w:pPr>
                  <w:r>
                    <w:t>0.013</w:t>
                  </w:r>
                </w:p>
              </w:tc>
              <w:tc>
                <w:tcPr>
                  <w:tcW w:w="606" w:type="pct"/>
                  <w:noWrap/>
                  <w:vAlign w:val="center"/>
                </w:tcPr>
                <w:p w14:paraId="01EF4350">
                  <w:pPr>
                    <w:pStyle w:val="83"/>
                    <w:rPr>
                      <w:rFonts w:hint="default"/>
                    </w:rPr>
                  </w:pPr>
                  <w:r>
                    <w:t>60</w:t>
                  </w:r>
                </w:p>
              </w:tc>
              <w:tc>
                <w:tcPr>
                  <w:tcW w:w="387" w:type="pct"/>
                  <w:noWrap/>
                  <w:vAlign w:val="center"/>
                </w:tcPr>
                <w:p w14:paraId="52F5FBD9">
                  <w:pPr>
                    <w:pStyle w:val="83"/>
                    <w:rPr>
                      <w:rFonts w:hint="default"/>
                    </w:rPr>
                  </w:pPr>
                  <w:r>
                    <w:t>达标</w:t>
                  </w:r>
                </w:p>
              </w:tc>
            </w:tr>
            <w:tr w14:paraId="627AF3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3B9EEA49">
                  <w:pPr>
                    <w:pStyle w:val="83"/>
                    <w:rPr>
                      <w:rFonts w:hint="default"/>
                    </w:rPr>
                  </w:pPr>
                </w:p>
              </w:tc>
              <w:tc>
                <w:tcPr>
                  <w:tcW w:w="965" w:type="pct"/>
                  <w:vMerge w:val="continue"/>
                  <w:vAlign w:val="center"/>
                </w:tcPr>
                <w:p w14:paraId="5A8EC9F6">
                  <w:pPr>
                    <w:pStyle w:val="83"/>
                    <w:rPr>
                      <w:rFonts w:hint="default"/>
                    </w:rPr>
                  </w:pPr>
                </w:p>
              </w:tc>
              <w:tc>
                <w:tcPr>
                  <w:tcW w:w="750" w:type="pct"/>
                  <w:noWrap/>
                  <w:vAlign w:val="center"/>
                </w:tcPr>
                <w:p w14:paraId="32E6BB3C">
                  <w:pPr>
                    <w:pStyle w:val="83"/>
                    <w:rPr>
                      <w:rFonts w:hint="default"/>
                    </w:rPr>
                  </w:pPr>
                  <w:r>
                    <w:t>颗粒物</w:t>
                  </w:r>
                </w:p>
              </w:tc>
              <w:tc>
                <w:tcPr>
                  <w:tcW w:w="1063" w:type="dxa"/>
                  <w:vMerge w:val="continue"/>
                  <w:vAlign w:val="center"/>
                </w:tcPr>
                <w:p w14:paraId="58A9B09B">
                  <w:pPr>
                    <w:pStyle w:val="83"/>
                    <w:rPr>
                      <w:rFonts w:hint="default"/>
                    </w:rPr>
                  </w:pPr>
                </w:p>
              </w:tc>
              <w:tc>
                <w:tcPr>
                  <w:tcW w:w="1096" w:type="dxa"/>
                  <w:noWrap/>
                  <w:vAlign w:val="center"/>
                </w:tcPr>
                <w:p w14:paraId="00E912EA">
                  <w:pPr>
                    <w:pStyle w:val="83"/>
                    <w:rPr>
                      <w:rFonts w:hint="default"/>
                    </w:rPr>
                  </w:pPr>
                  <w:r>
                    <w:t>1.8</w:t>
                  </w:r>
                </w:p>
              </w:tc>
              <w:tc>
                <w:tcPr>
                  <w:tcW w:w="1142" w:type="dxa"/>
                  <w:vAlign w:val="center"/>
                </w:tcPr>
                <w:p w14:paraId="08873E01">
                  <w:pPr>
                    <w:pStyle w:val="83"/>
                    <w:rPr>
                      <w:rFonts w:hint="default"/>
                    </w:rPr>
                  </w:pPr>
                  <w:r>
                    <w:t>0.0089</w:t>
                  </w:r>
                </w:p>
              </w:tc>
              <w:tc>
                <w:tcPr>
                  <w:tcW w:w="606" w:type="pct"/>
                  <w:noWrap/>
                  <w:vAlign w:val="center"/>
                </w:tcPr>
                <w:p w14:paraId="4762592C">
                  <w:pPr>
                    <w:pStyle w:val="83"/>
                    <w:rPr>
                      <w:rFonts w:hint="default"/>
                    </w:rPr>
                  </w:pPr>
                  <w:r>
                    <w:t>20</w:t>
                  </w:r>
                </w:p>
              </w:tc>
              <w:tc>
                <w:tcPr>
                  <w:tcW w:w="387" w:type="pct"/>
                  <w:noWrap/>
                  <w:vAlign w:val="center"/>
                </w:tcPr>
                <w:p w14:paraId="2303C3CA">
                  <w:pPr>
                    <w:pStyle w:val="83"/>
                    <w:rPr>
                      <w:rFonts w:hint="default"/>
                    </w:rPr>
                  </w:pPr>
                  <w:r>
                    <w:t>达标</w:t>
                  </w:r>
                </w:p>
              </w:tc>
            </w:tr>
            <w:tr w14:paraId="0D9D38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21E01EE8">
                  <w:pPr>
                    <w:pStyle w:val="83"/>
                    <w:rPr>
                      <w:rFonts w:hint="default"/>
                    </w:rPr>
                  </w:pPr>
                </w:p>
              </w:tc>
              <w:tc>
                <w:tcPr>
                  <w:tcW w:w="965" w:type="pct"/>
                  <w:vMerge w:val="restart"/>
                  <w:vAlign w:val="center"/>
                </w:tcPr>
                <w:p w14:paraId="2E0E7A75">
                  <w:pPr>
                    <w:pStyle w:val="83"/>
                    <w:rPr>
                      <w:rFonts w:hint="default"/>
                    </w:rPr>
                  </w:pPr>
                  <w:r>
                    <w:t>纺丝25#排气筒</w:t>
                  </w:r>
                </w:p>
                <w:p w14:paraId="7C7C9B9D">
                  <w:pPr>
                    <w:pStyle w:val="83"/>
                    <w:rPr>
                      <w:rFonts w:hint="default"/>
                    </w:rPr>
                  </w:pPr>
                  <w:r>
                    <w:t>DA121</w:t>
                  </w:r>
                </w:p>
              </w:tc>
              <w:tc>
                <w:tcPr>
                  <w:tcW w:w="750" w:type="pct"/>
                  <w:noWrap/>
                  <w:vAlign w:val="center"/>
                </w:tcPr>
                <w:p w14:paraId="536AD051">
                  <w:pPr>
                    <w:pStyle w:val="83"/>
                    <w:rPr>
                      <w:rFonts w:hint="default"/>
                    </w:rPr>
                  </w:pPr>
                  <w:r>
                    <w:t>非甲烷总烃</w:t>
                  </w:r>
                </w:p>
              </w:tc>
              <w:tc>
                <w:tcPr>
                  <w:tcW w:w="1063" w:type="dxa"/>
                  <w:vMerge w:val="restart"/>
                  <w:vAlign w:val="center"/>
                </w:tcPr>
                <w:p w14:paraId="43C69E0D">
                  <w:pPr>
                    <w:pStyle w:val="83"/>
                    <w:rPr>
                      <w:rFonts w:hint="default"/>
                    </w:rPr>
                  </w:pPr>
                  <w:r>
                    <w:t>5210</w:t>
                  </w:r>
                </w:p>
              </w:tc>
              <w:tc>
                <w:tcPr>
                  <w:tcW w:w="1096" w:type="dxa"/>
                  <w:noWrap/>
                  <w:vAlign w:val="center"/>
                </w:tcPr>
                <w:p w14:paraId="35AA1E68">
                  <w:pPr>
                    <w:pStyle w:val="83"/>
                    <w:rPr>
                      <w:rFonts w:hint="default"/>
                    </w:rPr>
                  </w:pPr>
                  <w:r>
                    <w:t>2.12</w:t>
                  </w:r>
                </w:p>
              </w:tc>
              <w:tc>
                <w:tcPr>
                  <w:tcW w:w="1142" w:type="dxa"/>
                  <w:vAlign w:val="center"/>
                </w:tcPr>
                <w:p w14:paraId="5A5D52C6">
                  <w:pPr>
                    <w:pStyle w:val="83"/>
                    <w:rPr>
                      <w:rFonts w:hint="default"/>
                    </w:rPr>
                  </w:pPr>
                  <w:r>
                    <w:t>0.011</w:t>
                  </w:r>
                </w:p>
              </w:tc>
              <w:tc>
                <w:tcPr>
                  <w:tcW w:w="606" w:type="pct"/>
                  <w:noWrap/>
                  <w:vAlign w:val="center"/>
                </w:tcPr>
                <w:p w14:paraId="493D4B59">
                  <w:pPr>
                    <w:pStyle w:val="83"/>
                    <w:rPr>
                      <w:rFonts w:hint="default"/>
                    </w:rPr>
                  </w:pPr>
                  <w:r>
                    <w:t>60</w:t>
                  </w:r>
                </w:p>
              </w:tc>
              <w:tc>
                <w:tcPr>
                  <w:tcW w:w="387" w:type="pct"/>
                  <w:noWrap/>
                  <w:vAlign w:val="center"/>
                </w:tcPr>
                <w:p w14:paraId="4F8071DE">
                  <w:pPr>
                    <w:pStyle w:val="83"/>
                    <w:rPr>
                      <w:rFonts w:hint="default"/>
                    </w:rPr>
                  </w:pPr>
                  <w:r>
                    <w:t>达标</w:t>
                  </w:r>
                </w:p>
              </w:tc>
            </w:tr>
            <w:tr w14:paraId="5B302C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637A367C">
                  <w:pPr>
                    <w:pStyle w:val="83"/>
                    <w:rPr>
                      <w:rFonts w:hint="default"/>
                    </w:rPr>
                  </w:pPr>
                </w:p>
              </w:tc>
              <w:tc>
                <w:tcPr>
                  <w:tcW w:w="965" w:type="pct"/>
                  <w:vMerge w:val="continue"/>
                  <w:vAlign w:val="center"/>
                </w:tcPr>
                <w:p w14:paraId="62890EC2">
                  <w:pPr>
                    <w:pStyle w:val="83"/>
                    <w:rPr>
                      <w:rFonts w:hint="default"/>
                    </w:rPr>
                  </w:pPr>
                </w:p>
              </w:tc>
              <w:tc>
                <w:tcPr>
                  <w:tcW w:w="750" w:type="pct"/>
                  <w:noWrap/>
                  <w:vAlign w:val="center"/>
                </w:tcPr>
                <w:p w14:paraId="3F080EE7">
                  <w:pPr>
                    <w:pStyle w:val="83"/>
                    <w:rPr>
                      <w:rFonts w:hint="default"/>
                    </w:rPr>
                  </w:pPr>
                  <w:r>
                    <w:t>颗粒物</w:t>
                  </w:r>
                </w:p>
              </w:tc>
              <w:tc>
                <w:tcPr>
                  <w:tcW w:w="1063" w:type="dxa"/>
                  <w:vMerge w:val="continue"/>
                  <w:vAlign w:val="center"/>
                </w:tcPr>
                <w:p w14:paraId="3330995F">
                  <w:pPr>
                    <w:pStyle w:val="83"/>
                    <w:rPr>
                      <w:rFonts w:hint="default"/>
                    </w:rPr>
                  </w:pPr>
                </w:p>
              </w:tc>
              <w:tc>
                <w:tcPr>
                  <w:tcW w:w="1096" w:type="dxa"/>
                  <w:noWrap/>
                  <w:vAlign w:val="center"/>
                </w:tcPr>
                <w:p w14:paraId="6A78A91A">
                  <w:pPr>
                    <w:pStyle w:val="83"/>
                    <w:rPr>
                      <w:rFonts w:hint="default"/>
                    </w:rPr>
                  </w:pPr>
                  <w:r>
                    <w:t>2.4</w:t>
                  </w:r>
                </w:p>
              </w:tc>
              <w:tc>
                <w:tcPr>
                  <w:tcW w:w="1142" w:type="dxa"/>
                  <w:vAlign w:val="center"/>
                </w:tcPr>
                <w:p w14:paraId="31FC3140">
                  <w:pPr>
                    <w:pStyle w:val="83"/>
                    <w:rPr>
                      <w:rFonts w:hint="default"/>
                    </w:rPr>
                  </w:pPr>
                  <w:r>
                    <w:t>0.013</w:t>
                  </w:r>
                </w:p>
              </w:tc>
              <w:tc>
                <w:tcPr>
                  <w:tcW w:w="606" w:type="pct"/>
                  <w:noWrap/>
                  <w:vAlign w:val="center"/>
                </w:tcPr>
                <w:p w14:paraId="32FA1FD2">
                  <w:pPr>
                    <w:pStyle w:val="83"/>
                    <w:rPr>
                      <w:rFonts w:hint="default"/>
                    </w:rPr>
                  </w:pPr>
                  <w:r>
                    <w:t>20</w:t>
                  </w:r>
                </w:p>
              </w:tc>
              <w:tc>
                <w:tcPr>
                  <w:tcW w:w="387" w:type="pct"/>
                  <w:noWrap/>
                  <w:vAlign w:val="center"/>
                </w:tcPr>
                <w:p w14:paraId="40A37E46">
                  <w:pPr>
                    <w:pStyle w:val="83"/>
                    <w:rPr>
                      <w:rFonts w:hint="default"/>
                    </w:rPr>
                  </w:pPr>
                  <w:r>
                    <w:t>达标</w:t>
                  </w:r>
                </w:p>
              </w:tc>
            </w:tr>
            <w:tr w14:paraId="6B0302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6218D821">
                  <w:pPr>
                    <w:pStyle w:val="83"/>
                    <w:rPr>
                      <w:rFonts w:hint="default"/>
                    </w:rPr>
                  </w:pPr>
                </w:p>
              </w:tc>
              <w:tc>
                <w:tcPr>
                  <w:tcW w:w="965" w:type="pct"/>
                  <w:vMerge w:val="restart"/>
                  <w:vAlign w:val="center"/>
                </w:tcPr>
                <w:p w14:paraId="6E285F66">
                  <w:pPr>
                    <w:pStyle w:val="83"/>
                    <w:rPr>
                      <w:rFonts w:hint="default"/>
                    </w:rPr>
                  </w:pPr>
                  <w:r>
                    <w:t>油烟1#排气筒</w:t>
                  </w:r>
                </w:p>
                <w:p w14:paraId="1DE0BE19">
                  <w:pPr>
                    <w:pStyle w:val="83"/>
                    <w:rPr>
                      <w:rFonts w:hint="default"/>
                    </w:rPr>
                  </w:pPr>
                  <w:r>
                    <w:t>DA137</w:t>
                  </w:r>
                </w:p>
              </w:tc>
              <w:tc>
                <w:tcPr>
                  <w:tcW w:w="750" w:type="pct"/>
                  <w:noWrap/>
                  <w:vAlign w:val="center"/>
                </w:tcPr>
                <w:p w14:paraId="51E98A3D">
                  <w:pPr>
                    <w:pStyle w:val="83"/>
                    <w:rPr>
                      <w:rFonts w:hint="default"/>
                    </w:rPr>
                  </w:pPr>
                  <w:r>
                    <w:t>非甲烷总烃</w:t>
                  </w:r>
                </w:p>
              </w:tc>
              <w:tc>
                <w:tcPr>
                  <w:tcW w:w="1063" w:type="dxa"/>
                  <w:vMerge w:val="restart"/>
                  <w:vAlign w:val="center"/>
                </w:tcPr>
                <w:p w14:paraId="0769391B">
                  <w:pPr>
                    <w:pStyle w:val="83"/>
                    <w:rPr>
                      <w:rFonts w:hint="default"/>
                    </w:rPr>
                  </w:pPr>
                  <w:r>
                    <w:t>24200</w:t>
                  </w:r>
                </w:p>
              </w:tc>
              <w:tc>
                <w:tcPr>
                  <w:tcW w:w="1096" w:type="dxa"/>
                  <w:noWrap/>
                  <w:vAlign w:val="center"/>
                </w:tcPr>
                <w:p w14:paraId="6AC06658">
                  <w:pPr>
                    <w:pStyle w:val="83"/>
                    <w:rPr>
                      <w:rFonts w:hint="default"/>
                    </w:rPr>
                  </w:pPr>
                  <w:r>
                    <w:t>3.19</w:t>
                  </w:r>
                </w:p>
              </w:tc>
              <w:tc>
                <w:tcPr>
                  <w:tcW w:w="1142" w:type="dxa"/>
                  <w:vAlign w:val="center"/>
                </w:tcPr>
                <w:p w14:paraId="72233E3E">
                  <w:pPr>
                    <w:pStyle w:val="83"/>
                    <w:rPr>
                      <w:rFonts w:hint="default"/>
                    </w:rPr>
                  </w:pPr>
                  <w:r>
                    <w:t>0.077</w:t>
                  </w:r>
                </w:p>
              </w:tc>
              <w:tc>
                <w:tcPr>
                  <w:tcW w:w="606" w:type="pct"/>
                  <w:noWrap/>
                  <w:vAlign w:val="center"/>
                </w:tcPr>
                <w:p w14:paraId="4D17CF87">
                  <w:pPr>
                    <w:pStyle w:val="83"/>
                    <w:rPr>
                      <w:rFonts w:hint="default"/>
                    </w:rPr>
                  </w:pPr>
                  <w:r>
                    <w:t>60</w:t>
                  </w:r>
                </w:p>
              </w:tc>
              <w:tc>
                <w:tcPr>
                  <w:tcW w:w="387" w:type="pct"/>
                  <w:noWrap/>
                  <w:vAlign w:val="center"/>
                </w:tcPr>
                <w:p w14:paraId="25814363">
                  <w:pPr>
                    <w:pStyle w:val="83"/>
                    <w:rPr>
                      <w:rFonts w:hint="default"/>
                    </w:rPr>
                  </w:pPr>
                  <w:r>
                    <w:t>达标</w:t>
                  </w:r>
                </w:p>
              </w:tc>
            </w:tr>
            <w:tr w14:paraId="4830DD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6D8505E0">
                  <w:pPr>
                    <w:pStyle w:val="83"/>
                    <w:rPr>
                      <w:rFonts w:hint="default"/>
                    </w:rPr>
                  </w:pPr>
                </w:p>
              </w:tc>
              <w:tc>
                <w:tcPr>
                  <w:tcW w:w="965" w:type="pct"/>
                  <w:vMerge w:val="continue"/>
                  <w:vAlign w:val="center"/>
                </w:tcPr>
                <w:p w14:paraId="233F66ED">
                  <w:pPr>
                    <w:pStyle w:val="83"/>
                    <w:rPr>
                      <w:rFonts w:hint="default"/>
                    </w:rPr>
                  </w:pPr>
                </w:p>
              </w:tc>
              <w:tc>
                <w:tcPr>
                  <w:tcW w:w="750" w:type="pct"/>
                  <w:noWrap/>
                  <w:vAlign w:val="center"/>
                </w:tcPr>
                <w:p w14:paraId="525C5203">
                  <w:pPr>
                    <w:pStyle w:val="83"/>
                    <w:rPr>
                      <w:rFonts w:hint="default"/>
                    </w:rPr>
                  </w:pPr>
                  <w:r>
                    <w:t>颗粒物</w:t>
                  </w:r>
                </w:p>
              </w:tc>
              <w:tc>
                <w:tcPr>
                  <w:tcW w:w="1063" w:type="dxa"/>
                  <w:vMerge w:val="continue"/>
                  <w:vAlign w:val="center"/>
                </w:tcPr>
                <w:p w14:paraId="3AC3149B">
                  <w:pPr>
                    <w:pStyle w:val="83"/>
                    <w:rPr>
                      <w:rFonts w:hint="default"/>
                    </w:rPr>
                  </w:pPr>
                </w:p>
              </w:tc>
              <w:tc>
                <w:tcPr>
                  <w:tcW w:w="1096" w:type="dxa"/>
                  <w:noWrap/>
                  <w:vAlign w:val="center"/>
                </w:tcPr>
                <w:p w14:paraId="68FA5E24">
                  <w:pPr>
                    <w:pStyle w:val="83"/>
                    <w:rPr>
                      <w:rFonts w:hint="default"/>
                    </w:rPr>
                  </w:pPr>
                  <w:r>
                    <w:t>4.4</w:t>
                  </w:r>
                </w:p>
              </w:tc>
              <w:tc>
                <w:tcPr>
                  <w:tcW w:w="1142" w:type="dxa"/>
                  <w:vAlign w:val="center"/>
                </w:tcPr>
                <w:p w14:paraId="67FA7121">
                  <w:pPr>
                    <w:pStyle w:val="83"/>
                    <w:rPr>
                      <w:rFonts w:hint="default"/>
                    </w:rPr>
                  </w:pPr>
                  <w:r>
                    <w:t>0.106</w:t>
                  </w:r>
                </w:p>
              </w:tc>
              <w:tc>
                <w:tcPr>
                  <w:tcW w:w="606" w:type="pct"/>
                  <w:noWrap/>
                  <w:vAlign w:val="center"/>
                </w:tcPr>
                <w:p w14:paraId="0DD2E7F7">
                  <w:pPr>
                    <w:pStyle w:val="83"/>
                    <w:rPr>
                      <w:rFonts w:hint="default"/>
                    </w:rPr>
                  </w:pPr>
                  <w:r>
                    <w:t>20</w:t>
                  </w:r>
                </w:p>
              </w:tc>
              <w:tc>
                <w:tcPr>
                  <w:tcW w:w="387" w:type="pct"/>
                  <w:noWrap/>
                  <w:vAlign w:val="center"/>
                </w:tcPr>
                <w:p w14:paraId="6F19B490">
                  <w:pPr>
                    <w:pStyle w:val="83"/>
                    <w:rPr>
                      <w:rFonts w:hint="default"/>
                    </w:rPr>
                  </w:pPr>
                  <w:r>
                    <w:t>达标</w:t>
                  </w:r>
                </w:p>
              </w:tc>
            </w:tr>
            <w:tr w14:paraId="45D7C3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vAlign w:val="center"/>
                </w:tcPr>
                <w:p w14:paraId="15A460C7">
                  <w:pPr>
                    <w:pStyle w:val="83"/>
                    <w:rPr>
                      <w:rFonts w:hint="default"/>
                    </w:rPr>
                  </w:pPr>
                </w:p>
              </w:tc>
              <w:tc>
                <w:tcPr>
                  <w:tcW w:w="965" w:type="pct"/>
                  <w:vMerge w:val="restart"/>
                  <w:vAlign w:val="center"/>
                </w:tcPr>
                <w:p w14:paraId="5E21702F">
                  <w:pPr>
                    <w:pStyle w:val="83"/>
                    <w:rPr>
                      <w:rFonts w:hint="default"/>
                    </w:rPr>
                  </w:pPr>
                  <w:r>
                    <w:t>油烟2#排气筒</w:t>
                  </w:r>
                </w:p>
                <w:p w14:paraId="43D99643">
                  <w:pPr>
                    <w:pStyle w:val="83"/>
                    <w:rPr>
                      <w:rFonts w:hint="default"/>
                    </w:rPr>
                  </w:pPr>
                  <w:r>
                    <w:t>DA138</w:t>
                  </w:r>
                </w:p>
              </w:tc>
              <w:tc>
                <w:tcPr>
                  <w:tcW w:w="750" w:type="pct"/>
                  <w:noWrap/>
                  <w:vAlign w:val="center"/>
                </w:tcPr>
                <w:p w14:paraId="0D66645B">
                  <w:pPr>
                    <w:pStyle w:val="83"/>
                    <w:rPr>
                      <w:rFonts w:hint="default"/>
                    </w:rPr>
                  </w:pPr>
                  <w:r>
                    <w:t>非甲烷总烃</w:t>
                  </w:r>
                </w:p>
              </w:tc>
              <w:tc>
                <w:tcPr>
                  <w:tcW w:w="1063" w:type="dxa"/>
                  <w:vMerge w:val="restart"/>
                  <w:vAlign w:val="center"/>
                </w:tcPr>
                <w:p w14:paraId="2C24ACA2">
                  <w:pPr>
                    <w:pStyle w:val="83"/>
                    <w:rPr>
                      <w:rFonts w:hint="default"/>
                    </w:rPr>
                  </w:pPr>
                  <w:r>
                    <w:t>22800</w:t>
                  </w:r>
                </w:p>
              </w:tc>
              <w:tc>
                <w:tcPr>
                  <w:tcW w:w="1096" w:type="dxa"/>
                  <w:noWrap/>
                  <w:vAlign w:val="center"/>
                </w:tcPr>
                <w:p w14:paraId="15FF97D3">
                  <w:pPr>
                    <w:pStyle w:val="83"/>
                    <w:rPr>
                      <w:rFonts w:hint="default"/>
                    </w:rPr>
                  </w:pPr>
                  <w:r>
                    <w:t>3.27</w:t>
                  </w:r>
                </w:p>
              </w:tc>
              <w:tc>
                <w:tcPr>
                  <w:tcW w:w="1142" w:type="dxa"/>
                  <w:vAlign w:val="center"/>
                </w:tcPr>
                <w:p w14:paraId="09702C62">
                  <w:pPr>
                    <w:pStyle w:val="83"/>
                    <w:rPr>
                      <w:rFonts w:hint="default"/>
                    </w:rPr>
                  </w:pPr>
                  <w:r>
                    <w:t>0.075</w:t>
                  </w:r>
                </w:p>
              </w:tc>
              <w:tc>
                <w:tcPr>
                  <w:tcW w:w="606" w:type="pct"/>
                  <w:noWrap/>
                  <w:vAlign w:val="center"/>
                </w:tcPr>
                <w:p w14:paraId="2F635DF4">
                  <w:pPr>
                    <w:pStyle w:val="83"/>
                    <w:rPr>
                      <w:rFonts w:hint="default"/>
                    </w:rPr>
                  </w:pPr>
                  <w:r>
                    <w:t>60</w:t>
                  </w:r>
                </w:p>
              </w:tc>
              <w:tc>
                <w:tcPr>
                  <w:tcW w:w="387" w:type="pct"/>
                  <w:noWrap/>
                  <w:vAlign w:val="center"/>
                </w:tcPr>
                <w:p w14:paraId="121835E1">
                  <w:pPr>
                    <w:pStyle w:val="83"/>
                    <w:rPr>
                      <w:rFonts w:hint="default"/>
                    </w:rPr>
                  </w:pPr>
                  <w:r>
                    <w:t>达标</w:t>
                  </w:r>
                </w:p>
              </w:tc>
            </w:tr>
            <w:tr w14:paraId="580F32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435" w:type="pct"/>
                  <w:vMerge w:val="continue"/>
                  <w:vAlign w:val="center"/>
                </w:tcPr>
                <w:p w14:paraId="016903F4">
                  <w:pPr>
                    <w:pStyle w:val="83"/>
                    <w:rPr>
                      <w:rFonts w:hint="default"/>
                    </w:rPr>
                  </w:pPr>
                </w:p>
              </w:tc>
              <w:tc>
                <w:tcPr>
                  <w:tcW w:w="965" w:type="pct"/>
                  <w:vMerge w:val="continue"/>
                  <w:vAlign w:val="center"/>
                </w:tcPr>
                <w:p w14:paraId="34C95B7E">
                  <w:pPr>
                    <w:pStyle w:val="83"/>
                    <w:rPr>
                      <w:rFonts w:hint="default"/>
                    </w:rPr>
                  </w:pPr>
                </w:p>
              </w:tc>
              <w:tc>
                <w:tcPr>
                  <w:tcW w:w="750" w:type="pct"/>
                  <w:noWrap/>
                  <w:vAlign w:val="center"/>
                </w:tcPr>
                <w:p w14:paraId="2BC7BEED">
                  <w:pPr>
                    <w:pStyle w:val="83"/>
                    <w:rPr>
                      <w:rFonts w:hint="default"/>
                    </w:rPr>
                  </w:pPr>
                  <w:r>
                    <w:t>颗粒物</w:t>
                  </w:r>
                </w:p>
              </w:tc>
              <w:tc>
                <w:tcPr>
                  <w:tcW w:w="1063" w:type="dxa"/>
                  <w:vMerge w:val="continue"/>
                  <w:vAlign w:val="center"/>
                </w:tcPr>
                <w:p w14:paraId="28F45A63">
                  <w:pPr>
                    <w:pStyle w:val="83"/>
                    <w:rPr>
                      <w:rFonts w:hint="default"/>
                    </w:rPr>
                  </w:pPr>
                </w:p>
              </w:tc>
              <w:tc>
                <w:tcPr>
                  <w:tcW w:w="1096" w:type="dxa"/>
                  <w:noWrap/>
                  <w:vAlign w:val="center"/>
                </w:tcPr>
                <w:p w14:paraId="413C4059">
                  <w:pPr>
                    <w:pStyle w:val="83"/>
                    <w:rPr>
                      <w:rFonts w:hint="default"/>
                    </w:rPr>
                  </w:pPr>
                  <w:r>
                    <w:t>2.5</w:t>
                  </w:r>
                </w:p>
              </w:tc>
              <w:tc>
                <w:tcPr>
                  <w:tcW w:w="1142" w:type="dxa"/>
                  <w:vAlign w:val="center"/>
                </w:tcPr>
                <w:p w14:paraId="3F7D7741">
                  <w:pPr>
                    <w:pStyle w:val="83"/>
                    <w:rPr>
                      <w:rFonts w:hint="default"/>
                    </w:rPr>
                  </w:pPr>
                  <w:r>
                    <w:t>0.057</w:t>
                  </w:r>
                </w:p>
              </w:tc>
              <w:tc>
                <w:tcPr>
                  <w:tcW w:w="606" w:type="pct"/>
                  <w:noWrap/>
                  <w:vAlign w:val="center"/>
                </w:tcPr>
                <w:p w14:paraId="4B54BD66">
                  <w:pPr>
                    <w:pStyle w:val="83"/>
                    <w:rPr>
                      <w:rFonts w:hint="default"/>
                    </w:rPr>
                  </w:pPr>
                  <w:r>
                    <w:t>20</w:t>
                  </w:r>
                </w:p>
              </w:tc>
              <w:tc>
                <w:tcPr>
                  <w:tcW w:w="387" w:type="pct"/>
                  <w:noWrap/>
                  <w:vAlign w:val="center"/>
                </w:tcPr>
                <w:p w14:paraId="0CF2C228">
                  <w:pPr>
                    <w:pStyle w:val="83"/>
                    <w:rPr>
                      <w:rFonts w:hint="default"/>
                    </w:rPr>
                  </w:pPr>
                  <w:r>
                    <w:t>达标</w:t>
                  </w:r>
                </w:p>
              </w:tc>
            </w:tr>
            <w:tr w14:paraId="11AC2F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35" w:type="pct"/>
                  <w:vMerge w:val="continue"/>
                  <w:noWrap/>
                  <w:vAlign w:val="center"/>
                </w:tcPr>
                <w:p w14:paraId="5A17EEE3">
                  <w:pPr>
                    <w:pStyle w:val="83"/>
                    <w:rPr>
                      <w:rFonts w:hint="default"/>
                    </w:rPr>
                  </w:pPr>
                </w:p>
              </w:tc>
              <w:tc>
                <w:tcPr>
                  <w:tcW w:w="965" w:type="pct"/>
                  <w:noWrap/>
                  <w:vAlign w:val="center"/>
                </w:tcPr>
                <w:p w14:paraId="633464B6">
                  <w:pPr>
                    <w:pStyle w:val="83"/>
                    <w:rPr>
                      <w:rFonts w:hint="default"/>
                    </w:rPr>
                  </w:pPr>
                  <w:r>
                    <w:t>组件煅烧排气筒</w:t>
                  </w:r>
                </w:p>
                <w:p w14:paraId="6C0889AF">
                  <w:pPr>
                    <w:pStyle w:val="83"/>
                    <w:rPr>
                      <w:rFonts w:hint="default"/>
                    </w:rPr>
                  </w:pPr>
                  <w:r>
                    <w:t>DA139</w:t>
                  </w:r>
                </w:p>
              </w:tc>
              <w:tc>
                <w:tcPr>
                  <w:tcW w:w="750" w:type="pct"/>
                  <w:noWrap/>
                  <w:vAlign w:val="center"/>
                </w:tcPr>
                <w:p w14:paraId="1E96EA2C">
                  <w:pPr>
                    <w:pStyle w:val="83"/>
                    <w:rPr>
                      <w:rFonts w:hint="default"/>
                    </w:rPr>
                  </w:pPr>
                  <w:r>
                    <w:t>非甲烷总烃</w:t>
                  </w:r>
                </w:p>
              </w:tc>
              <w:tc>
                <w:tcPr>
                  <w:tcW w:w="1063" w:type="dxa"/>
                  <w:vAlign w:val="center"/>
                </w:tcPr>
                <w:p w14:paraId="1EA26D88">
                  <w:pPr>
                    <w:pStyle w:val="83"/>
                    <w:rPr>
                      <w:rFonts w:hint="default"/>
                    </w:rPr>
                  </w:pPr>
                  <w:r>
                    <w:t>604</w:t>
                  </w:r>
                </w:p>
              </w:tc>
              <w:tc>
                <w:tcPr>
                  <w:tcW w:w="1096" w:type="dxa"/>
                  <w:noWrap/>
                  <w:vAlign w:val="center"/>
                </w:tcPr>
                <w:p w14:paraId="5850C230">
                  <w:pPr>
                    <w:pStyle w:val="83"/>
                    <w:rPr>
                      <w:rFonts w:hint="default"/>
                    </w:rPr>
                  </w:pPr>
                  <w:r>
                    <w:t>2.94</w:t>
                  </w:r>
                </w:p>
              </w:tc>
              <w:tc>
                <w:tcPr>
                  <w:tcW w:w="1142" w:type="dxa"/>
                  <w:vAlign w:val="center"/>
                </w:tcPr>
                <w:p w14:paraId="2D3685BA">
                  <w:pPr>
                    <w:pStyle w:val="83"/>
                    <w:rPr>
                      <w:rFonts w:hint="default"/>
                    </w:rPr>
                  </w:pPr>
                  <w:r>
                    <w:t>0.0018</w:t>
                  </w:r>
                </w:p>
              </w:tc>
              <w:tc>
                <w:tcPr>
                  <w:tcW w:w="606" w:type="pct"/>
                  <w:noWrap/>
                  <w:vAlign w:val="center"/>
                </w:tcPr>
                <w:p w14:paraId="1FB505B1">
                  <w:pPr>
                    <w:pStyle w:val="83"/>
                    <w:rPr>
                      <w:rFonts w:hint="default"/>
                    </w:rPr>
                  </w:pPr>
                  <w:r>
                    <w:t>60</w:t>
                  </w:r>
                </w:p>
              </w:tc>
              <w:tc>
                <w:tcPr>
                  <w:tcW w:w="387" w:type="pct"/>
                  <w:noWrap/>
                  <w:vAlign w:val="center"/>
                </w:tcPr>
                <w:p w14:paraId="7EA817F6">
                  <w:pPr>
                    <w:pStyle w:val="83"/>
                    <w:rPr>
                      <w:rFonts w:hint="default"/>
                    </w:rPr>
                  </w:pPr>
                  <w:r>
                    <w:t>达标</w:t>
                  </w:r>
                </w:p>
              </w:tc>
            </w:tr>
          </w:tbl>
          <w:p w14:paraId="159BBB08">
            <w:pPr>
              <w:ind w:firstLine="480"/>
            </w:pPr>
            <w:r>
              <w:rPr>
                <w:rFonts w:hint="eastAsia"/>
              </w:rPr>
              <w:t>6.加弹项目</w:t>
            </w:r>
          </w:p>
          <w:p w14:paraId="1262CCEB">
            <w:pPr>
              <w:ind w:firstLine="480"/>
            </w:pPr>
            <w:r>
              <w:rPr>
                <w:rFonts w:hint="eastAsia"/>
              </w:rPr>
              <w:t>现有加弹项目产生的废气主要是油剂废气。油剂废气由静电吸附装置处理后通过4根26m排气筒排放。加弹项目废气监测数据见表2.4-6。</w:t>
            </w:r>
          </w:p>
          <w:p w14:paraId="735C10E2">
            <w:pPr>
              <w:pStyle w:val="13"/>
            </w:pPr>
            <w:r>
              <w:rPr>
                <w:rFonts w:hint="eastAsia"/>
              </w:rPr>
              <w:t>表2.4-6  加弹项目废气监测结果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6A60485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2E00B32D">
                  <w:pPr>
                    <w:pStyle w:val="83"/>
                    <w:rPr>
                      <w:rFonts w:hint="default"/>
                    </w:rPr>
                  </w:pPr>
                  <w:r>
                    <w:t>监测</w:t>
                  </w:r>
                </w:p>
                <w:p w14:paraId="6BE68F99">
                  <w:pPr>
                    <w:pStyle w:val="83"/>
                    <w:rPr>
                      <w:rFonts w:hint="default"/>
                    </w:rPr>
                  </w:pPr>
                  <w:r>
                    <w:t>日期</w:t>
                  </w:r>
                </w:p>
              </w:tc>
              <w:tc>
                <w:tcPr>
                  <w:tcW w:w="1036" w:type="pct"/>
                  <w:noWrap/>
                  <w:vAlign w:val="center"/>
                </w:tcPr>
                <w:p w14:paraId="071FE103">
                  <w:pPr>
                    <w:pStyle w:val="83"/>
                    <w:rPr>
                      <w:rFonts w:hint="default"/>
                    </w:rPr>
                  </w:pPr>
                  <w:r>
                    <w:t>监测点位</w:t>
                  </w:r>
                </w:p>
              </w:tc>
              <w:tc>
                <w:tcPr>
                  <w:tcW w:w="777" w:type="pct"/>
                  <w:noWrap/>
                  <w:vAlign w:val="center"/>
                </w:tcPr>
                <w:p w14:paraId="6D07F073">
                  <w:pPr>
                    <w:pStyle w:val="83"/>
                    <w:rPr>
                      <w:rFonts w:hint="default"/>
                    </w:rPr>
                  </w:pPr>
                  <w:r>
                    <w:t>监测项目</w:t>
                  </w:r>
                </w:p>
              </w:tc>
              <w:tc>
                <w:tcPr>
                  <w:tcW w:w="518" w:type="pct"/>
                  <w:vAlign w:val="center"/>
                </w:tcPr>
                <w:p w14:paraId="64A06D1A">
                  <w:pPr>
                    <w:pStyle w:val="83"/>
                    <w:rPr>
                      <w:rFonts w:hint="default"/>
                    </w:rPr>
                  </w:pPr>
                  <w:r>
                    <w:t>标杆</w:t>
                  </w:r>
                </w:p>
                <w:p w14:paraId="79866C10">
                  <w:pPr>
                    <w:pStyle w:val="83"/>
                    <w:rPr>
                      <w:rFonts w:hint="default"/>
                    </w:rPr>
                  </w:pPr>
                  <w:r>
                    <w:t>流量</w:t>
                  </w:r>
                </w:p>
                <w:p w14:paraId="34EC980D">
                  <w:pPr>
                    <w:pStyle w:val="83"/>
                    <w:rPr>
                      <w:rFonts w:hint="default"/>
                    </w:rPr>
                  </w:pPr>
                  <w:r>
                    <w:t>m</w:t>
                  </w:r>
                  <w:r>
                    <w:rPr>
                      <w:vertAlign w:val="superscript"/>
                    </w:rPr>
                    <w:t>3</w:t>
                  </w:r>
                  <w:r>
                    <w:t>/h</w:t>
                  </w:r>
                </w:p>
              </w:tc>
              <w:tc>
                <w:tcPr>
                  <w:tcW w:w="518" w:type="pct"/>
                  <w:vAlign w:val="center"/>
                </w:tcPr>
                <w:p w14:paraId="7391F679">
                  <w:pPr>
                    <w:pStyle w:val="83"/>
                    <w:rPr>
                      <w:rFonts w:hint="default"/>
                    </w:rPr>
                  </w:pPr>
                  <w:r>
                    <w:t>排放</w:t>
                  </w:r>
                </w:p>
                <w:p w14:paraId="41A9724C">
                  <w:pPr>
                    <w:pStyle w:val="83"/>
                    <w:rPr>
                      <w:rFonts w:hint="default"/>
                    </w:rPr>
                  </w:pPr>
                  <w:r>
                    <w:t>浓度</w:t>
                  </w:r>
                </w:p>
                <w:p w14:paraId="1C92AEA5">
                  <w:pPr>
                    <w:pStyle w:val="83"/>
                    <w:rPr>
                      <w:rFonts w:hint="default"/>
                    </w:rPr>
                  </w:pPr>
                  <w:r>
                    <w:t>mg/m</w:t>
                  </w:r>
                  <w:r>
                    <w:rPr>
                      <w:vertAlign w:val="superscript"/>
                    </w:rPr>
                    <w:t>3</w:t>
                  </w:r>
                </w:p>
              </w:tc>
              <w:tc>
                <w:tcPr>
                  <w:tcW w:w="691" w:type="pct"/>
                  <w:vAlign w:val="center"/>
                </w:tcPr>
                <w:p w14:paraId="4242AC09">
                  <w:pPr>
                    <w:pStyle w:val="83"/>
                    <w:rPr>
                      <w:rFonts w:hint="default"/>
                    </w:rPr>
                  </w:pPr>
                  <w:r>
                    <w:t>排放速率</w:t>
                  </w:r>
                </w:p>
                <w:p w14:paraId="12CEA2AC">
                  <w:pPr>
                    <w:pStyle w:val="83"/>
                    <w:rPr>
                      <w:rFonts w:hint="default"/>
                    </w:rPr>
                  </w:pPr>
                  <w:r>
                    <w:t>kg/h</w:t>
                  </w:r>
                </w:p>
              </w:tc>
              <w:tc>
                <w:tcPr>
                  <w:tcW w:w="556" w:type="pct"/>
                  <w:vAlign w:val="center"/>
                </w:tcPr>
                <w:p w14:paraId="1C436C50">
                  <w:pPr>
                    <w:pStyle w:val="83"/>
                    <w:rPr>
                      <w:rFonts w:hint="default"/>
                    </w:rPr>
                  </w:pPr>
                  <w:r>
                    <w:t>标准</w:t>
                  </w:r>
                </w:p>
                <w:p w14:paraId="619F0C02">
                  <w:pPr>
                    <w:pStyle w:val="83"/>
                    <w:rPr>
                      <w:rFonts w:hint="default"/>
                    </w:rPr>
                  </w:pPr>
                  <w:r>
                    <w:t>限值</w:t>
                  </w:r>
                </w:p>
                <w:p w14:paraId="2D9C857D">
                  <w:pPr>
                    <w:pStyle w:val="83"/>
                    <w:rPr>
                      <w:rFonts w:hint="default"/>
                    </w:rPr>
                  </w:pPr>
                  <w:r>
                    <w:t>mg/m</w:t>
                  </w:r>
                  <w:r>
                    <w:rPr>
                      <w:vertAlign w:val="superscript"/>
                    </w:rPr>
                    <w:t>3</w:t>
                  </w:r>
                </w:p>
              </w:tc>
              <w:tc>
                <w:tcPr>
                  <w:tcW w:w="387" w:type="pct"/>
                  <w:noWrap/>
                  <w:vAlign w:val="center"/>
                </w:tcPr>
                <w:p w14:paraId="68B9E14D">
                  <w:pPr>
                    <w:pStyle w:val="83"/>
                    <w:rPr>
                      <w:rFonts w:hint="default"/>
                    </w:rPr>
                  </w:pPr>
                  <w:r>
                    <w:t>达标</w:t>
                  </w:r>
                </w:p>
                <w:p w14:paraId="3E053F75">
                  <w:pPr>
                    <w:pStyle w:val="83"/>
                    <w:rPr>
                      <w:rFonts w:hint="default"/>
                    </w:rPr>
                  </w:pPr>
                  <w:r>
                    <w:t>情况</w:t>
                  </w:r>
                </w:p>
              </w:tc>
            </w:tr>
            <w:tr w14:paraId="451856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restart"/>
                  <w:noWrap/>
                  <w:vAlign w:val="center"/>
                </w:tcPr>
                <w:p w14:paraId="0AC40D79">
                  <w:pPr>
                    <w:pStyle w:val="83"/>
                    <w:rPr>
                      <w:rFonts w:hint="default"/>
                    </w:rPr>
                  </w:pPr>
                  <w:r>
                    <w:t>2024.</w:t>
                  </w:r>
                </w:p>
                <w:p w14:paraId="1E458299">
                  <w:pPr>
                    <w:pStyle w:val="83"/>
                    <w:rPr>
                      <w:rFonts w:hint="default"/>
                    </w:rPr>
                  </w:pPr>
                  <w:r>
                    <w:t>11.17</w:t>
                  </w:r>
                </w:p>
              </w:tc>
              <w:tc>
                <w:tcPr>
                  <w:tcW w:w="1036" w:type="pct"/>
                  <w:noWrap/>
                  <w:vAlign w:val="center"/>
                </w:tcPr>
                <w:p w14:paraId="6BAFDE6D">
                  <w:pPr>
                    <w:pStyle w:val="83"/>
                    <w:rPr>
                      <w:rFonts w:hint="default"/>
                    </w:rPr>
                  </w:pPr>
                  <w:r>
                    <w:t>加弹1#排气筒</w:t>
                  </w:r>
                </w:p>
                <w:p w14:paraId="54F4FA4D">
                  <w:pPr>
                    <w:pStyle w:val="83"/>
                    <w:rPr>
                      <w:rFonts w:hint="default"/>
                    </w:rPr>
                  </w:pPr>
                  <w:r>
                    <w:t>DA046</w:t>
                  </w:r>
                </w:p>
              </w:tc>
              <w:tc>
                <w:tcPr>
                  <w:tcW w:w="777" w:type="pct"/>
                  <w:noWrap/>
                  <w:vAlign w:val="center"/>
                </w:tcPr>
                <w:p w14:paraId="55333BCE">
                  <w:pPr>
                    <w:pStyle w:val="83"/>
                    <w:rPr>
                      <w:rFonts w:hint="default"/>
                    </w:rPr>
                  </w:pPr>
                  <w:r>
                    <w:t>非甲烷总烃</w:t>
                  </w:r>
                </w:p>
              </w:tc>
              <w:tc>
                <w:tcPr>
                  <w:tcW w:w="922" w:type="dxa"/>
                  <w:vAlign w:val="center"/>
                </w:tcPr>
                <w:p w14:paraId="298A33E4">
                  <w:pPr>
                    <w:pStyle w:val="83"/>
                    <w:rPr>
                      <w:rFonts w:hint="default"/>
                    </w:rPr>
                  </w:pPr>
                  <w:r>
                    <w:t>12600</w:t>
                  </w:r>
                </w:p>
              </w:tc>
              <w:tc>
                <w:tcPr>
                  <w:tcW w:w="922" w:type="dxa"/>
                  <w:noWrap/>
                  <w:vAlign w:val="center"/>
                </w:tcPr>
                <w:p w14:paraId="35F57471">
                  <w:pPr>
                    <w:pStyle w:val="83"/>
                    <w:rPr>
                      <w:rFonts w:hint="default"/>
                    </w:rPr>
                  </w:pPr>
                  <w:r>
                    <w:t>3.44</w:t>
                  </w:r>
                </w:p>
              </w:tc>
              <w:tc>
                <w:tcPr>
                  <w:tcW w:w="1230" w:type="dxa"/>
                  <w:vAlign w:val="center"/>
                </w:tcPr>
                <w:p w14:paraId="2480D8E3">
                  <w:pPr>
                    <w:pStyle w:val="83"/>
                    <w:rPr>
                      <w:rFonts w:hint="default"/>
                    </w:rPr>
                  </w:pPr>
                  <w:r>
                    <w:t>0.043</w:t>
                  </w:r>
                </w:p>
              </w:tc>
              <w:tc>
                <w:tcPr>
                  <w:tcW w:w="556" w:type="pct"/>
                  <w:noWrap/>
                  <w:vAlign w:val="center"/>
                </w:tcPr>
                <w:p w14:paraId="7E0D3B07">
                  <w:pPr>
                    <w:pStyle w:val="83"/>
                    <w:rPr>
                      <w:rFonts w:hint="default"/>
                    </w:rPr>
                  </w:pPr>
                  <w:r>
                    <w:t>60</w:t>
                  </w:r>
                </w:p>
              </w:tc>
              <w:tc>
                <w:tcPr>
                  <w:tcW w:w="387" w:type="pct"/>
                  <w:noWrap/>
                  <w:vAlign w:val="center"/>
                </w:tcPr>
                <w:p w14:paraId="5C9E6F15">
                  <w:pPr>
                    <w:pStyle w:val="83"/>
                    <w:rPr>
                      <w:rFonts w:hint="default"/>
                    </w:rPr>
                  </w:pPr>
                  <w:r>
                    <w:t>达标</w:t>
                  </w:r>
                </w:p>
              </w:tc>
            </w:tr>
            <w:tr w14:paraId="62C5B6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51AA910F">
                  <w:pPr>
                    <w:pStyle w:val="83"/>
                    <w:rPr>
                      <w:rFonts w:hint="default"/>
                    </w:rPr>
                  </w:pPr>
                </w:p>
              </w:tc>
              <w:tc>
                <w:tcPr>
                  <w:tcW w:w="1036" w:type="pct"/>
                  <w:noWrap/>
                  <w:vAlign w:val="center"/>
                </w:tcPr>
                <w:p w14:paraId="178BBFD9">
                  <w:pPr>
                    <w:pStyle w:val="83"/>
                    <w:rPr>
                      <w:rFonts w:hint="default"/>
                    </w:rPr>
                  </w:pPr>
                  <w:r>
                    <w:t>加弹2#排气筒</w:t>
                  </w:r>
                </w:p>
                <w:p w14:paraId="674BA1AD">
                  <w:pPr>
                    <w:pStyle w:val="83"/>
                    <w:rPr>
                      <w:rFonts w:hint="default"/>
                    </w:rPr>
                  </w:pPr>
                  <w:r>
                    <w:t>DA047</w:t>
                  </w:r>
                </w:p>
              </w:tc>
              <w:tc>
                <w:tcPr>
                  <w:tcW w:w="777" w:type="pct"/>
                  <w:noWrap/>
                  <w:vAlign w:val="center"/>
                </w:tcPr>
                <w:p w14:paraId="5B864C61">
                  <w:pPr>
                    <w:pStyle w:val="83"/>
                    <w:rPr>
                      <w:rFonts w:hint="default"/>
                    </w:rPr>
                  </w:pPr>
                  <w:r>
                    <w:t>非甲烷总烃</w:t>
                  </w:r>
                </w:p>
              </w:tc>
              <w:tc>
                <w:tcPr>
                  <w:tcW w:w="922" w:type="dxa"/>
                  <w:vAlign w:val="center"/>
                </w:tcPr>
                <w:p w14:paraId="4A2CF99B">
                  <w:pPr>
                    <w:pStyle w:val="83"/>
                    <w:rPr>
                      <w:rFonts w:hint="default"/>
                    </w:rPr>
                  </w:pPr>
                  <w:r>
                    <w:t>11600</w:t>
                  </w:r>
                </w:p>
              </w:tc>
              <w:tc>
                <w:tcPr>
                  <w:tcW w:w="922" w:type="dxa"/>
                  <w:noWrap/>
                  <w:vAlign w:val="center"/>
                </w:tcPr>
                <w:p w14:paraId="3A709D61">
                  <w:pPr>
                    <w:pStyle w:val="83"/>
                    <w:rPr>
                      <w:rFonts w:hint="default"/>
                    </w:rPr>
                  </w:pPr>
                  <w:r>
                    <w:t>3.5</w:t>
                  </w:r>
                </w:p>
              </w:tc>
              <w:tc>
                <w:tcPr>
                  <w:tcW w:w="1230" w:type="dxa"/>
                  <w:vAlign w:val="center"/>
                </w:tcPr>
                <w:p w14:paraId="0D526590">
                  <w:pPr>
                    <w:pStyle w:val="83"/>
                    <w:rPr>
                      <w:rFonts w:hint="default"/>
                    </w:rPr>
                  </w:pPr>
                  <w:r>
                    <w:t>0.041</w:t>
                  </w:r>
                </w:p>
              </w:tc>
              <w:tc>
                <w:tcPr>
                  <w:tcW w:w="556" w:type="pct"/>
                  <w:noWrap/>
                  <w:vAlign w:val="center"/>
                </w:tcPr>
                <w:p w14:paraId="2D0EF831">
                  <w:pPr>
                    <w:pStyle w:val="83"/>
                    <w:rPr>
                      <w:rFonts w:hint="default"/>
                    </w:rPr>
                  </w:pPr>
                  <w:r>
                    <w:t>60</w:t>
                  </w:r>
                </w:p>
              </w:tc>
              <w:tc>
                <w:tcPr>
                  <w:tcW w:w="387" w:type="pct"/>
                  <w:noWrap/>
                  <w:vAlign w:val="center"/>
                </w:tcPr>
                <w:p w14:paraId="32543017">
                  <w:pPr>
                    <w:pStyle w:val="83"/>
                    <w:rPr>
                      <w:rFonts w:hint="default"/>
                    </w:rPr>
                  </w:pPr>
                  <w:r>
                    <w:t>达标</w:t>
                  </w:r>
                </w:p>
              </w:tc>
            </w:tr>
            <w:tr w14:paraId="1B6BD2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55F165EC">
                  <w:pPr>
                    <w:pStyle w:val="83"/>
                    <w:rPr>
                      <w:rFonts w:hint="default"/>
                    </w:rPr>
                  </w:pPr>
                </w:p>
              </w:tc>
              <w:tc>
                <w:tcPr>
                  <w:tcW w:w="1036" w:type="pct"/>
                  <w:noWrap/>
                  <w:vAlign w:val="center"/>
                </w:tcPr>
                <w:p w14:paraId="28DFF6A9">
                  <w:pPr>
                    <w:pStyle w:val="83"/>
                    <w:rPr>
                      <w:rFonts w:hint="default"/>
                    </w:rPr>
                  </w:pPr>
                  <w:r>
                    <w:t>加弹3#排气筒</w:t>
                  </w:r>
                </w:p>
                <w:p w14:paraId="330688C3">
                  <w:pPr>
                    <w:pStyle w:val="83"/>
                    <w:rPr>
                      <w:rFonts w:hint="default"/>
                    </w:rPr>
                  </w:pPr>
                  <w:r>
                    <w:t>DA048</w:t>
                  </w:r>
                </w:p>
              </w:tc>
              <w:tc>
                <w:tcPr>
                  <w:tcW w:w="777" w:type="pct"/>
                  <w:noWrap/>
                  <w:vAlign w:val="center"/>
                </w:tcPr>
                <w:p w14:paraId="1CB972BD">
                  <w:pPr>
                    <w:pStyle w:val="83"/>
                    <w:rPr>
                      <w:rFonts w:hint="default"/>
                    </w:rPr>
                  </w:pPr>
                  <w:r>
                    <w:t>非甲烷总烃</w:t>
                  </w:r>
                </w:p>
              </w:tc>
              <w:tc>
                <w:tcPr>
                  <w:tcW w:w="922" w:type="dxa"/>
                  <w:vAlign w:val="center"/>
                </w:tcPr>
                <w:p w14:paraId="11738498">
                  <w:pPr>
                    <w:pStyle w:val="83"/>
                    <w:rPr>
                      <w:rFonts w:hint="default"/>
                    </w:rPr>
                  </w:pPr>
                  <w:r>
                    <w:t>24000</w:t>
                  </w:r>
                </w:p>
              </w:tc>
              <w:tc>
                <w:tcPr>
                  <w:tcW w:w="922" w:type="dxa"/>
                  <w:noWrap/>
                  <w:vAlign w:val="center"/>
                </w:tcPr>
                <w:p w14:paraId="17B27D15">
                  <w:pPr>
                    <w:pStyle w:val="83"/>
                    <w:rPr>
                      <w:rFonts w:hint="default"/>
                    </w:rPr>
                  </w:pPr>
                  <w:r>
                    <w:t>3.84</w:t>
                  </w:r>
                </w:p>
              </w:tc>
              <w:tc>
                <w:tcPr>
                  <w:tcW w:w="1230" w:type="dxa"/>
                  <w:vAlign w:val="center"/>
                </w:tcPr>
                <w:p w14:paraId="35755B82">
                  <w:pPr>
                    <w:pStyle w:val="83"/>
                    <w:rPr>
                      <w:rFonts w:hint="default"/>
                    </w:rPr>
                  </w:pPr>
                  <w:r>
                    <w:t>0.092</w:t>
                  </w:r>
                </w:p>
              </w:tc>
              <w:tc>
                <w:tcPr>
                  <w:tcW w:w="556" w:type="pct"/>
                  <w:noWrap/>
                  <w:vAlign w:val="center"/>
                </w:tcPr>
                <w:p w14:paraId="72444BA3">
                  <w:pPr>
                    <w:pStyle w:val="83"/>
                    <w:rPr>
                      <w:rFonts w:hint="default"/>
                    </w:rPr>
                  </w:pPr>
                  <w:r>
                    <w:t>60</w:t>
                  </w:r>
                </w:p>
              </w:tc>
              <w:tc>
                <w:tcPr>
                  <w:tcW w:w="387" w:type="pct"/>
                  <w:noWrap/>
                  <w:vAlign w:val="center"/>
                </w:tcPr>
                <w:p w14:paraId="41169C02">
                  <w:pPr>
                    <w:pStyle w:val="83"/>
                    <w:rPr>
                      <w:rFonts w:hint="default"/>
                    </w:rPr>
                  </w:pPr>
                  <w:r>
                    <w:t>达标</w:t>
                  </w:r>
                </w:p>
              </w:tc>
            </w:tr>
            <w:tr w14:paraId="3183F5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28555D5">
                  <w:pPr>
                    <w:pStyle w:val="83"/>
                    <w:rPr>
                      <w:rFonts w:hint="default"/>
                    </w:rPr>
                  </w:pPr>
                </w:p>
              </w:tc>
              <w:tc>
                <w:tcPr>
                  <w:tcW w:w="1036" w:type="pct"/>
                  <w:noWrap/>
                  <w:vAlign w:val="center"/>
                </w:tcPr>
                <w:p w14:paraId="203A9549">
                  <w:pPr>
                    <w:pStyle w:val="83"/>
                    <w:rPr>
                      <w:rFonts w:hint="default"/>
                    </w:rPr>
                  </w:pPr>
                  <w:r>
                    <w:t>加弹4#排气筒</w:t>
                  </w:r>
                </w:p>
                <w:p w14:paraId="027DE13F">
                  <w:pPr>
                    <w:pStyle w:val="83"/>
                    <w:rPr>
                      <w:rFonts w:hint="default"/>
                    </w:rPr>
                  </w:pPr>
                  <w:r>
                    <w:t>DA049</w:t>
                  </w:r>
                </w:p>
              </w:tc>
              <w:tc>
                <w:tcPr>
                  <w:tcW w:w="777" w:type="pct"/>
                  <w:noWrap/>
                  <w:vAlign w:val="center"/>
                </w:tcPr>
                <w:p w14:paraId="3236EB8E">
                  <w:pPr>
                    <w:pStyle w:val="83"/>
                    <w:rPr>
                      <w:rFonts w:hint="default"/>
                    </w:rPr>
                  </w:pPr>
                  <w:r>
                    <w:t>非甲烷总烃</w:t>
                  </w:r>
                </w:p>
              </w:tc>
              <w:tc>
                <w:tcPr>
                  <w:tcW w:w="922" w:type="dxa"/>
                  <w:vAlign w:val="center"/>
                </w:tcPr>
                <w:p w14:paraId="7FF76CDE">
                  <w:pPr>
                    <w:pStyle w:val="83"/>
                    <w:rPr>
                      <w:rFonts w:hint="default"/>
                    </w:rPr>
                  </w:pPr>
                  <w:r>
                    <w:t>21900</w:t>
                  </w:r>
                </w:p>
              </w:tc>
              <w:tc>
                <w:tcPr>
                  <w:tcW w:w="922" w:type="dxa"/>
                  <w:noWrap/>
                  <w:vAlign w:val="center"/>
                </w:tcPr>
                <w:p w14:paraId="52188007">
                  <w:pPr>
                    <w:pStyle w:val="83"/>
                    <w:rPr>
                      <w:rFonts w:hint="default"/>
                    </w:rPr>
                  </w:pPr>
                  <w:r>
                    <w:t>3.55</w:t>
                  </w:r>
                </w:p>
              </w:tc>
              <w:tc>
                <w:tcPr>
                  <w:tcW w:w="1230" w:type="dxa"/>
                  <w:vAlign w:val="center"/>
                </w:tcPr>
                <w:p w14:paraId="10F45E4B">
                  <w:pPr>
                    <w:pStyle w:val="83"/>
                    <w:rPr>
                      <w:rFonts w:hint="default"/>
                    </w:rPr>
                  </w:pPr>
                  <w:r>
                    <w:t>0.078</w:t>
                  </w:r>
                </w:p>
              </w:tc>
              <w:tc>
                <w:tcPr>
                  <w:tcW w:w="556" w:type="pct"/>
                  <w:noWrap/>
                  <w:vAlign w:val="center"/>
                </w:tcPr>
                <w:p w14:paraId="09D21D3F">
                  <w:pPr>
                    <w:pStyle w:val="83"/>
                    <w:rPr>
                      <w:rFonts w:hint="default"/>
                    </w:rPr>
                  </w:pPr>
                  <w:r>
                    <w:t>60</w:t>
                  </w:r>
                </w:p>
              </w:tc>
              <w:tc>
                <w:tcPr>
                  <w:tcW w:w="387" w:type="pct"/>
                  <w:noWrap/>
                  <w:vAlign w:val="center"/>
                </w:tcPr>
                <w:p w14:paraId="5CB89DA0">
                  <w:pPr>
                    <w:pStyle w:val="83"/>
                    <w:rPr>
                      <w:rFonts w:hint="default"/>
                    </w:rPr>
                  </w:pPr>
                  <w:r>
                    <w:t>达标</w:t>
                  </w:r>
                </w:p>
              </w:tc>
            </w:tr>
          </w:tbl>
          <w:p w14:paraId="2E7276DB">
            <w:pPr>
              <w:ind w:firstLine="480"/>
            </w:pPr>
            <w:r>
              <w:rPr>
                <w:rFonts w:hint="eastAsia"/>
              </w:rPr>
              <w:t>7.聚合一、二期项目</w:t>
            </w:r>
          </w:p>
          <w:p w14:paraId="78467BD5">
            <w:pPr>
              <w:ind w:firstLine="480"/>
            </w:pPr>
            <w:r>
              <w:rPr>
                <w:rFonts w:hint="eastAsia"/>
              </w:rPr>
              <w:t>现有聚合一、二期项目产生的工艺废气经汽提塔和冷凝器处理后通过1根36m排气筒排放。聚合一、二期项目废气监测数据见表2.4-7。</w:t>
            </w:r>
          </w:p>
          <w:p w14:paraId="43099722">
            <w:pPr>
              <w:pStyle w:val="13"/>
            </w:pPr>
            <w:r>
              <w:rPr>
                <w:rFonts w:hint="eastAsia"/>
              </w:rPr>
              <w:t>表2.4-7  聚合一、二期项目废气监测结果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519374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61F7DDD3">
                  <w:pPr>
                    <w:pStyle w:val="83"/>
                    <w:rPr>
                      <w:rFonts w:hint="default"/>
                    </w:rPr>
                  </w:pPr>
                  <w:r>
                    <w:t>监测</w:t>
                  </w:r>
                </w:p>
                <w:p w14:paraId="7D05C5C2">
                  <w:pPr>
                    <w:pStyle w:val="83"/>
                    <w:rPr>
                      <w:rFonts w:hint="default"/>
                    </w:rPr>
                  </w:pPr>
                  <w:r>
                    <w:t>日期</w:t>
                  </w:r>
                </w:p>
              </w:tc>
              <w:tc>
                <w:tcPr>
                  <w:tcW w:w="1036" w:type="pct"/>
                  <w:noWrap/>
                  <w:vAlign w:val="center"/>
                </w:tcPr>
                <w:p w14:paraId="6180A912">
                  <w:pPr>
                    <w:pStyle w:val="83"/>
                    <w:rPr>
                      <w:rFonts w:hint="default"/>
                    </w:rPr>
                  </w:pPr>
                  <w:r>
                    <w:t>监测点位</w:t>
                  </w:r>
                </w:p>
              </w:tc>
              <w:tc>
                <w:tcPr>
                  <w:tcW w:w="777" w:type="pct"/>
                  <w:noWrap/>
                  <w:vAlign w:val="center"/>
                </w:tcPr>
                <w:p w14:paraId="1FE312A6">
                  <w:pPr>
                    <w:pStyle w:val="83"/>
                    <w:rPr>
                      <w:rFonts w:hint="default"/>
                    </w:rPr>
                  </w:pPr>
                  <w:r>
                    <w:t>监测项目</w:t>
                  </w:r>
                </w:p>
              </w:tc>
              <w:tc>
                <w:tcPr>
                  <w:tcW w:w="518" w:type="pct"/>
                  <w:vAlign w:val="center"/>
                </w:tcPr>
                <w:p w14:paraId="654F2E7D">
                  <w:pPr>
                    <w:pStyle w:val="83"/>
                    <w:rPr>
                      <w:rFonts w:hint="default"/>
                    </w:rPr>
                  </w:pPr>
                  <w:r>
                    <w:t>标杆</w:t>
                  </w:r>
                </w:p>
                <w:p w14:paraId="29B7567D">
                  <w:pPr>
                    <w:pStyle w:val="83"/>
                    <w:rPr>
                      <w:rFonts w:hint="default"/>
                    </w:rPr>
                  </w:pPr>
                  <w:r>
                    <w:t>流量</w:t>
                  </w:r>
                </w:p>
                <w:p w14:paraId="797DD485">
                  <w:pPr>
                    <w:pStyle w:val="83"/>
                    <w:rPr>
                      <w:rFonts w:hint="default"/>
                    </w:rPr>
                  </w:pPr>
                  <w:r>
                    <w:t>m</w:t>
                  </w:r>
                  <w:r>
                    <w:rPr>
                      <w:vertAlign w:val="superscript"/>
                    </w:rPr>
                    <w:t>3</w:t>
                  </w:r>
                  <w:r>
                    <w:t>/h</w:t>
                  </w:r>
                </w:p>
              </w:tc>
              <w:tc>
                <w:tcPr>
                  <w:tcW w:w="518" w:type="pct"/>
                  <w:vAlign w:val="center"/>
                </w:tcPr>
                <w:p w14:paraId="6B4EEDB9">
                  <w:pPr>
                    <w:pStyle w:val="83"/>
                    <w:rPr>
                      <w:rFonts w:hint="default"/>
                    </w:rPr>
                  </w:pPr>
                  <w:r>
                    <w:t>排放</w:t>
                  </w:r>
                </w:p>
                <w:p w14:paraId="4E02B257">
                  <w:pPr>
                    <w:pStyle w:val="83"/>
                    <w:rPr>
                      <w:rFonts w:hint="default"/>
                    </w:rPr>
                  </w:pPr>
                  <w:r>
                    <w:t>浓度</w:t>
                  </w:r>
                </w:p>
                <w:p w14:paraId="58808F3E">
                  <w:pPr>
                    <w:pStyle w:val="83"/>
                    <w:rPr>
                      <w:rFonts w:hint="default"/>
                    </w:rPr>
                  </w:pPr>
                  <w:r>
                    <w:t>mg/m</w:t>
                  </w:r>
                  <w:r>
                    <w:rPr>
                      <w:vertAlign w:val="superscript"/>
                    </w:rPr>
                    <w:t>3</w:t>
                  </w:r>
                </w:p>
              </w:tc>
              <w:tc>
                <w:tcPr>
                  <w:tcW w:w="691" w:type="pct"/>
                  <w:vAlign w:val="center"/>
                </w:tcPr>
                <w:p w14:paraId="57041CFB">
                  <w:pPr>
                    <w:pStyle w:val="83"/>
                    <w:rPr>
                      <w:rFonts w:hint="default"/>
                    </w:rPr>
                  </w:pPr>
                  <w:r>
                    <w:t>排放速率</w:t>
                  </w:r>
                </w:p>
                <w:p w14:paraId="53D8B2C2">
                  <w:pPr>
                    <w:pStyle w:val="83"/>
                    <w:rPr>
                      <w:rFonts w:hint="default"/>
                    </w:rPr>
                  </w:pPr>
                  <w:r>
                    <w:t>kg/h</w:t>
                  </w:r>
                </w:p>
              </w:tc>
              <w:tc>
                <w:tcPr>
                  <w:tcW w:w="556" w:type="pct"/>
                  <w:vAlign w:val="center"/>
                </w:tcPr>
                <w:p w14:paraId="3B4E93B2">
                  <w:pPr>
                    <w:pStyle w:val="83"/>
                    <w:rPr>
                      <w:rFonts w:hint="default"/>
                    </w:rPr>
                  </w:pPr>
                  <w:r>
                    <w:t>标准</w:t>
                  </w:r>
                </w:p>
                <w:p w14:paraId="5084D7A0">
                  <w:pPr>
                    <w:pStyle w:val="83"/>
                    <w:rPr>
                      <w:rFonts w:hint="default"/>
                    </w:rPr>
                  </w:pPr>
                  <w:r>
                    <w:t>限值</w:t>
                  </w:r>
                </w:p>
                <w:p w14:paraId="1350E54D">
                  <w:pPr>
                    <w:pStyle w:val="83"/>
                    <w:rPr>
                      <w:rFonts w:hint="default"/>
                    </w:rPr>
                  </w:pPr>
                  <w:r>
                    <w:t>mg/m</w:t>
                  </w:r>
                  <w:r>
                    <w:rPr>
                      <w:vertAlign w:val="superscript"/>
                    </w:rPr>
                    <w:t>3</w:t>
                  </w:r>
                </w:p>
              </w:tc>
              <w:tc>
                <w:tcPr>
                  <w:tcW w:w="387" w:type="pct"/>
                  <w:noWrap/>
                  <w:vAlign w:val="center"/>
                </w:tcPr>
                <w:p w14:paraId="21797C16">
                  <w:pPr>
                    <w:pStyle w:val="83"/>
                    <w:rPr>
                      <w:rFonts w:hint="default"/>
                    </w:rPr>
                  </w:pPr>
                  <w:r>
                    <w:t>达标</w:t>
                  </w:r>
                </w:p>
                <w:p w14:paraId="4C9A2BE9">
                  <w:pPr>
                    <w:pStyle w:val="83"/>
                    <w:rPr>
                      <w:rFonts w:hint="default"/>
                    </w:rPr>
                  </w:pPr>
                  <w:r>
                    <w:t>情况</w:t>
                  </w:r>
                </w:p>
              </w:tc>
            </w:tr>
            <w:tr w14:paraId="5A09E6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restart"/>
                  <w:noWrap/>
                  <w:vAlign w:val="center"/>
                </w:tcPr>
                <w:p w14:paraId="20E040C0">
                  <w:pPr>
                    <w:pStyle w:val="83"/>
                    <w:rPr>
                      <w:rFonts w:hint="default"/>
                    </w:rPr>
                  </w:pPr>
                  <w:r>
                    <w:t>2025.</w:t>
                  </w:r>
                </w:p>
                <w:p w14:paraId="5620DCBE">
                  <w:pPr>
                    <w:pStyle w:val="83"/>
                    <w:rPr>
                      <w:rFonts w:hint="default"/>
                    </w:rPr>
                  </w:pPr>
                  <w:r>
                    <w:t>12.31</w:t>
                  </w:r>
                </w:p>
              </w:tc>
              <w:tc>
                <w:tcPr>
                  <w:tcW w:w="1036" w:type="pct"/>
                  <w:vMerge w:val="restart"/>
                  <w:noWrap/>
                  <w:vAlign w:val="center"/>
                </w:tcPr>
                <w:p w14:paraId="45C13A71">
                  <w:pPr>
                    <w:pStyle w:val="83"/>
                    <w:rPr>
                      <w:rFonts w:hint="default"/>
                    </w:rPr>
                  </w:pPr>
                  <w:r>
                    <w:t>聚合1#排气筒</w:t>
                  </w:r>
                </w:p>
                <w:p w14:paraId="20EBDD97">
                  <w:pPr>
                    <w:pStyle w:val="83"/>
                    <w:rPr>
                      <w:rFonts w:hint="default"/>
                    </w:rPr>
                  </w:pPr>
                  <w:r>
                    <w:t>DA001</w:t>
                  </w:r>
                </w:p>
              </w:tc>
              <w:tc>
                <w:tcPr>
                  <w:tcW w:w="777" w:type="pct"/>
                  <w:noWrap/>
                  <w:vAlign w:val="center"/>
                </w:tcPr>
                <w:p w14:paraId="13A0A9D9">
                  <w:pPr>
                    <w:pStyle w:val="83"/>
                    <w:rPr>
                      <w:rFonts w:hint="default"/>
                    </w:rPr>
                  </w:pPr>
                  <w:r>
                    <w:t>非甲烷总烃</w:t>
                  </w:r>
                </w:p>
              </w:tc>
              <w:tc>
                <w:tcPr>
                  <w:tcW w:w="922" w:type="dxa"/>
                  <w:vMerge w:val="restart"/>
                  <w:vAlign w:val="center"/>
                </w:tcPr>
                <w:p w14:paraId="15A0A1F5">
                  <w:pPr>
                    <w:pStyle w:val="83"/>
                    <w:rPr>
                      <w:rFonts w:hint="default"/>
                    </w:rPr>
                  </w:pPr>
                  <w:r>
                    <w:t>2620</w:t>
                  </w:r>
                </w:p>
              </w:tc>
              <w:tc>
                <w:tcPr>
                  <w:tcW w:w="922" w:type="dxa"/>
                  <w:noWrap/>
                  <w:vAlign w:val="center"/>
                </w:tcPr>
                <w:p w14:paraId="4E71E95A">
                  <w:pPr>
                    <w:pStyle w:val="83"/>
                    <w:rPr>
                      <w:rFonts w:hint="default"/>
                    </w:rPr>
                  </w:pPr>
                  <w:r>
                    <w:t>5.09</w:t>
                  </w:r>
                </w:p>
              </w:tc>
              <w:tc>
                <w:tcPr>
                  <w:tcW w:w="1230" w:type="dxa"/>
                  <w:vAlign w:val="center"/>
                </w:tcPr>
                <w:p w14:paraId="03120820">
                  <w:pPr>
                    <w:pStyle w:val="83"/>
                    <w:rPr>
                      <w:rFonts w:hint="default"/>
                    </w:rPr>
                  </w:pPr>
                  <w:r>
                    <w:t>0.013</w:t>
                  </w:r>
                </w:p>
              </w:tc>
              <w:tc>
                <w:tcPr>
                  <w:tcW w:w="556" w:type="pct"/>
                  <w:noWrap/>
                  <w:vAlign w:val="center"/>
                </w:tcPr>
                <w:p w14:paraId="65CE72B6">
                  <w:pPr>
                    <w:pStyle w:val="83"/>
                    <w:rPr>
                      <w:rFonts w:hint="default"/>
                    </w:rPr>
                  </w:pPr>
                  <w:r>
                    <w:t>100</w:t>
                  </w:r>
                </w:p>
              </w:tc>
              <w:tc>
                <w:tcPr>
                  <w:tcW w:w="387" w:type="pct"/>
                  <w:noWrap/>
                  <w:vAlign w:val="center"/>
                </w:tcPr>
                <w:p w14:paraId="3C13AE13">
                  <w:pPr>
                    <w:pStyle w:val="83"/>
                    <w:rPr>
                      <w:rFonts w:hint="default"/>
                    </w:rPr>
                  </w:pPr>
                  <w:r>
                    <w:t>达标</w:t>
                  </w:r>
                </w:p>
              </w:tc>
            </w:tr>
            <w:tr w14:paraId="68563A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48D696D5">
                  <w:pPr>
                    <w:pStyle w:val="83"/>
                    <w:rPr>
                      <w:rFonts w:hint="default"/>
                    </w:rPr>
                  </w:pPr>
                </w:p>
              </w:tc>
              <w:tc>
                <w:tcPr>
                  <w:tcW w:w="1036" w:type="pct"/>
                  <w:vMerge w:val="continue"/>
                  <w:vAlign w:val="center"/>
                </w:tcPr>
                <w:p w14:paraId="6B65538D">
                  <w:pPr>
                    <w:pStyle w:val="83"/>
                    <w:rPr>
                      <w:rFonts w:hint="default"/>
                    </w:rPr>
                  </w:pPr>
                </w:p>
              </w:tc>
              <w:tc>
                <w:tcPr>
                  <w:tcW w:w="777" w:type="pct"/>
                  <w:noWrap/>
                  <w:vAlign w:val="center"/>
                </w:tcPr>
                <w:p w14:paraId="294330D3">
                  <w:pPr>
                    <w:pStyle w:val="83"/>
                    <w:rPr>
                      <w:rFonts w:hint="default"/>
                    </w:rPr>
                  </w:pPr>
                  <w:r>
                    <w:t>颗粒物</w:t>
                  </w:r>
                </w:p>
              </w:tc>
              <w:tc>
                <w:tcPr>
                  <w:tcW w:w="922" w:type="dxa"/>
                  <w:vMerge w:val="continue"/>
                  <w:vAlign w:val="center"/>
                </w:tcPr>
                <w:p w14:paraId="11B4D803">
                  <w:pPr>
                    <w:pStyle w:val="83"/>
                    <w:rPr>
                      <w:rFonts w:hint="default"/>
                    </w:rPr>
                  </w:pPr>
                </w:p>
              </w:tc>
              <w:tc>
                <w:tcPr>
                  <w:tcW w:w="922" w:type="dxa"/>
                  <w:noWrap/>
                  <w:vAlign w:val="center"/>
                </w:tcPr>
                <w:p w14:paraId="61CF97E5">
                  <w:pPr>
                    <w:pStyle w:val="83"/>
                    <w:rPr>
                      <w:rFonts w:hint="default"/>
                    </w:rPr>
                  </w:pPr>
                  <w:r>
                    <w:t>2.2</w:t>
                  </w:r>
                </w:p>
              </w:tc>
              <w:tc>
                <w:tcPr>
                  <w:tcW w:w="1230" w:type="dxa"/>
                  <w:vAlign w:val="center"/>
                </w:tcPr>
                <w:p w14:paraId="74031DDB">
                  <w:pPr>
                    <w:pStyle w:val="83"/>
                    <w:rPr>
                      <w:rFonts w:hint="default"/>
                    </w:rPr>
                  </w:pPr>
                  <w:r>
                    <w:t>0.0058</w:t>
                  </w:r>
                </w:p>
              </w:tc>
              <w:tc>
                <w:tcPr>
                  <w:tcW w:w="556" w:type="pct"/>
                  <w:noWrap/>
                  <w:vAlign w:val="center"/>
                </w:tcPr>
                <w:p w14:paraId="369D4974">
                  <w:pPr>
                    <w:pStyle w:val="83"/>
                    <w:rPr>
                      <w:rFonts w:hint="default"/>
                    </w:rPr>
                  </w:pPr>
                  <w:r>
                    <w:t>20</w:t>
                  </w:r>
                </w:p>
              </w:tc>
              <w:tc>
                <w:tcPr>
                  <w:tcW w:w="387" w:type="pct"/>
                  <w:noWrap/>
                  <w:vAlign w:val="center"/>
                </w:tcPr>
                <w:p w14:paraId="4B17BA63">
                  <w:pPr>
                    <w:pStyle w:val="83"/>
                    <w:rPr>
                      <w:rFonts w:hint="default"/>
                    </w:rPr>
                  </w:pPr>
                  <w:r>
                    <w:t>达标</w:t>
                  </w:r>
                </w:p>
              </w:tc>
            </w:tr>
          </w:tbl>
          <w:p w14:paraId="4F04FA92">
            <w:pPr>
              <w:ind w:firstLine="480"/>
            </w:pPr>
            <w:r>
              <w:rPr>
                <w:rFonts w:hint="eastAsia"/>
              </w:rPr>
              <w:t>8.聚合三期项目</w:t>
            </w:r>
          </w:p>
          <w:p w14:paraId="0D0D86AA">
            <w:pPr>
              <w:ind w:firstLine="480"/>
            </w:pPr>
            <w:r>
              <w:rPr>
                <w:rFonts w:hint="eastAsia"/>
              </w:rPr>
              <w:t>现有聚合三期项目产生的废气主要是聚合废气和切片废气。聚合废气经填料塔冷凝水洗涤+冷凝器冷凝+沉浸槽处理后和经配套单体抽吸设备+水喷淋塔洗涤处理的切片废气一起通过1根36m排气筒排放。聚合三期项目废气监测数据见表2.4-8。</w:t>
            </w:r>
          </w:p>
          <w:p w14:paraId="5AF3D025">
            <w:pPr>
              <w:pStyle w:val="13"/>
            </w:pPr>
            <w:r>
              <w:rPr>
                <w:rFonts w:hint="eastAsia"/>
              </w:rPr>
              <w:t>表2.4-8  聚合三期项目废气监测结果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099D87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5684F19C">
                  <w:pPr>
                    <w:pStyle w:val="83"/>
                    <w:rPr>
                      <w:rFonts w:hint="default"/>
                    </w:rPr>
                  </w:pPr>
                  <w:r>
                    <w:t>监测</w:t>
                  </w:r>
                </w:p>
                <w:p w14:paraId="4535C32A">
                  <w:pPr>
                    <w:pStyle w:val="83"/>
                    <w:rPr>
                      <w:rFonts w:hint="default"/>
                    </w:rPr>
                  </w:pPr>
                  <w:r>
                    <w:t>日期</w:t>
                  </w:r>
                </w:p>
              </w:tc>
              <w:tc>
                <w:tcPr>
                  <w:tcW w:w="1036" w:type="pct"/>
                  <w:noWrap/>
                  <w:vAlign w:val="center"/>
                </w:tcPr>
                <w:p w14:paraId="3A8D05C3">
                  <w:pPr>
                    <w:pStyle w:val="83"/>
                    <w:rPr>
                      <w:rFonts w:hint="default"/>
                    </w:rPr>
                  </w:pPr>
                  <w:r>
                    <w:t>监测点位</w:t>
                  </w:r>
                </w:p>
              </w:tc>
              <w:tc>
                <w:tcPr>
                  <w:tcW w:w="777" w:type="pct"/>
                  <w:noWrap/>
                  <w:vAlign w:val="center"/>
                </w:tcPr>
                <w:p w14:paraId="4F22EC12">
                  <w:pPr>
                    <w:pStyle w:val="83"/>
                    <w:rPr>
                      <w:rFonts w:hint="default"/>
                    </w:rPr>
                  </w:pPr>
                  <w:r>
                    <w:t>监测项目</w:t>
                  </w:r>
                </w:p>
              </w:tc>
              <w:tc>
                <w:tcPr>
                  <w:tcW w:w="518" w:type="pct"/>
                  <w:vAlign w:val="center"/>
                </w:tcPr>
                <w:p w14:paraId="09C74D67">
                  <w:pPr>
                    <w:pStyle w:val="83"/>
                    <w:rPr>
                      <w:rFonts w:hint="default"/>
                    </w:rPr>
                  </w:pPr>
                  <w:r>
                    <w:t>标杆</w:t>
                  </w:r>
                </w:p>
                <w:p w14:paraId="3DF11A3F">
                  <w:pPr>
                    <w:pStyle w:val="83"/>
                    <w:rPr>
                      <w:rFonts w:hint="default"/>
                    </w:rPr>
                  </w:pPr>
                  <w:r>
                    <w:t>流量</w:t>
                  </w:r>
                </w:p>
                <w:p w14:paraId="6588B4B5">
                  <w:pPr>
                    <w:pStyle w:val="83"/>
                    <w:rPr>
                      <w:rFonts w:hint="default"/>
                    </w:rPr>
                  </w:pPr>
                  <w:r>
                    <w:t>m</w:t>
                  </w:r>
                  <w:r>
                    <w:rPr>
                      <w:vertAlign w:val="superscript"/>
                    </w:rPr>
                    <w:t>3</w:t>
                  </w:r>
                  <w:r>
                    <w:t>/h</w:t>
                  </w:r>
                </w:p>
              </w:tc>
              <w:tc>
                <w:tcPr>
                  <w:tcW w:w="518" w:type="pct"/>
                  <w:vAlign w:val="center"/>
                </w:tcPr>
                <w:p w14:paraId="48896B14">
                  <w:pPr>
                    <w:pStyle w:val="83"/>
                    <w:rPr>
                      <w:rFonts w:hint="default"/>
                    </w:rPr>
                  </w:pPr>
                  <w:r>
                    <w:t>排放</w:t>
                  </w:r>
                </w:p>
                <w:p w14:paraId="5ADDCA9C">
                  <w:pPr>
                    <w:pStyle w:val="83"/>
                    <w:rPr>
                      <w:rFonts w:hint="default"/>
                    </w:rPr>
                  </w:pPr>
                  <w:r>
                    <w:t>浓度</w:t>
                  </w:r>
                </w:p>
                <w:p w14:paraId="09B2B58A">
                  <w:pPr>
                    <w:pStyle w:val="83"/>
                    <w:rPr>
                      <w:rFonts w:hint="default"/>
                    </w:rPr>
                  </w:pPr>
                  <w:r>
                    <w:t>mg/m</w:t>
                  </w:r>
                  <w:r>
                    <w:rPr>
                      <w:vertAlign w:val="superscript"/>
                    </w:rPr>
                    <w:t>3</w:t>
                  </w:r>
                </w:p>
              </w:tc>
              <w:tc>
                <w:tcPr>
                  <w:tcW w:w="691" w:type="pct"/>
                  <w:vAlign w:val="center"/>
                </w:tcPr>
                <w:p w14:paraId="27EB3412">
                  <w:pPr>
                    <w:pStyle w:val="83"/>
                    <w:rPr>
                      <w:rFonts w:hint="default"/>
                    </w:rPr>
                  </w:pPr>
                  <w:r>
                    <w:t>排放速率</w:t>
                  </w:r>
                </w:p>
                <w:p w14:paraId="05394E37">
                  <w:pPr>
                    <w:pStyle w:val="83"/>
                    <w:rPr>
                      <w:rFonts w:hint="default"/>
                    </w:rPr>
                  </w:pPr>
                  <w:r>
                    <w:t>kg/h</w:t>
                  </w:r>
                </w:p>
              </w:tc>
              <w:tc>
                <w:tcPr>
                  <w:tcW w:w="556" w:type="pct"/>
                  <w:vAlign w:val="center"/>
                </w:tcPr>
                <w:p w14:paraId="027A45E3">
                  <w:pPr>
                    <w:pStyle w:val="83"/>
                    <w:rPr>
                      <w:rFonts w:hint="default"/>
                    </w:rPr>
                  </w:pPr>
                  <w:r>
                    <w:t>标准</w:t>
                  </w:r>
                </w:p>
                <w:p w14:paraId="27D7C7E5">
                  <w:pPr>
                    <w:pStyle w:val="83"/>
                    <w:rPr>
                      <w:rFonts w:hint="default"/>
                    </w:rPr>
                  </w:pPr>
                  <w:r>
                    <w:t>限值</w:t>
                  </w:r>
                </w:p>
                <w:p w14:paraId="1C1C590A">
                  <w:pPr>
                    <w:pStyle w:val="83"/>
                    <w:rPr>
                      <w:rFonts w:hint="default"/>
                    </w:rPr>
                  </w:pPr>
                  <w:r>
                    <w:t>mg/m</w:t>
                  </w:r>
                  <w:r>
                    <w:rPr>
                      <w:vertAlign w:val="superscript"/>
                    </w:rPr>
                    <w:t>3</w:t>
                  </w:r>
                </w:p>
              </w:tc>
              <w:tc>
                <w:tcPr>
                  <w:tcW w:w="387" w:type="pct"/>
                  <w:noWrap/>
                  <w:vAlign w:val="center"/>
                </w:tcPr>
                <w:p w14:paraId="06908BA2">
                  <w:pPr>
                    <w:pStyle w:val="83"/>
                    <w:rPr>
                      <w:rFonts w:hint="default"/>
                    </w:rPr>
                  </w:pPr>
                  <w:r>
                    <w:t>达标</w:t>
                  </w:r>
                </w:p>
                <w:p w14:paraId="724985C3">
                  <w:pPr>
                    <w:pStyle w:val="83"/>
                    <w:rPr>
                      <w:rFonts w:hint="default"/>
                    </w:rPr>
                  </w:pPr>
                  <w:r>
                    <w:t>情况</w:t>
                  </w:r>
                </w:p>
              </w:tc>
            </w:tr>
            <w:tr w14:paraId="01929B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restart"/>
                  <w:noWrap/>
                  <w:vAlign w:val="center"/>
                </w:tcPr>
                <w:p w14:paraId="7B6C7DAC">
                  <w:pPr>
                    <w:pStyle w:val="83"/>
                    <w:rPr>
                      <w:rFonts w:hint="default"/>
                    </w:rPr>
                  </w:pPr>
                  <w:r>
                    <w:t>2024.</w:t>
                  </w:r>
                </w:p>
                <w:p w14:paraId="0C1E3BE7">
                  <w:pPr>
                    <w:pStyle w:val="83"/>
                    <w:rPr>
                      <w:rFonts w:hint="default"/>
                    </w:rPr>
                  </w:pPr>
                  <w:r>
                    <w:t>12.18</w:t>
                  </w:r>
                </w:p>
              </w:tc>
              <w:tc>
                <w:tcPr>
                  <w:tcW w:w="1036" w:type="pct"/>
                  <w:vMerge w:val="restart"/>
                  <w:noWrap/>
                  <w:vAlign w:val="center"/>
                </w:tcPr>
                <w:p w14:paraId="7EECCFAD">
                  <w:pPr>
                    <w:pStyle w:val="83"/>
                    <w:rPr>
                      <w:rFonts w:hint="default"/>
                    </w:rPr>
                  </w:pPr>
                  <w:r>
                    <w:t>聚合3#排气筒</w:t>
                  </w:r>
                </w:p>
                <w:p w14:paraId="5DE819FB">
                  <w:pPr>
                    <w:pStyle w:val="83"/>
                    <w:rPr>
                      <w:rFonts w:hint="default"/>
                    </w:rPr>
                  </w:pPr>
                  <w:r>
                    <w:t>DA007</w:t>
                  </w:r>
                </w:p>
              </w:tc>
              <w:tc>
                <w:tcPr>
                  <w:tcW w:w="777" w:type="pct"/>
                  <w:noWrap/>
                  <w:vAlign w:val="center"/>
                </w:tcPr>
                <w:p w14:paraId="2C398F05">
                  <w:pPr>
                    <w:pStyle w:val="83"/>
                    <w:rPr>
                      <w:rFonts w:hint="default"/>
                    </w:rPr>
                  </w:pPr>
                  <w:r>
                    <w:t>非甲烷总烃</w:t>
                  </w:r>
                </w:p>
              </w:tc>
              <w:tc>
                <w:tcPr>
                  <w:tcW w:w="922" w:type="dxa"/>
                  <w:vMerge w:val="restart"/>
                  <w:vAlign w:val="center"/>
                </w:tcPr>
                <w:p w14:paraId="37308EAE">
                  <w:pPr>
                    <w:pStyle w:val="83"/>
                    <w:rPr>
                      <w:rFonts w:hint="default"/>
                    </w:rPr>
                  </w:pPr>
                  <w:r>
                    <w:t>8180</w:t>
                  </w:r>
                </w:p>
              </w:tc>
              <w:tc>
                <w:tcPr>
                  <w:tcW w:w="922" w:type="dxa"/>
                  <w:noWrap/>
                  <w:vAlign w:val="center"/>
                </w:tcPr>
                <w:p w14:paraId="5CDE7736">
                  <w:pPr>
                    <w:pStyle w:val="83"/>
                    <w:rPr>
                      <w:rFonts w:hint="default"/>
                    </w:rPr>
                  </w:pPr>
                  <w:r>
                    <w:t>2.89</w:t>
                  </w:r>
                </w:p>
              </w:tc>
              <w:tc>
                <w:tcPr>
                  <w:tcW w:w="1230" w:type="dxa"/>
                  <w:vAlign w:val="center"/>
                </w:tcPr>
                <w:p w14:paraId="5D902FD4">
                  <w:pPr>
                    <w:pStyle w:val="83"/>
                    <w:rPr>
                      <w:rFonts w:hint="default"/>
                    </w:rPr>
                  </w:pPr>
                  <w:r>
                    <w:t>0.024</w:t>
                  </w:r>
                </w:p>
              </w:tc>
              <w:tc>
                <w:tcPr>
                  <w:tcW w:w="556" w:type="pct"/>
                  <w:noWrap/>
                  <w:vAlign w:val="center"/>
                </w:tcPr>
                <w:p w14:paraId="7F87B05A">
                  <w:pPr>
                    <w:pStyle w:val="83"/>
                    <w:rPr>
                      <w:rFonts w:hint="default"/>
                    </w:rPr>
                  </w:pPr>
                  <w:r>
                    <w:t>60</w:t>
                  </w:r>
                </w:p>
              </w:tc>
              <w:tc>
                <w:tcPr>
                  <w:tcW w:w="387" w:type="pct"/>
                  <w:noWrap/>
                  <w:vAlign w:val="center"/>
                </w:tcPr>
                <w:p w14:paraId="138572D2">
                  <w:pPr>
                    <w:pStyle w:val="83"/>
                    <w:rPr>
                      <w:rFonts w:hint="default"/>
                    </w:rPr>
                  </w:pPr>
                  <w:r>
                    <w:t>达标</w:t>
                  </w:r>
                </w:p>
              </w:tc>
            </w:tr>
            <w:tr w14:paraId="0AAD5E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70574890">
                  <w:pPr>
                    <w:pStyle w:val="83"/>
                    <w:rPr>
                      <w:rFonts w:hint="default"/>
                    </w:rPr>
                  </w:pPr>
                </w:p>
              </w:tc>
              <w:tc>
                <w:tcPr>
                  <w:tcW w:w="1036" w:type="pct"/>
                  <w:vMerge w:val="continue"/>
                  <w:vAlign w:val="center"/>
                </w:tcPr>
                <w:p w14:paraId="5F879FE4">
                  <w:pPr>
                    <w:pStyle w:val="83"/>
                    <w:rPr>
                      <w:rFonts w:hint="default"/>
                    </w:rPr>
                  </w:pPr>
                </w:p>
              </w:tc>
              <w:tc>
                <w:tcPr>
                  <w:tcW w:w="777" w:type="pct"/>
                  <w:noWrap/>
                  <w:vAlign w:val="center"/>
                </w:tcPr>
                <w:p w14:paraId="710DE2A3">
                  <w:pPr>
                    <w:pStyle w:val="83"/>
                    <w:rPr>
                      <w:rFonts w:hint="default"/>
                    </w:rPr>
                  </w:pPr>
                  <w:r>
                    <w:t>颗粒物</w:t>
                  </w:r>
                </w:p>
              </w:tc>
              <w:tc>
                <w:tcPr>
                  <w:tcW w:w="922" w:type="dxa"/>
                  <w:vMerge w:val="continue"/>
                  <w:vAlign w:val="center"/>
                </w:tcPr>
                <w:p w14:paraId="3CBC8E3C">
                  <w:pPr>
                    <w:pStyle w:val="83"/>
                    <w:rPr>
                      <w:rFonts w:hint="default"/>
                    </w:rPr>
                  </w:pPr>
                </w:p>
              </w:tc>
              <w:tc>
                <w:tcPr>
                  <w:tcW w:w="922" w:type="dxa"/>
                  <w:noWrap/>
                  <w:vAlign w:val="center"/>
                </w:tcPr>
                <w:p w14:paraId="28A979ED">
                  <w:pPr>
                    <w:pStyle w:val="83"/>
                    <w:rPr>
                      <w:rFonts w:hint="default"/>
                    </w:rPr>
                  </w:pPr>
                  <w:r>
                    <w:t>4.3</w:t>
                  </w:r>
                </w:p>
              </w:tc>
              <w:tc>
                <w:tcPr>
                  <w:tcW w:w="1230" w:type="dxa"/>
                  <w:vAlign w:val="center"/>
                </w:tcPr>
                <w:p w14:paraId="08B742AE">
                  <w:pPr>
                    <w:pStyle w:val="83"/>
                    <w:rPr>
                      <w:rFonts w:hint="default"/>
                    </w:rPr>
                  </w:pPr>
                  <w:r>
                    <w:t>0.035</w:t>
                  </w:r>
                </w:p>
              </w:tc>
              <w:tc>
                <w:tcPr>
                  <w:tcW w:w="556" w:type="pct"/>
                  <w:noWrap/>
                  <w:vAlign w:val="center"/>
                </w:tcPr>
                <w:p w14:paraId="7985CEEB">
                  <w:pPr>
                    <w:pStyle w:val="83"/>
                    <w:rPr>
                      <w:rFonts w:hint="default"/>
                    </w:rPr>
                  </w:pPr>
                  <w:r>
                    <w:t>20</w:t>
                  </w:r>
                </w:p>
              </w:tc>
              <w:tc>
                <w:tcPr>
                  <w:tcW w:w="387" w:type="pct"/>
                  <w:noWrap/>
                  <w:vAlign w:val="center"/>
                </w:tcPr>
                <w:p w14:paraId="1D60190A">
                  <w:pPr>
                    <w:pStyle w:val="83"/>
                    <w:rPr>
                      <w:rFonts w:hint="default"/>
                    </w:rPr>
                  </w:pPr>
                  <w:r>
                    <w:t>达标</w:t>
                  </w:r>
                </w:p>
              </w:tc>
            </w:tr>
          </w:tbl>
          <w:p w14:paraId="38070590">
            <w:pPr>
              <w:ind w:firstLine="480"/>
            </w:pPr>
            <w:r>
              <w:rPr>
                <w:rFonts w:hint="eastAsia"/>
              </w:rPr>
              <w:t>9.再生切片项目</w:t>
            </w:r>
          </w:p>
          <w:p w14:paraId="006D4680">
            <w:pPr>
              <w:ind w:firstLine="480"/>
            </w:pPr>
            <w:r>
              <w:rPr>
                <w:rFonts w:hint="eastAsia"/>
              </w:rPr>
              <w:t>熔融废气由集气罩收集后经1套烟气净化处理系统（喷淋塔+静电除尘+活性炭吸附）处理后尾气通过1根15m高排气筒排放。再生切片项目废气监测数据见表2.4-9。</w:t>
            </w:r>
          </w:p>
          <w:p w14:paraId="7B36402A">
            <w:pPr>
              <w:pStyle w:val="13"/>
            </w:pPr>
            <w:r>
              <w:rPr>
                <w:rFonts w:hint="eastAsia"/>
              </w:rPr>
              <w:t>表2.4-9  再生切片项目废气监测结果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78A3F3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6B4876C7">
                  <w:pPr>
                    <w:pStyle w:val="83"/>
                    <w:rPr>
                      <w:rFonts w:hint="default"/>
                    </w:rPr>
                  </w:pPr>
                  <w:r>
                    <w:t>监测</w:t>
                  </w:r>
                </w:p>
                <w:p w14:paraId="5601AED9">
                  <w:pPr>
                    <w:pStyle w:val="83"/>
                    <w:rPr>
                      <w:rFonts w:hint="default"/>
                    </w:rPr>
                  </w:pPr>
                  <w:r>
                    <w:t>日期</w:t>
                  </w:r>
                </w:p>
              </w:tc>
              <w:tc>
                <w:tcPr>
                  <w:tcW w:w="1036" w:type="pct"/>
                  <w:noWrap/>
                  <w:vAlign w:val="center"/>
                </w:tcPr>
                <w:p w14:paraId="199D8CBB">
                  <w:pPr>
                    <w:pStyle w:val="83"/>
                    <w:rPr>
                      <w:rFonts w:hint="default"/>
                    </w:rPr>
                  </w:pPr>
                  <w:r>
                    <w:t>监测点位</w:t>
                  </w:r>
                </w:p>
              </w:tc>
              <w:tc>
                <w:tcPr>
                  <w:tcW w:w="777" w:type="pct"/>
                  <w:noWrap/>
                  <w:vAlign w:val="center"/>
                </w:tcPr>
                <w:p w14:paraId="4C2CA9DD">
                  <w:pPr>
                    <w:pStyle w:val="83"/>
                    <w:rPr>
                      <w:rFonts w:hint="default"/>
                    </w:rPr>
                  </w:pPr>
                  <w:r>
                    <w:t>监测项目</w:t>
                  </w:r>
                </w:p>
              </w:tc>
              <w:tc>
                <w:tcPr>
                  <w:tcW w:w="518" w:type="pct"/>
                  <w:vAlign w:val="center"/>
                </w:tcPr>
                <w:p w14:paraId="687D6B82">
                  <w:pPr>
                    <w:pStyle w:val="83"/>
                    <w:rPr>
                      <w:rFonts w:hint="default"/>
                    </w:rPr>
                  </w:pPr>
                  <w:r>
                    <w:t>标杆</w:t>
                  </w:r>
                </w:p>
                <w:p w14:paraId="2E924D78">
                  <w:pPr>
                    <w:pStyle w:val="83"/>
                    <w:rPr>
                      <w:rFonts w:hint="default"/>
                    </w:rPr>
                  </w:pPr>
                  <w:r>
                    <w:t>流量</w:t>
                  </w:r>
                </w:p>
                <w:p w14:paraId="3DB2B602">
                  <w:pPr>
                    <w:pStyle w:val="83"/>
                    <w:rPr>
                      <w:rFonts w:hint="default"/>
                    </w:rPr>
                  </w:pPr>
                  <w:r>
                    <w:t>m</w:t>
                  </w:r>
                  <w:r>
                    <w:rPr>
                      <w:vertAlign w:val="superscript"/>
                    </w:rPr>
                    <w:t>3</w:t>
                  </w:r>
                  <w:r>
                    <w:t>/h</w:t>
                  </w:r>
                </w:p>
              </w:tc>
              <w:tc>
                <w:tcPr>
                  <w:tcW w:w="518" w:type="pct"/>
                  <w:vAlign w:val="center"/>
                </w:tcPr>
                <w:p w14:paraId="0BFD3429">
                  <w:pPr>
                    <w:pStyle w:val="83"/>
                    <w:rPr>
                      <w:rFonts w:hint="default"/>
                    </w:rPr>
                  </w:pPr>
                  <w:r>
                    <w:t>排放</w:t>
                  </w:r>
                </w:p>
                <w:p w14:paraId="0BC6BCAC">
                  <w:pPr>
                    <w:pStyle w:val="83"/>
                    <w:rPr>
                      <w:rFonts w:hint="default"/>
                    </w:rPr>
                  </w:pPr>
                  <w:r>
                    <w:t>浓度</w:t>
                  </w:r>
                </w:p>
                <w:p w14:paraId="6240D9AA">
                  <w:pPr>
                    <w:pStyle w:val="83"/>
                    <w:rPr>
                      <w:rFonts w:hint="default"/>
                    </w:rPr>
                  </w:pPr>
                  <w:r>
                    <w:t>mg/m</w:t>
                  </w:r>
                  <w:r>
                    <w:rPr>
                      <w:vertAlign w:val="superscript"/>
                    </w:rPr>
                    <w:t>3</w:t>
                  </w:r>
                </w:p>
              </w:tc>
              <w:tc>
                <w:tcPr>
                  <w:tcW w:w="691" w:type="pct"/>
                  <w:vAlign w:val="center"/>
                </w:tcPr>
                <w:p w14:paraId="6CEB3E06">
                  <w:pPr>
                    <w:pStyle w:val="83"/>
                    <w:rPr>
                      <w:rFonts w:hint="default"/>
                    </w:rPr>
                  </w:pPr>
                  <w:r>
                    <w:t>排放速率</w:t>
                  </w:r>
                </w:p>
                <w:p w14:paraId="17B76245">
                  <w:pPr>
                    <w:pStyle w:val="83"/>
                    <w:rPr>
                      <w:rFonts w:hint="default"/>
                    </w:rPr>
                  </w:pPr>
                  <w:r>
                    <w:t>kg/h</w:t>
                  </w:r>
                </w:p>
              </w:tc>
              <w:tc>
                <w:tcPr>
                  <w:tcW w:w="556" w:type="pct"/>
                  <w:vAlign w:val="center"/>
                </w:tcPr>
                <w:p w14:paraId="7141AEBB">
                  <w:pPr>
                    <w:pStyle w:val="83"/>
                    <w:rPr>
                      <w:rFonts w:hint="default"/>
                    </w:rPr>
                  </w:pPr>
                  <w:r>
                    <w:t>标准</w:t>
                  </w:r>
                </w:p>
                <w:p w14:paraId="7FD92893">
                  <w:pPr>
                    <w:pStyle w:val="83"/>
                    <w:rPr>
                      <w:rFonts w:hint="default"/>
                    </w:rPr>
                  </w:pPr>
                  <w:r>
                    <w:t>限值</w:t>
                  </w:r>
                </w:p>
                <w:p w14:paraId="48F69E4A">
                  <w:pPr>
                    <w:pStyle w:val="83"/>
                    <w:rPr>
                      <w:rFonts w:hint="default"/>
                    </w:rPr>
                  </w:pPr>
                  <w:r>
                    <w:t>mg/m</w:t>
                  </w:r>
                  <w:r>
                    <w:rPr>
                      <w:vertAlign w:val="superscript"/>
                    </w:rPr>
                    <w:t>3</w:t>
                  </w:r>
                </w:p>
              </w:tc>
              <w:tc>
                <w:tcPr>
                  <w:tcW w:w="387" w:type="pct"/>
                  <w:noWrap/>
                  <w:vAlign w:val="center"/>
                </w:tcPr>
                <w:p w14:paraId="382365B5">
                  <w:pPr>
                    <w:pStyle w:val="83"/>
                    <w:rPr>
                      <w:rFonts w:hint="default"/>
                    </w:rPr>
                  </w:pPr>
                  <w:r>
                    <w:t>达标</w:t>
                  </w:r>
                </w:p>
                <w:p w14:paraId="4101AF04">
                  <w:pPr>
                    <w:pStyle w:val="83"/>
                    <w:rPr>
                      <w:rFonts w:hint="default"/>
                    </w:rPr>
                  </w:pPr>
                  <w:r>
                    <w:t>情况</w:t>
                  </w:r>
                </w:p>
              </w:tc>
            </w:tr>
            <w:tr w14:paraId="368C63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44B81DC4">
                  <w:pPr>
                    <w:pStyle w:val="83"/>
                    <w:rPr>
                      <w:rFonts w:hint="default"/>
                    </w:rPr>
                  </w:pPr>
                  <w:r>
                    <w:t>2025.</w:t>
                  </w:r>
                </w:p>
                <w:p w14:paraId="665ACC88">
                  <w:pPr>
                    <w:pStyle w:val="83"/>
                    <w:rPr>
                      <w:rFonts w:hint="default"/>
                    </w:rPr>
                  </w:pPr>
                  <w:r>
                    <w:t>9.28</w:t>
                  </w:r>
                </w:p>
              </w:tc>
              <w:tc>
                <w:tcPr>
                  <w:tcW w:w="1036" w:type="pct"/>
                  <w:noWrap/>
                  <w:vAlign w:val="center"/>
                </w:tcPr>
                <w:p w14:paraId="44655F90">
                  <w:pPr>
                    <w:pStyle w:val="83"/>
                    <w:rPr>
                      <w:rFonts w:hint="default"/>
                    </w:rPr>
                  </w:pPr>
                  <w:r>
                    <w:t>切片再生排放口</w:t>
                  </w:r>
                </w:p>
                <w:p w14:paraId="000FEF35">
                  <w:pPr>
                    <w:pStyle w:val="83"/>
                    <w:rPr>
                      <w:rFonts w:hint="default"/>
                    </w:rPr>
                  </w:pPr>
                  <w:r>
                    <w:t>DA254</w:t>
                  </w:r>
                </w:p>
              </w:tc>
              <w:tc>
                <w:tcPr>
                  <w:tcW w:w="777" w:type="pct"/>
                  <w:noWrap/>
                  <w:vAlign w:val="center"/>
                </w:tcPr>
                <w:p w14:paraId="7E587A33">
                  <w:pPr>
                    <w:pStyle w:val="83"/>
                    <w:rPr>
                      <w:rFonts w:hint="default"/>
                    </w:rPr>
                  </w:pPr>
                  <w:r>
                    <w:t>非甲烷总烃</w:t>
                  </w:r>
                </w:p>
              </w:tc>
              <w:tc>
                <w:tcPr>
                  <w:tcW w:w="922" w:type="dxa"/>
                  <w:vAlign w:val="center"/>
                </w:tcPr>
                <w:p w14:paraId="2354EE57">
                  <w:pPr>
                    <w:pStyle w:val="83"/>
                    <w:rPr>
                      <w:rFonts w:hint="default"/>
                    </w:rPr>
                  </w:pPr>
                  <w:r>
                    <w:t>20572</w:t>
                  </w:r>
                </w:p>
              </w:tc>
              <w:tc>
                <w:tcPr>
                  <w:tcW w:w="922" w:type="dxa"/>
                  <w:noWrap/>
                  <w:vAlign w:val="center"/>
                </w:tcPr>
                <w:p w14:paraId="0C4851CE">
                  <w:pPr>
                    <w:pStyle w:val="83"/>
                    <w:rPr>
                      <w:rFonts w:hint="default"/>
                    </w:rPr>
                  </w:pPr>
                  <w:r>
                    <w:t>2.38</w:t>
                  </w:r>
                </w:p>
              </w:tc>
              <w:tc>
                <w:tcPr>
                  <w:tcW w:w="1230" w:type="dxa"/>
                  <w:vAlign w:val="center"/>
                </w:tcPr>
                <w:p w14:paraId="4D770947">
                  <w:pPr>
                    <w:pStyle w:val="83"/>
                    <w:rPr>
                      <w:rFonts w:hint="default"/>
                    </w:rPr>
                  </w:pPr>
                  <w:r>
                    <w:t>0.049</w:t>
                  </w:r>
                </w:p>
              </w:tc>
              <w:tc>
                <w:tcPr>
                  <w:tcW w:w="556" w:type="pct"/>
                  <w:noWrap/>
                  <w:vAlign w:val="center"/>
                </w:tcPr>
                <w:p w14:paraId="6AABC088">
                  <w:pPr>
                    <w:pStyle w:val="83"/>
                    <w:rPr>
                      <w:rFonts w:hint="default"/>
                    </w:rPr>
                  </w:pPr>
                  <w:r>
                    <w:t>60</w:t>
                  </w:r>
                </w:p>
              </w:tc>
              <w:tc>
                <w:tcPr>
                  <w:tcW w:w="387" w:type="pct"/>
                  <w:noWrap/>
                  <w:vAlign w:val="center"/>
                </w:tcPr>
                <w:p w14:paraId="5A061625">
                  <w:pPr>
                    <w:pStyle w:val="83"/>
                    <w:rPr>
                      <w:rFonts w:hint="default"/>
                    </w:rPr>
                  </w:pPr>
                  <w:r>
                    <w:t>达标</w:t>
                  </w:r>
                </w:p>
              </w:tc>
            </w:tr>
          </w:tbl>
          <w:p w14:paraId="42C3D316">
            <w:pPr>
              <w:ind w:firstLine="480"/>
            </w:pPr>
            <w:r>
              <w:rPr>
                <w:rFonts w:hint="eastAsia"/>
              </w:rPr>
              <w:t>10.锅炉废气</w:t>
            </w:r>
          </w:p>
          <w:p w14:paraId="6D85D49F">
            <w:pPr>
              <w:ind w:firstLine="480"/>
            </w:pPr>
            <w:r>
              <w:rPr>
                <w:rFonts w:hint="eastAsia"/>
              </w:rPr>
              <w:t>生物质制气锅炉废气经1套低氮燃烧+多管除尘器+SCR脱硝+干法脱硫+布袋除尘器处理后通过1根40m排气筒排放；燃气锅炉烟气经3根25m排气筒排放。生物质制气锅炉改造项目（原燃煤锅炉改生物质制气锅炉）正在开展竣工环保验收，本次引用《福建永荣锦江股份有限公司生物质制气锅炉降耗减碳改造项目环境影响报告表》（2025.11）中的污染源排放核算数据进行达标性分析，燃气锅炉废气排放情况仍根据企业自行监测数据进行分析。锅炉废气达标情况分析见表2.4-10及2.4-11。</w:t>
            </w:r>
          </w:p>
          <w:p w14:paraId="423ACB9A">
            <w:pPr>
              <w:pStyle w:val="13"/>
            </w:pPr>
            <w:r>
              <w:rPr>
                <w:rFonts w:hint="eastAsia"/>
              </w:rPr>
              <w:t>表2.4-10  生物质制气锅炉达标情况</w:t>
            </w:r>
          </w:p>
          <w:tbl>
            <w:tblPr>
              <w:tblStyle w:val="17"/>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764"/>
              <w:gridCol w:w="1676"/>
              <w:gridCol w:w="1176"/>
              <w:gridCol w:w="1576"/>
              <w:gridCol w:w="1429"/>
              <w:gridCol w:w="1274"/>
            </w:tblGrid>
            <w:tr w14:paraId="310C8F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2" w:type="pct"/>
                  <w:noWrap/>
                  <w:vAlign w:val="center"/>
                </w:tcPr>
                <w:p w14:paraId="64A1A5E4">
                  <w:pPr>
                    <w:pStyle w:val="83"/>
                    <w:rPr>
                      <w:rFonts w:hint="default"/>
                    </w:rPr>
                  </w:pPr>
                  <w:r>
                    <w:t>污染源</w:t>
                  </w:r>
                </w:p>
              </w:tc>
              <w:tc>
                <w:tcPr>
                  <w:tcW w:w="942" w:type="pct"/>
                  <w:noWrap/>
                  <w:vAlign w:val="center"/>
                </w:tcPr>
                <w:p w14:paraId="2865F897">
                  <w:pPr>
                    <w:pStyle w:val="83"/>
                    <w:rPr>
                      <w:rFonts w:hint="default"/>
                    </w:rPr>
                  </w:pPr>
                  <w:r>
                    <w:t>污染因子</w:t>
                  </w:r>
                </w:p>
              </w:tc>
              <w:tc>
                <w:tcPr>
                  <w:tcW w:w="661" w:type="pct"/>
                  <w:vAlign w:val="center"/>
                </w:tcPr>
                <w:p w14:paraId="6AFE8DBF">
                  <w:pPr>
                    <w:pStyle w:val="83"/>
                    <w:rPr>
                      <w:rFonts w:hint="default"/>
                    </w:rPr>
                  </w:pPr>
                  <w:r>
                    <w:t>烟气量</w:t>
                  </w:r>
                </w:p>
                <w:p w14:paraId="4290D0DF">
                  <w:pPr>
                    <w:pStyle w:val="83"/>
                    <w:rPr>
                      <w:rFonts w:hint="default"/>
                    </w:rPr>
                  </w:pPr>
                  <w:r>
                    <w:t>m</w:t>
                  </w:r>
                  <w:r>
                    <w:rPr>
                      <w:vertAlign w:val="superscript"/>
                    </w:rPr>
                    <w:t>3</w:t>
                  </w:r>
                  <w:r>
                    <w:t>/h</w:t>
                  </w:r>
                </w:p>
              </w:tc>
              <w:tc>
                <w:tcPr>
                  <w:tcW w:w="886" w:type="pct"/>
                  <w:vAlign w:val="center"/>
                </w:tcPr>
                <w:p w14:paraId="48A9D7D9">
                  <w:pPr>
                    <w:pStyle w:val="83"/>
                    <w:rPr>
                      <w:rFonts w:hint="default"/>
                    </w:rPr>
                  </w:pPr>
                  <w:r>
                    <w:t>排放浓度</w:t>
                  </w:r>
                </w:p>
                <w:p w14:paraId="36CA7BB2">
                  <w:pPr>
                    <w:pStyle w:val="83"/>
                    <w:rPr>
                      <w:rFonts w:hint="default"/>
                    </w:rPr>
                  </w:pPr>
                  <w:r>
                    <w:t>mg/m</w:t>
                  </w:r>
                  <w:r>
                    <w:rPr>
                      <w:vertAlign w:val="superscript"/>
                    </w:rPr>
                    <w:t>3</w:t>
                  </w:r>
                </w:p>
              </w:tc>
              <w:tc>
                <w:tcPr>
                  <w:tcW w:w="803" w:type="pct"/>
                  <w:vAlign w:val="center"/>
                </w:tcPr>
                <w:p w14:paraId="10F829AB">
                  <w:pPr>
                    <w:pStyle w:val="83"/>
                    <w:rPr>
                      <w:rFonts w:hint="default"/>
                    </w:rPr>
                  </w:pPr>
                  <w:r>
                    <w:t>标准限值</w:t>
                  </w:r>
                </w:p>
                <w:p w14:paraId="1B633BF9">
                  <w:pPr>
                    <w:pStyle w:val="83"/>
                    <w:rPr>
                      <w:rFonts w:hint="default"/>
                    </w:rPr>
                  </w:pPr>
                  <w:r>
                    <w:t>mg/m</w:t>
                  </w:r>
                  <w:r>
                    <w:rPr>
                      <w:vertAlign w:val="superscript"/>
                    </w:rPr>
                    <w:t>3</w:t>
                  </w:r>
                </w:p>
              </w:tc>
              <w:tc>
                <w:tcPr>
                  <w:tcW w:w="713" w:type="pct"/>
                  <w:noWrap/>
                  <w:vAlign w:val="center"/>
                </w:tcPr>
                <w:p w14:paraId="4900716F">
                  <w:pPr>
                    <w:pStyle w:val="83"/>
                    <w:rPr>
                      <w:rFonts w:hint="default"/>
                    </w:rPr>
                  </w:pPr>
                  <w:r>
                    <w:t>达标情况</w:t>
                  </w:r>
                </w:p>
              </w:tc>
            </w:tr>
            <w:tr w14:paraId="3724A0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2" w:type="pct"/>
                  <w:vMerge w:val="restart"/>
                  <w:vAlign w:val="center"/>
                </w:tcPr>
                <w:p w14:paraId="49D9F7B6">
                  <w:pPr>
                    <w:pStyle w:val="83"/>
                    <w:rPr>
                      <w:rFonts w:hint="default"/>
                    </w:rPr>
                  </w:pPr>
                  <w:r>
                    <w:t>生物质制气锅炉排气筒DA051</w:t>
                  </w:r>
                </w:p>
              </w:tc>
              <w:tc>
                <w:tcPr>
                  <w:tcW w:w="942" w:type="pct"/>
                  <w:noWrap/>
                  <w:vAlign w:val="center"/>
                </w:tcPr>
                <w:p w14:paraId="4A00EE36">
                  <w:pPr>
                    <w:pStyle w:val="83"/>
                    <w:rPr>
                      <w:rFonts w:hint="default"/>
                    </w:rPr>
                  </w:pPr>
                  <w:r>
                    <w:t>颗粒物</w:t>
                  </w:r>
                </w:p>
              </w:tc>
              <w:tc>
                <w:tcPr>
                  <w:tcW w:w="661" w:type="pct"/>
                  <w:vMerge w:val="restart"/>
                  <w:noWrap/>
                  <w:vAlign w:val="center"/>
                </w:tcPr>
                <w:p w14:paraId="20BF7971">
                  <w:pPr>
                    <w:pStyle w:val="83"/>
                    <w:rPr>
                      <w:rFonts w:hint="default"/>
                    </w:rPr>
                  </w:pPr>
                  <w:r>
                    <w:t>51125</w:t>
                  </w:r>
                </w:p>
              </w:tc>
              <w:tc>
                <w:tcPr>
                  <w:tcW w:w="886" w:type="pct"/>
                  <w:noWrap/>
                  <w:vAlign w:val="center"/>
                </w:tcPr>
                <w:p w14:paraId="6CA2A623">
                  <w:pPr>
                    <w:pStyle w:val="83"/>
                    <w:rPr>
                      <w:rFonts w:hint="default"/>
                    </w:rPr>
                  </w:pPr>
                  <w:r>
                    <w:t>7.63</w:t>
                  </w:r>
                </w:p>
              </w:tc>
              <w:tc>
                <w:tcPr>
                  <w:tcW w:w="803" w:type="pct"/>
                  <w:noWrap/>
                  <w:vAlign w:val="center"/>
                </w:tcPr>
                <w:p w14:paraId="36CC6E7F">
                  <w:pPr>
                    <w:pStyle w:val="83"/>
                    <w:rPr>
                      <w:rFonts w:hint="default"/>
                    </w:rPr>
                  </w:pPr>
                  <w:r>
                    <w:t>10</w:t>
                  </w:r>
                </w:p>
              </w:tc>
              <w:tc>
                <w:tcPr>
                  <w:tcW w:w="713" w:type="pct"/>
                  <w:noWrap/>
                  <w:vAlign w:val="center"/>
                </w:tcPr>
                <w:p w14:paraId="5BB7D99F">
                  <w:pPr>
                    <w:pStyle w:val="83"/>
                    <w:rPr>
                      <w:rFonts w:hint="default"/>
                    </w:rPr>
                  </w:pPr>
                  <w:r>
                    <w:t>达标</w:t>
                  </w:r>
                </w:p>
              </w:tc>
            </w:tr>
            <w:tr w14:paraId="2ECA48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2" w:type="pct"/>
                  <w:vMerge w:val="continue"/>
                  <w:vAlign w:val="center"/>
                </w:tcPr>
                <w:p w14:paraId="1333CBC3">
                  <w:pPr>
                    <w:pStyle w:val="83"/>
                    <w:rPr>
                      <w:rFonts w:hint="default"/>
                    </w:rPr>
                  </w:pPr>
                </w:p>
              </w:tc>
              <w:tc>
                <w:tcPr>
                  <w:tcW w:w="942" w:type="pct"/>
                  <w:noWrap/>
                  <w:vAlign w:val="center"/>
                </w:tcPr>
                <w:p w14:paraId="451CA7F2">
                  <w:pPr>
                    <w:pStyle w:val="83"/>
                    <w:rPr>
                      <w:rFonts w:hint="default"/>
                    </w:rPr>
                  </w:pPr>
                  <w:r>
                    <w:t>二氧化硫</w:t>
                  </w:r>
                </w:p>
              </w:tc>
              <w:tc>
                <w:tcPr>
                  <w:tcW w:w="661" w:type="pct"/>
                  <w:vMerge w:val="continue"/>
                  <w:noWrap/>
                  <w:vAlign w:val="center"/>
                </w:tcPr>
                <w:p w14:paraId="7763B9EA">
                  <w:pPr>
                    <w:pStyle w:val="83"/>
                    <w:rPr>
                      <w:rFonts w:hint="default"/>
                    </w:rPr>
                  </w:pPr>
                </w:p>
              </w:tc>
              <w:tc>
                <w:tcPr>
                  <w:tcW w:w="886" w:type="pct"/>
                  <w:noWrap/>
                  <w:vAlign w:val="center"/>
                </w:tcPr>
                <w:p w14:paraId="47E03F64">
                  <w:pPr>
                    <w:pStyle w:val="83"/>
                    <w:rPr>
                      <w:rFonts w:hint="default"/>
                    </w:rPr>
                  </w:pPr>
                  <w:r>
                    <w:t>28.68</w:t>
                  </w:r>
                </w:p>
              </w:tc>
              <w:tc>
                <w:tcPr>
                  <w:tcW w:w="803" w:type="pct"/>
                  <w:noWrap/>
                  <w:vAlign w:val="center"/>
                </w:tcPr>
                <w:p w14:paraId="00ECC310">
                  <w:pPr>
                    <w:pStyle w:val="83"/>
                    <w:rPr>
                      <w:rFonts w:hint="default"/>
                    </w:rPr>
                  </w:pPr>
                  <w:r>
                    <w:t>35</w:t>
                  </w:r>
                </w:p>
              </w:tc>
              <w:tc>
                <w:tcPr>
                  <w:tcW w:w="713" w:type="pct"/>
                  <w:noWrap/>
                  <w:vAlign w:val="center"/>
                </w:tcPr>
                <w:p w14:paraId="1603E73A">
                  <w:pPr>
                    <w:pStyle w:val="83"/>
                    <w:rPr>
                      <w:rFonts w:hint="default"/>
                    </w:rPr>
                  </w:pPr>
                  <w:r>
                    <w:t>达标</w:t>
                  </w:r>
                </w:p>
              </w:tc>
            </w:tr>
            <w:tr w14:paraId="205FC5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2" w:type="pct"/>
                  <w:vMerge w:val="continue"/>
                  <w:vAlign w:val="center"/>
                </w:tcPr>
                <w:p w14:paraId="2140D7B5">
                  <w:pPr>
                    <w:pStyle w:val="83"/>
                    <w:rPr>
                      <w:rFonts w:hint="default"/>
                    </w:rPr>
                  </w:pPr>
                </w:p>
              </w:tc>
              <w:tc>
                <w:tcPr>
                  <w:tcW w:w="942" w:type="pct"/>
                  <w:noWrap/>
                  <w:vAlign w:val="center"/>
                </w:tcPr>
                <w:p w14:paraId="4FA010A9">
                  <w:pPr>
                    <w:pStyle w:val="83"/>
                    <w:rPr>
                      <w:rFonts w:hint="default"/>
                    </w:rPr>
                  </w:pPr>
                  <w:r>
                    <w:t>氮氧化物</w:t>
                  </w:r>
                </w:p>
              </w:tc>
              <w:tc>
                <w:tcPr>
                  <w:tcW w:w="661" w:type="pct"/>
                  <w:vMerge w:val="continue"/>
                  <w:noWrap/>
                  <w:vAlign w:val="center"/>
                </w:tcPr>
                <w:p w14:paraId="4AABF3AE">
                  <w:pPr>
                    <w:pStyle w:val="83"/>
                    <w:rPr>
                      <w:rFonts w:hint="default"/>
                    </w:rPr>
                  </w:pPr>
                </w:p>
              </w:tc>
              <w:tc>
                <w:tcPr>
                  <w:tcW w:w="886" w:type="pct"/>
                  <w:noWrap/>
                  <w:vAlign w:val="center"/>
                </w:tcPr>
                <w:p w14:paraId="41B038EC">
                  <w:pPr>
                    <w:pStyle w:val="83"/>
                    <w:rPr>
                      <w:rFonts w:hint="default"/>
                    </w:rPr>
                  </w:pPr>
                  <w:r>
                    <w:t>46.69</w:t>
                  </w:r>
                </w:p>
              </w:tc>
              <w:tc>
                <w:tcPr>
                  <w:tcW w:w="803" w:type="pct"/>
                  <w:noWrap/>
                  <w:vAlign w:val="center"/>
                </w:tcPr>
                <w:p w14:paraId="20847FFE">
                  <w:pPr>
                    <w:pStyle w:val="83"/>
                    <w:rPr>
                      <w:rFonts w:hint="default"/>
                    </w:rPr>
                  </w:pPr>
                  <w:r>
                    <w:t>50</w:t>
                  </w:r>
                </w:p>
              </w:tc>
              <w:tc>
                <w:tcPr>
                  <w:tcW w:w="713" w:type="pct"/>
                  <w:noWrap/>
                  <w:vAlign w:val="center"/>
                </w:tcPr>
                <w:p w14:paraId="162EE6FA">
                  <w:pPr>
                    <w:pStyle w:val="83"/>
                    <w:rPr>
                      <w:rFonts w:hint="default"/>
                    </w:rPr>
                  </w:pPr>
                  <w:r>
                    <w:t>达标</w:t>
                  </w:r>
                </w:p>
              </w:tc>
            </w:tr>
            <w:tr w14:paraId="361294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92" w:type="pct"/>
                  <w:vMerge w:val="continue"/>
                  <w:vAlign w:val="center"/>
                </w:tcPr>
                <w:p w14:paraId="1516B74C">
                  <w:pPr>
                    <w:pStyle w:val="83"/>
                    <w:rPr>
                      <w:rFonts w:hint="default"/>
                    </w:rPr>
                  </w:pPr>
                </w:p>
              </w:tc>
              <w:tc>
                <w:tcPr>
                  <w:tcW w:w="942" w:type="pct"/>
                  <w:noWrap/>
                  <w:vAlign w:val="center"/>
                </w:tcPr>
                <w:p w14:paraId="2382ADF6">
                  <w:pPr>
                    <w:pStyle w:val="83"/>
                    <w:rPr>
                      <w:rFonts w:hint="default"/>
                    </w:rPr>
                  </w:pPr>
                  <w:r>
                    <w:t>非甲烷总烃</w:t>
                  </w:r>
                </w:p>
              </w:tc>
              <w:tc>
                <w:tcPr>
                  <w:tcW w:w="661" w:type="pct"/>
                  <w:vMerge w:val="continue"/>
                  <w:noWrap/>
                  <w:vAlign w:val="center"/>
                </w:tcPr>
                <w:p w14:paraId="6758778D">
                  <w:pPr>
                    <w:pStyle w:val="83"/>
                    <w:rPr>
                      <w:rFonts w:hint="default"/>
                    </w:rPr>
                  </w:pPr>
                </w:p>
              </w:tc>
              <w:tc>
                <w:tcPr>
                  <w:tcW w:w="886" w:type="pct"/>
                  <w:noWrap/>
                  <w:vAlign w:val="center"/>
                </w:tcPr>
                <w:p w14:paraId="47EF5D79">
                  <w:pPr>
                    <w:pStyle w:val="83"/>
                    <w:rPr>
                      <w:rFonts w:hint="default"/>
                    </w:rPr>
                  </w:pPr>
                  <w:r>
                    <w:t>9.60</w:t>
                  </w:r>
                </w:p>
              </w:tc>
              <w:tc>
                <w:tcPr>
                  <w:tcW w:w="803" w:type="pct"/>
                  <w:noWrap/>
                  <w:vAlign w:val="center"/>
                </w:tcPr>
                <w:p w14:paraId="44E1D175">
                  <w:pPr>
                    <w:pStyle w:val="83"/>
                    <w:rPr>
                      <w:rFonts w:hint="default"/>
                    </w:rPr>
                  </w:pPr>
                  <w:r>
                    <w:t>60</w:t>
                  </w:r>
                </w:p>
              </w:tc>
              <w:tc>
                <w:tcPr>
                  <w:tcW w:w="713" w:type="pct"/>
                  <w:noWrap/>
                  <w:vAlign w:val="center"/>
                </w:tcPr>
                <w:p w14:paraId="262D61ED">
                  <w:pPr>
                    <w:pStyle w:val="83"/>
                    <w:rPr>
                      <w:rFonts w:hint="default"/>
                    </w:rPr>
                  </w:pPr>
                  <w:r>
                    <w:t>达标</w:t>
                  </w:r>
                </w:p>
              </w:tc>
            </w:tr>
            <w:tr w14:paraId="32823A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6"/>
                  <w:vAlign w:val="center"/>
                </w:tcPr>
                <w:p w14:paraId="01DA65DB">
                  <w:pPr>
                    <w:pStyle w:val="83"/>
                    <w:jc w:val="left"/>
                    <w:rPr>
                      <w:rFonts w:hint="default"/>
                    </w:rPr>
                  </w:pPr>
                  <w:r>
                    <w:rPr>
                      <w:sz w:val="18"/>
                      <w:szCs w:val="18"/>
                    </w:rPr>
                    <w:t>备注：颗粒物、二氧化硫、氮氧化物执行《关于全面推进锅炉污染整治促进清洁低碳转型的意见》燃煤锅炉超低排放要求；非甲烷总烃执行《合成树脂工业污染物排放标准》（GB31572-2015，含2024年修改单）大气污染物特别排放限值。</w:t>
                  </w:r>
                </w:p>
              </w:tc>
            </w:tr>
          </w:tbl>
          <w:p w14:paraId="490F210E">
            <w:pPr>
              <w:pStyle w:val="13"/>
            </w:pPr>
            <w:r>
              <w:rPr>
                <w:rFonts w:hint="eastAsia"/>
              </w:rPr>
              <w:t>表2.4-11  燃气锅炉废气监测结果</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57"/>
              <w:gridCol w:w="1661"/>
              <w:gridCol w:w="1896"/>
              <w:gridCol w:w="1460"/>
              <w:gridCol w:w="1346"/>
              <w:gridCol w:w="1280"/>
            </w:tblGrid>
            <w:tr w14:paraId="31E482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noWrap/>
                  <w:vAlign w:val="center"/>
                </w:tcPr>
                <w:p w14:paraId="6473F146">
                  <w:pPr>
                    <w:pStyle w:val="83"/>
                    <w:rPr>
                      <w:rFonts w:hint="default"/>
                    </w:rPr>
                  </w:pPr>
                  <w:r>
                    <w:t>监测日期</w:t>
                  </w:r>
                </w:p>
              </w:tc>
              <w:tc>
                <w:tcPr>
                  <w:tcW w:w="933" w:type="pct"/>
                  <w:noWrap/>
                  <w:vAlign w:val="center"/>
                </w:tcPr>
                <w:p w14:paraId="4EFBE671">
                  <w:pPr>
                    <w:pStyle w:val="83"/>
                    <w:rPr>
                      <w:rFonts w:hint="default"/>
                    </w:rPr>
                  </w:pPr>
                  <w:r>
                    <w:t>监测点位</w:t>
                  </w:r>
                </w:p>
              </w:tc>
              <w:tc>
                <w:tcPr>
                  <w:tcW w:w="1065" w:type="pct"/>
                  <w:noWrap/>
                  <w:vAlign w:val="center"/>
                </w:tcPr>
                <w:p w14:paraId="30C458FD">
                  <w:pPr>
                    <w:pStyle w:val="83"/>
                    <w:rPr>
                      <w:rFonts w:hint="default"/>
                    </w:rPr>
                  </w:pPr>
                  <w:r>
                    <w:t>监测项目</w:t>
                  </w:r>
                </w:p>
              </w:tc>
              <w:tc>
                <w:tcPr>
                  <w:tcW w:w="820" w:type="pct"/>
                  <w:vAlign w:val="center"/>
                </w:tcPr>
                <w:p w14:paraId="7796B6E0">
                  <w:pPr>
                    <w:pStyle w:val="83"/>
                    <w:rPr>
                      <w:rFonts w:hint="default"/>
                    </w:rPr>
                  </w:pPr>
                  <w:r>
                    <w:t>排放浓度</w:t>
                  </w:r>
                </w:p>
                <w:p w14:paraId="6BF2AED3">
                  <w:pPr>
                    <w:pStyle w:val="83"/>
                    <w:rPr>
                      <w:rFonts w:hint="default"/>
                    </w:rPr>
                  </w:pPr>
                  <w:r>
                    <w:t>mg/m</w:t>
                  </w:r>
                  <w:r>
                    <w:rPr>
                      <w:vertAlign w:val="superscript"/>
                    </w:rPr>
                    <w:t>3</w:t>
                  </w:r>
                </w:p>
              </w:tc>
              <w:tc>
                <w:tcPr>
                  <w:tcW w:w="756" w:type="pct"/>
                  <w:vAlign w:val="center"/>
                </w:tcPr>
                <w:p w14:paraId="5829D3CE">
                  <w:pPr>
                    <w:pStyle w:val="83"/>
                    <w:rPr>
                      <w:rFonts w:hint="default"/>
                    </w:rPr>
                  </w:pPr>
                  <w:r>
                    <w:t>标准限值</w:t>
                  </w:r>
                </w:p>
                <w:p w14:paraId="57AF691D">
                  <w:pPr>
                    <w:pStyle w:val="83"/>
                    <w:rPr>
                      <w:rFonts w:hint="default"/>
                    </w:rPr>
                  </w:pPr>
                  <w:r>
                    <w:t>mg/m</w:t>
                  </w:r>
                  <w:r>
                    <w:rPr>
                      <w:vertAlign w:val="superscript"/>
                    </w:rPr>
                    <w:t>3</w:t>
                  </w:r>
                </w:p>
              </w:tc>
              <w:tc>
                <w:tcPr>
                  <w:tcW w:w="717" w:type="pct"/>
                  <w:noWrap/>
                  <w:vAlign w:val="center"/>
                </w:tcPr>
                <w:p w14:paraId="7F607139">
                  <w:pPr>
                    <w:pStyle w:val="83"/>
                    <w:rPr>
                      <w:rFonts w:hint="default"/>
                    </w:rPr>
                  </w:pPr>
                  <w:r>
                    <w:t>达标情况</w:t>
                  </w:r>
                </w:p>
              </w:tc>
            </w:tr>
            <w:tr w14:paraId="5B703B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restart"/>
                  <w:vAlign w:val="center"/>
                </w:tcPr>
                <w:p w14:paraId="267FBB9B">
                  <w:pPr>
                    <w:pStyle w:val="83"/>
                    <w:rPr>
                      <w:rFonts w:hint="default"/>
                    </w:rPr>
                  </w:pPr>
                  <w:r>
                    <w:t>2025.12.05</w:t>
                  </w:r>
                </w:p>
              </w:tc>
              <w:tc>
                <w:tcPr>
                  <w:tcW w:w="933" w:type="pct"/>
                  <w:vMerge w:val="restart"/>
                  <w:noWrap/>
                  <w:vAlign w:val="center"/>
                </w:tcPr>
                <w:p w14:paraId="0D4CE64E">
                  <w:pPr>
                    <w:pStyle w:val="83"/>
                    <w:rPr>
                      <w:rFonts w:hint="default"/>
                    </w:rPr>
                  </w:pPr>
                  <w:r>
                    <w:t>燃气2#排气筒</w:t>
                  </w:r>
                </w:p>
                <w:p w14:paraId="5A2BEC44">
                  <w:pPr>
                    <w:pStyle w:val="83"/>
                    <w:rPr>
                      <w:rFonts w:hint="default"/>
                    </w:rPr>
                  </w:pPr>
                  <w:r>
                    <w:t>DA003</w:t>
                  </w:r>
                </w:p>
              </w:tc>
              <w:tc>
                <w:tcPr>
                  <w:tcW w:w="1065" w:type="pct"/>
                  <w:noWrap/>
                  <w:vAlign w:val="center"/>
                </w:tcPr>
                <w:p w14:paraId="6213D3CD">
                  <w:pPr>
                    <w:pStyle w:val="83"/>
                    <w:rPr>
                      <w:rFonts w:hint="default"/>
                    </w:rPr>
                  </w:pPr>
                  <w:r>
                    <w:t>颗粒物</w:t>
                  </w:r>
                </w:p>
              </w:tc>
              <w:tc>
                <w:tcPr>
                  <w:tcW w:w="820" w:type="pct"/>
                  <w:noWrap/>
                  <w:vAlign w:val="center"/>
                </w:tcPr>
                <w:p w14:paraId="2DB15D47">
                  <w:pPr>
                    <w:pStyle w:val="83"/>
                    <w:rPr>
                      <w:rFonts w:hint="default"/>
                    </w:rPr>
                  </w:pPr>
                  <w:r>
                    <w:t>0.88</w:t>
                  </w:r>
                </w:p>
              </w:tc>
              <w:tc>
                <w:tcPr>
                  <w:tcW w:w="756" w:type="pct"/>
                  <w:noWrap/>
                  <w:vAlign w:val="center"/>
                </w:tcPr>
                <w:p w14:paraId="085445A9">
                  <w:pPr>
                    <w:pStyle w:val="83"/>
                    <w:rPr>
                      <w:rFonts w:hint="default"/>
                    </w:rPr>
                  </w:pPr>
                  <w:r>
                    <w:t>20</w:t>
                  </w:r>
                </w:p>
              </w:tc>
              <w:tc>
                <w:tcPr>
                  <w:tcW w:w="717" w:type="pct"/>
                  <w:noWrap/>
                  <w:vAlign w:val="center"/>
                </w:tcPr>
                <w:p w14:paraId="24012835">
                  <w:pPr>
                    <w:pStyle w:val="83"/>
                    <w:rPr>
                      <w:rFonts w:hint="default"/>
                    </w:rPr>
                  </w:pPr>
                  <w:r>
                    <w:t>达标</w:t>
                  </w:r>
                </w:p>
              </w:tc>
            </w:tr>
            <w:tr w14:paraId="755301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7BA71A20">
                  <w:pPr>
                    <w:pStyle w:val="83"/>
                    <w:rPr>
                      <w:rFonts w:hint="default"/>
                    </w:rPr>
                  </w:pPr>
                </w:p>
              </w:tc>
              <w:tc>
                <w:tcPr>
                  <w:tcW w:w="933" w:type="pct"/>
                  <w:vMerge w:val="continue"/>
                  <w:vAlign w:val="center"/>
                </w:tcPr>
                <w:p w14:paraId="54A23728">
                  <w:pPr>
                    <w:pStyle w:val="83"/>
                    <w:rPr>
                      <w:rFonts w:hint="default"/>
                    </w:rPr>
                  </w:pPr>
                </w:p>
              </w:tc>
              <w:tc>
                <w:tcPr>
                  <w:tcW w:w="1065" w:type="pct"/>
                  <w:noWrap/>
                  <w:vAlign w:val="center"/>
                </w:tcPr>
                <w:p w14:paraId="6E2AEB58">
                  <w:pPr>
                    <w:pStyle w:val="83"/>
                    <w:rPr>
                      <w:rFonts w:hint="default"/>
                    </w:rPr>
                  </w:pPr>
                  <w:r>
                    <w:t>二氧化硫</w:t>
                  </w:r>
                </w:p>
              </w:tc>
              <w:tc>
                <w:tcPr>
                  <w:tcW w:w="820" w:type="pct"/>
                  <w:noWrap/>
                  <w:vAlign w:val="center"/>
                </w:tcPr>
                <w:p w14:paraId="7F938BCC">
                  <w:pPr>
                    <w:pStyle w:val="83"/>
                    <w:rPr>
                      <w:rFonts w:hint="default"/>
                    </w:rPr>
                  </w:pPr>
                  <w:r>
                    <w:t>42.21</w:t>
                  </w:r>
                </w:p>
              </w:tc>
              <w:tc>
                <w:tcPr>
                  <w:tcW w:w="756" w:type="pct"/>
                  <w:noWrap/>
                  <w:vAlign w:val="center"/>
                </w:tcPr>
                <w:p w14:paraId="5A6702A0">
                  <w:pPr>
                    <w:pStyle w:val="83"/>
                    <w:rPr>
                      <w:rFonts w:hint="default"/>
                    </w:rPr>
                  </w:pPr>
                  <w:r>
                    <w:t>50</w:t>
                  </w:r>
                </w:p>
              </w:tc>
              <w:tc>
                <w:tcPr>
                  <w:tcW w:w="717" w:type="pct"/>
                  <w:noWrap/>
                  <w:vAlign w:val="center"/>
                </w:tcPr>
                <w:p w14:paraId="3CDC9528">
                  <w:pPr>
                    <w:pStyle w:val="83"/>
                    <w:rPr>
                      <w:rFonts w:hint="default"/>
                    </w:rPr>
                  </w:pPr>
                  <w:r>
                    <w:t>/</w:t>
                  </w:r>
                </w:p>
              </w:tc>
            </w:tr>
            <w:tr w14:paraId="69ED2E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0C801451">
                  <w:pPr>
                    <w:pStyle w:val="83"/>
                    <w:rPr>
                      <w:rFonts w:hint="default"/>
                    </w:rPr>
                  </w:pPr>
                </w:p>
              </w:tc>
              <w:tc>
                <w:tcPr>
                  <w:tcW w:w="933" w:type="pct"/>
                  <w:vMerge w:val="continue"/>
                  <w:vAlign w:val="center"/>
                </w:tcPr>
                <w:p w14:paraId="28980CF7">
                  <w:pPr>
                    <w:pStyle w:val="83"/>
                    <w:rPr>
                      <w:rFonts w:hint="default"/>
                    </w:rPr>
                  </w:pPr>
                </w:p>
              </w:tc>
              <w:tc>
                <w:tcPr>
                  <w:tcW w:w="1065" w:type="pct"/>
                  <w:noWrap/>
                  <w:vAlign w:val="center"/>
                </w:tcPr>
                <w:p w14:paraId="6C3639A4">
                  <w:pPr>
                    <w:pStyle w:val="83"/>
                    <w:rPr>
                      <w:rFonts w:hint="default"/>
                    </w:rPr>
                  </w:pPr>
                  <w:r>
                    <w:t>氮氧化物</w:t>
                  </w:r>
                </w:p>
              </w:tc>
              <w:tc>
                <w:tcPr>
                  <w:tcW w:w="820" w:type="pct"/>
                  <w:noWrap/>
                  <w:vAlign w:val="center"/>
                </w:tcPr>
                <w:p w14:paraId="774E4794">
                  <w:pPr>
                    <w:pStyle w:val="83"/>
                    <w:rPr>
                      <w:rFonts w:hint="default"/>
                    </w:rPr>
                  </w:pPr>
                  <w:r>
                    <w:t>1.14</w:t>
                  </w:r>
                </w:p>
              </w:tc>
              <w:tc>
                <w:tcPr>
                  <w:tcW w:w="756" w:type="pct"/>
                  <w:noWrap/>
                  <w:vAlign w:val="center"/>
                </w:tcPr>
                <w:p w14:paraId="111CF47A">
                  <w:pPr>
                    <w:pStyle w:val="83"/>
                    <w:rPr>
                      <w:rFonts w:hint="default"/>
                    </w:rPr>
                  </w:pPr>
                  <w:r>
                    <w:t>150</w:t>
                  </w:r>
                </w:p>
              </w:tc>
              <w:tc>
                <w:tcPr>
                  <w:tcW w:w="717" w:type="pct"/>
                  <w:noWrap/>
                  <w:vAlign w:val="center"/>
                </w:tcPr>
                <w:p w14:paraId="1EDB9B9A">
                  <w:pPr>
                    <w:pStyle w:val="83"/>
                    <w:rPr>
                      <w:rFonts w:hint="default"/>
                    </w:rPr>
                  </w:pPr>
                  <w:r>
                    <w:t>/</w:t>
                  </w:r>
                </w:p>
              </w:tc>
            </w:tr>
            <w:tr w14:paraId="12981F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4B0B762B">
                  <w:pPr>
                    <w:pStyle w:val="83"/>
                    <w:rPr>
                      <w:rFonts w:hint="default"/>
                    </w:rPr>
                  </w:pPr>
                </w:p>
              </w:tc>
              <w:tc>
                <w:tcPr>
                  <w:tcW w:w="933" w:type="pct"/>
                  <w:vMerge w:val="continue"/>
                  <w:vAlign w:val="center"/>
                </w:tcPr>
                <w:p w14:paraId="11C12F3C">
                  <w:pPr>
                    <w:pStyle w:val="83"/>
                    <w:rPr>
                      <w:rFonts w:hint="default"/>
                    </w:rPr>
                  </w:pPr>
                </w:p>
              </w:tc>
              <w:tc>
                <w:tcPr>
                  <w:tcW w:w="1065" w:type="pct"/>
                  <w:noWrap/>
                  <w:vAlign w:val="center"/>
                </w:tcPr>
                <w:p w14:paraId="3B3DBB95">
                  <w:pPr>
                    <w:pStyle w:val="83"/>
                    <w:rPr>
                      <w:rFonts w:hint="default"/>
                    </w:rPr>
                  </w:pPr>
                  <w:r>
                    <w:t>烟气黑度（级）</w:t>
                  </w:r>
                </w:p>
              </w:tc>
              <w:tc>
                <w:tcPr>
                  <w:tcW w:w="820" w:type="pct"/>
                  <w:noWrap/>
                  <w:vAlign w:val="center"/>
                </w:tcPr>
                <w:p w14:paraId="4A52121A">
                  <w:pPr>
                    <w:pStyle w:val="83"/>
                    <w:rPr>
                      <w:rFonts w:hint="default"/>
                    </w:rPr>
                  </w:pPr>
                  <w:r>
                    <w:t>&lt;1</w:t>
                  </w:r>
                </w:p>
              </w:tc>
              <w:tc>
                <w:tcPr>
                  <w:tcW w:w="756" w:type="pct"/>
                  <w:noWrap/>
                  <w:vAlign w:val="center"/>
                </w:tcPr>
                <w:p w14:paraId="498D5A85">
                  <w:pPr>
                    <w:pStyle w:val="83"/>
                    <w:rPr>
                      <w:rFonts w:hint="default"/>
                    </w:rPr>
                  </w:pPr>
                  <w:r>
                    <w:t>≤1</w:t>
                  </w:r>
                </w:p>
              </w:tc>
              <w:tc>
                <w:tcPr>
                  <w:tcW w:w="717" w:type="pct"/>
                  <w:noWrap/>
                  <w:vAlign w:val="center"/>
                </w:tcPr>
                <w:p w14:paraId="4ED66972">
                  <w:pPr>
                    <w:pStyle w:val="83"/>
                    <w:rPr>
                      <w:rFonts w:hint="default"/>
                    </w:rPr>
                  </w:pPr>
                  <w:r>
                    <w:t>达标</w:t>
                  </w:r>
                </w:p>
              </w:tc>
            </w:tr>
            <w:tr w14:paraId="454D48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70EBC0A9">
                  <w:pPr>
                    <w:pStyle w:val="83"/>
                    <w:rPr>
                      <w:rFonts w:hint="default"/>
                    </w:rPr>
                  </w:pPr>
                </w:p>
              </w:tc>
              <w:tc>
                <w:tcPr>
                  <w:tcW w:w="933" w:type="pct"/>
                  <w:vMerge w:val="restart"/>
                  <w:noWrap/>
                  <w:vAlign w:val="center"/>
                </w:tcPr>
                <w:p w14:paraId="1F4B012B">
                  <w:pPr>
                    <w:pStyle w:val="83"/>
                    <w:rPr>
                      <w:rFonts w:hint="default"/>
                    </w:rPr>
                  </w:pPr>
                  <w:r>
                    <w:t>燃气3#排气筒</w:t>
                  </w:r>
                </w:p>
                <w:p w14:paraId="1B788625">
                  <w:pPr>
                    <w:pStyle w:val="83"/>
                    <w:rPr>
                      <w:rFonts w:hint="default"/>
                    </w:rPr>
                  </w:pPr>
                  <w:r>
                    <w:t>DA050</w:t>
                  </w:r>
                </w:p>
              </w:tc>
              <w:tc>
                <w:tcPr>
                  <w:tcW w:w="1065" w:type="pct"/>
                  <w:noWrap/>
                  <w:vAlign w:val="center"/>
                </w:tcPr>
                <w:p w14:paraId="79BF03C4">
                  <w:pPr>
                    <w:pStyle w:val="83"/>
                    <w:rPr>
                      <w:rFonts w:hint="default"/>
                    </w:rPr>
                  </w:pPr>
                  <w:r>
                    <w:t>颗粒物</w:t>
                  </w:r>
                </w:p>
              </w:tc>
              <w:tc>
                <w:tcPr>
                  <w:tcW w:w="820" w:type="pct"/>
                  <w:noWrap/>
                  <w:vAlign w:val="center"/>
                </w:tcPr>
                <w:p w14:paraId="30007D9A">
                  <w:pPr>
                    <w:pStyle w:val="83"/>
                    <w:rPr>
                      <w:rFonts w:hint="default"/>
                    </w:rPr>
                  </w:pPr>
                  <w:r>
                    <w:t>3.3</w:t>
                  </w:r>
                </w:p>
              </w:tc>
              <w:tc>
                <w:tcPr>
                  <w:tcW w:w="756" w:type="pct"/>
                  <w:noWrap/>
                  <w:vAlign w:val="center"/>
                </w:tcPr>
                <w:p w14:paraId="1DDF391D">
                  <w:pPr>
                    <w:pStyle w:val="83"/>
                    <w:rPr>
                      <w:rFonts w:hint="default"/>
                    </w:rPr>
                  </w:pPr>
                  <w:r>
                    <w:t>20</w:t>
                  </w:r>
                </w:p>
              </w:tc>
              <w:tc>
                <w:tcPr>
                  <w:tcW w:w="717" w:type="pct"/>
                  <w:noWrap/>
                  <w:vAlign w:val="center"/>
                </w:tcPr>
                <w:p w14:paraId="179EE1E8">
                  <w:pPr>
                    <w:pStyle w:val="83"/>
                    <w:rPr>
                      <w:rFonts w:hint="default"/>
                    </w:rPr>
                  </w:pPr>
                  <w:r>
                    <w:t>达标</w:t>
                  </w:r>
                </w:p>
              </w:tc>
            </w:tr>
            <w:tr w14:paraId="7A15C0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40F5E53B">
                  <w:pPr>
                    <w:pStyle w:val="83"/>
                    <w:rPr>
                      <w:rFonts w:hint="default"/>
                    </w:rPr>
                  </w:pPr>
                </w:p>
              </w:tc>
              <w:tc>
                <w:tcPr>
                  <w:tcW w:w="933" w:type="pct"/>
                  <w:vMerge w:val="continue"/>
                  <w:vAlign w:val="center"/>
                </w:tcPr>
                <w:p w14:paraId="3467E1AD">
                  <w:pPr>
                    <w:pStyle w:val="83"/>
                    <w:rPr>
                      <w:rFonts w:hint="default"/>
                    </w:rPr>
                  </w:pPr>
                </w:p>
              </w:tc>
              <w:tc>
                <w:tcPr>
                  <w:tcW w:w="1065" w:type="pct"/>
                  <w:noWrap/>
                  <w:vAlign w:val="center"/>
                </w:tcPr>
                <w:p w14:paraId="10496A24">
                  <w:pPr>
                    <w:pStyle w:val="83"/>
                    <w:rPr>
                      <w:rFonts w:hint="default"/>
                    </w:rPr>
                  </w:pPr>
                  <w:r>
                    <w:t>二氧化硫</w:t>
                  </w:r>
                </w:p>
              </w:tc>
              <w:tc>
                <w:tcPr>
                  <w:tcW w:w="820" w:type="pct"/>
                  <w:noWrap/>
                  <w:vAlign w:val="center"/>
                </w:tcPr>
                <w:p w14:paraId="6B7994B5">
                  <w:pPr>
                    <w:pStyle w:val="83"/>
                    <w:rPr>
                      <w:rFonts w:hint="default"/>
                    </w:rPr>
                  </w:pPr>
                  <w:r>
                    <w:t>9</w:t>
                  </w:r>
                </w:p>
              </w:tc>
              <w:tc>
                <w:tcPr>
                  <w:tcW w:w="756" w:type="pct"/>
                  <w:noWrap/>
                  <w:vAlign w:val="center"/>
                </w:tcPr>
                <w:p w14:paraId="324AD559">
                  <w:pPr>
                    <w:pStyle w:val="83"/>
                    <w:rPr>
                      <w:rFonts w:hint="default"/>
                    </w:rPr>
                  </w:pPr>
                  <w:r>
                    <w:t>50</w:t>
                  </w:r>
                </w:p>
              </w:tc>
              <w:tc>
                <w:tcPr>
                  <w:tcW w:w="717" w:type="pct"/>
                  <w:noWrap/>
                  <w:vAlign w:val="center"/>
                </w:tcPr>
                <w:p w14:paraId="7BE778E4">
                  <w:pPr>
                    <w:pStyle w:val="83"/>
                    <w:rPr>
                      <w:rFonts w:hint="default"/>
                    </w:rPr>
                  </w:pPr>
                  <w:r>
                    <w:t>达标</w:t>
                  </w:r>
                </w:p>
              </w:tc>
            </w:tr>
            <w:tr w14:paraId="72731DD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2F88FFFF">
                  <w:pPr>
                    <w:pStyle w:val="83"/>
                    <w:rPr>
                      <w:rFonts w:hint="default"/>
                    </w:rPr>
                  </w:pPr>
                </w:p>
              </w:tc>
              <w:tc>
                <w:tcPr>
                  <w:tcW w:w="933" w:type="pct"/>
                  <w:vMerge w:val="continue"/>
                  <w:vAlign w:val="center"/>
                </w:tcPr>
                <w:p w14:paraId="35D1AF95">
                  <w:pPr>
                    <w:pStyle w:val="83"/>
                    <w:rPr>
                      <w:rFonts w:hint="default"/>
                    </w:rPr>
                  </w:pPr>
                </w:p>
              </w:tc>
              <w:tc>
                <w:tcPr>
                  <w:tcW w:w="1065" w:type="pct"/>
                  <w:noWrap/>
                  <w:vAlign w:val="center"/>
                </w:tcPr>
                <w:p w14:paraId="4849A7B8">
                  <w:pPr>
                    <w:pStyle w:val="83"/>
                    <w:rPr>
                      <w:rFonts w:hint="default"/>
                    </w:rPr>
                  </w:pPr>
                  <w:r>
                    <w:t>氮氧化物</w:t>
                  </w:r>
                </w:p>
              </w:tc>
              <w:tc>
                <w:tcPr>
                  <w:tcW w:w="820" w:type="pct"/>
                  <w:noWrap/>
                  <w:vAlign w:val="center"/>
                </w:tcPr>
                <w:p w14:paraId="4CB40759">
                  <w:pPr>
                    <w:pStyle w:val="83"/>
                    <w:rPr>
                      <w:rFonts w:hint="default"/>
                    </w:rPr>
                  </w:pPr>
                  <w:r>
                    <w:t>&lt;3</w:t>
                  </w:r>
                </w:p>
              </w:tc>
              <w:tc>
                <w:tcPr>
                  <w:tcW w:w="756" w:type="pct"/>
                  <w:noWrap/>
                  <w:vAlign w:val="center"/>
                </w:tcPr>
                <w:p w14:paraId="318AC271">
                  <w:pPr>
                    <w:pStyle w:val="83"/>
                    <w:rPr>
                      <w:rFonts w:hint="default"/>
                    </w:rPr>
                  </w:pPr>
                  <w:r>
                    <w:t>150</w:t>
                  </w:r>
                </w:p>
              </w:tc>
              <w:tc>
                <w:tcPr>
                  <w:tcW w:w="717" w:type="pct"/>
                  <w:noWrap/>
                  <w:vAlign w:val="center"/>
                </w:tcPr>
                <w:p w14:paraId="33522C1D">
                  <w:pPr>
                    <w:pStyle w:val="83"/>
                    <w:rPr>
                      <w:rFonts w:hint="default"/>
                    </w:rPr>
                  </w:pPr>
                  <w:r>
                    <w:t>达标</w:t>
                  </w:r>
                </w:p>
              </w:tc>
            </w:tr>
            <w:tr w14:paraId="130192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454BA721">
                  <w:pPr>
                    <w:pStyle w:val="83"/>
                    <w:rPr>
                      <w:rFonts w:hint="default"/>
                    </w:rPr>
                  </w:pPr>
                </w:p>
              </w:tc>
              <w:tc>
                <w:tcPr>
                  <w:tcW w:w="933" w:type="pct"/>
                  <w:vMerge w:val="continue"/>
                  <w:vAlign w:val="center"/>
                </w:tcPr>
                <w:p w14:paraId="02576C7E">
                  <w:pPr>
                    <w:pStyle w:val="83"/>
                    <w:rPr>
                      <w:rFonts w:hint="default"/>
                    </w:rPr>
                  </w:pPr>
                </w:p>
              </w:tc>
              <w:tc>
                <w:tcPr>
                  <w:tcW w:w="1065" w:type="pct"/>
                  <w:noWrap/>
                  <w:vAlign w:val="center"/>
                </w:tcPr>
                <w:p w14:paraId="6EE9C688">
                  <w:pPr>
                    <w:pStyle w:val="83"/>
                    <w:rPr>
                      <w:rFonts w:hint="default"/>
                    </w:rPr>
                  </w:pPr>
                  <w:r>
                    <w:t>烟气黑度（级）</w:t>
                  </w:r>
                </w:p>
              </w:tc>
              <w:tc>
                <w:tcPr>
                  <w:tcW w:w="820" w:type="pct"/>
                  <w:noWrap/>
                  <w:vAlign w:val="center"/>
                </w:tcPr>
                <w:p w14:paraId="1972486C">
                  <w:pPr>
                    <w:pStyle w:val="83"/>
                    <w:rPr>
                      <w:rFonts w:hint="default"/>
                    </w:rPr>
                  </w:pPr>
                  <w:r>
                    <w:t>&lt;1</w:t>
                  </w:r>
                </w:p>
              </w:tc>
              <w:tc>
                <w:tcPr>
                  <w:tcW w:w="756" w:type="pct"/>
                  <w:noWrap/>
                  <w:vAlign w:val="center"/>
                </w:tcPr>
                <w:p w14:paraId="505108C3">
                  <w:pPr>
                    <w:pStyle w:val="83"/>
                    <w:rPr>
                      <w:rFonts w:hint="default"/>
                    </w:rPr>
                  </w:pPr>
                  <w:r>
                    <w:t>≤1</w:t>
                  </w:r>
                </w:p>
              </w:tc>
              <w:tc>
                <w:tcPr>
                  <w:tcW w:w="717" w:type="pct"/>
                  <w:noWrap/>
                  <w:vAlign w:val="center"/>
                </w:tcPr>
                <w:p w14:paraId="4FC9FD27">
                  <w:pPr>
                    <w:pStyle w:val="83"/>
                    <w:rPr>
                      <w:rFonts w:hint="default"/>
                    </w:rPr>
                  </w:pPr>
                  <w:r>
                    <w:t>达标</w:t>
                  </w:r>
                </w:p>
              </w:tc>
            </w:tr>
            <w:tr w14:paraId="12713B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3E627BE2">
                  <w:pPr>
                    <w:pStyle w:val="83"/>
                    <w:rPr>
                      <w:rFonts w:hint="default"/>
                    </w:rPr>
                  </w:pPr>
                </w:p>
              </w:tc>
              <w:tc>
                <w:tcPr>
                  <w:tcW w:w="933" w:type="pct"/>
                  <w:vMerge w:val="restart"/>
                  <w:noWrap/>
                  <w:vAlign w:val="center"/>
                </w:tcPr>
                <w:p w14:paraId="633767B0">
                  <w:pPr>
                    <w:pStyle w:val="83"/>
                    <w:rPr>
                      <w:rFonts w:hint="default"/>
                    </w:rPr>
                  </w:pPr>
                  <w:r>
                    <w:t>燃气4#排气筒</w:t>
                  </w:r>
                </w:p>
                <w:p w14:paraId="5F91BBEE">
                  <w:pPr>
                    <w:pStyle w:val="83"/>
                    <w:rPr>
                      <w:rFonts w:hint="default"/>
                    </w:rPr>
                  </w:pPr>
                  <w:r>
                    <w:t>DA052</w:t>
                  </w:r>
                </w:p>
              </w:tc>
              <w:tc>
                <w:tcPr>
                  <w:tcW w:w="1065" w:type="pct"/>
                  <w:noWrap/>
                  <w:vAlign w:val="center"/>
                </w:tcPr>
                <w:p w14:paraId="74E37000">
                  <w:pPr>
                    <w:pStyle w:val="83"/>
                    <w:rPr>
                      <w:rFonts w:hint="default"/>
                    </w:rPr>
                  </w:pPr>
                  <w:r>
                    <w:t>颗粒物</w:t>
                  </w:r>
                </w:p>
              </w:tc>
              <w:tc>
                <w:tcPr>
                  <w:tcW w:w="820" w:type="pct"/>
                  <w:noWrap/>
                  <w:vAlign w:val="center"/>
                </w:tcPr>
                <w:p w14:paraId="544CA855">
                  <w:pPr>
                    <w:pStyle w:val="83"/>
                    <w:rPr>
                      <w:rFonts w:hint="default"/>
                    </w:rPr>
                  </w:pPr>
                  <w:r>
                    <w:t>1.7</w:t>
                  </w:r>
                </w:p>
              </w:tc>
              <w:tc>
                <w:tcPr>
                  <w:tcW w:w="756" w:type="pct"/>
                  <w:noWrap/>
                  <w:vAlign w:val="center"/>
                </w:tcPr>
                <w:p w14:paraId="1BE2BA4B">
                  <w:pPr>
                    <w:pStyle w:val="83"/>
                    <w:rPr>
                      <w:rFonts w:hint="default"/>
                    </w:rPr>
                  </w:pPr>
                  <w:r>
                    <w:t>20</w:t>
                  </w:r>
                </w:p>
              </w:tc>
              <w:tc>
                <w:tcPr>
                  <w:tcW w:w="717" w:type="pct"/>
                  <w:noWrap/>
                  <w:vAlign w:val="center"/>
                </w:tcPr>
                <w:p w14:paraId="64119AEC">
                  <w:pPr>
                    <w:pStyle w:val="83"/>
                    <w:rPr>
                      <w:rFonts w:hint="default"/>
                    </w:rPr>
                  </w:pPr>
                  <w:r>
                    <w:t>达标</w:t>
                  </w:r>
                </w:p>
              </w:tc>
            </w:tr>
            <w:tr w14:paraId="39E103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1CF55FD0">
                  <w:pPr>
                    <w:pStyle w:val="83"/>
                    <w:rPr>
                      <w:rFonts w:hint="default"/>
                    </w:rPr>
                  </w:pPr>
                </w:p>
              </w:tc>
              <w:tc>
                <w:tcPr>
                  <w:tcW w:w="933" w:type="pct"/>
                  <w:vMerge w:val="continue"/>
                  <w:vAlign w:val="center"/>
                </w:tcPr>
                <w:p w14:paraId="0C6982B6">
                  <w:pPr>
                    <w:pStyle w:val="83"/>
                    <w:rPr>
                      <w:rFonts w:hint="default"/>
                    </w:rPr>
                  </w:pPr>
                </w:p>
              </w:tc>
              <w:tc>
                <w:tcPr>
                  <w:tcW w:w="1065" w:type="pct"/>
                  <w:noWrap/>
                  <w:vAlign w:val="center"/>
                </w:tcPr>
                <w:p w14:paraId="46C832EB">
                  <w:pPr>
                    <w:pStyle w:val="83"/>
                    <w:rPr>
                      <w:rFonts w:hint="default"/>
                    </w:rPr>
                  </w:pPr>
                  <w:r>
                    <w:t>二氧化硫</w:t>
                  </w:r>
                </w:p>
              </w:tc>
              <w:tc>
                <w:tcPr>
                  <w:tcW w:w="820" w:type="pct"/>
                  <w:noWrap/>
                  <w:vAlign w:val="center"/>
                </w:tcPr>
                <w:p w14:paraId="0956410F">
                  <w:pPr>
                    <w:pStyle w:val="83"/>
                    <w:rPr>
                      <w:rFonts w:hint="default"/>
                    </w:rPr>
                  </w:pPr>
                  <w:r>
                    <w:t>8</w:t>
                  </w:r>
                </w:p>
              </w:tc>
              <w:tc>
                <w:tcPr>
                  <w:tcW w:w="756" w:type="pct"/>
                  <w:noWrap/>
                  <w:vAlign w:val="center"/>
                </w:tcPr>
                <w:p w14:paraId="4D0A8E33">
                  <w:pPr>
                    <w:pStyle w:val="83"/>
                    <w:rPr>
                      <w:rFonts w:hint="default"/>
                    </w:rPr>
                  </w:pPr>
                  <w:r>
                    <w:t>50</w:t>
                  </w:r>
                </w:p>
              </w:tc>
              <w:tc>
                <w:tcPr>
                  <w:tcW w:w="717" w:type="pct"/>
                  <w:noWrap/>
                  <w:vAlign w:val="center"/>
                </w:tcPr>
                <w:p w14:paraId="28FE2BBF">
                  <w:pPr>
                    <w:pStyle w:val="83"/>
                    <w:rPr>
                      <w:rFonts w:hint="default"/>
                    </w:rPr>
                  </w:pPr>
                  <w:r>
                    <w:t>达标</w:t>
                  </w:r>
                </w:p>
              </w:tc>
            </w:tr>
            <w:tr w14:paraId="1B77C8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084EFE92">
                  <w:pPr>
                    <w:pStyle w:val="83"/>
                    <w:rPr>
                      <w:rFonts w:hint="default"/>
                    </w:rPr>
                  </w:pPr>
                </w:p>
              </w:tc>
              <w:tc>
                <w:tcPr>
                  <w:tcW w:w="933" w:type="pct"/>
                  <w:vMerge w:val="continue"/>
                  <w:vAlign w:val="center"/>
                </w:tcPr>
                <w:p w14:paraId="5988D0B3">
                  <w:pPr>
                    <w:pStyle w:val="83"/>
                    <w:rPr>
                      <w:rFonts w:hint="default"/>
                    </w:rPr>
                  </w:pPr>
                </w:p>
              </w:tc>
              <w:tc>
                <w:tcPr>
                  <w:tcW w:w="1065" w:type="pct"/>
                  <w:noWrap/>
                  <w:vAlign w:val="center"/>
                </w:tcPr>
                <w:p w14:paraId="70BB3C90">
                  <w:pPr>
                    <w:pStyle w:val="83"/>
                    <w:rPr>
                      <w:rFonts w:hint="default"/>
                    </w:rPr>
                  </w:pPr>
                  <w:r>
                    <w:t>氮氧化物</w:t>
                  </w:r>
                </w:p>
              </w:tc>
              <w:tc>
                <w:tcPr>
                  <w:tcW w:w="820" w:type="pct"/>
                  <w:noWrap/>
                  <w:vAlign w:val="center"/>
                </w:tcPr>
                <w:p w14:paraId="5A0F62D6">
                  <w:pPr>
                    <w:pStyle w:val="83"/>
                    <w:rPr>
                      <w:rFonts w:hint="default"/>
                    </w:rPr>
                  </w:pPr>
                  <w:r>
                    <w:t>&lt;3</w:t>
                  </w:r>
                </w:p>
              </w:tc>
              <w:tc>
                <w:tcPr>
                  <w:tcW w:w="756" w:type="pct"/>
                  <w:noWrap/>
                  <w:vAlign w:val="center"/>
                </w:tcPr>
                <w:p w14:paraId="1B4F95C5">
                  <w:pPr>
                    <w:pStyle w:val="83"/>
                    <w:rPr>
                      <w:rFonts w:hint="default"/>
                    </w:rPr>
                  </w:pPr>
                  <w:r>
                    <w:t>150</w:t>
                  </w:r>
                </w:p>
              </w:tc>
              <w:tc>
                <w:tcPr>
                  <w:tcW w:w="717" w:type="pct"/>
                  <w:noWrap/>
                  <w:vAlign w:val="center"/>
                </w:tcPr>
                <w:p w14:paraId="57315ADE">
                  <w:pPr>
                    <w:pStyle w:val="83"/>
                    <w:rPr>
                      <w:rFonts w:hint="default"/>
                    </w:rPr>
                  </w:pPr>
                  <w:r>
                    <w:t>达标</w:t>
                  </w:r>
                </w:p>
              </w:tc>
            </w:tr>
            <w:tr w14:paraId="1D7CED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7" w:type="pct"/>
                  <w:vMerge w:val="continue"/>
                  <w:vAlign w:val="center"/>
                </w:tcPr>
                <w:p w14:paraId="5D49EB4E">
                  <w:pPr>
                    <w:pStyle w:val="83"/>
                    <w:rPr>
                      <w:rFonts w:hint="default"/>
                    </w:rPr>
                  </w:pPr>
                </w:p>
              </w:tc>
              <w:tc>
                <w:tcPr>
                  <w:tcW w:w="933" w:type="pct"/>
                  <w:vMerge w:val="continue"/>
                  <w:vAlign w:val="center"/>
                </w:tcPr>
                <w:p w14:paraId="77D5080B">
                  <w:pPr>
                    <w:pStyle w:val="83"/>
                    <w:rPr>
                      <w:rFonts w:hint="default"/>
                    </w:rPr>
                  </w:pPr>
                </w:p>
              </w:tc>
              <w:tc>
                <w:tcPr>
                  <w:tcW w:w="1065" w:type="pct"/>
                  <w:noWrap/>
                  <w:vAlign w:val="center"/>
                </w:tcPr>
                <w:p w14:paraId="42A27FBD">
                  <w:pPr>
                    <w:pStyle w:val="83"/>
                    <w:rPr>
                      <w:rFonts w:hint="default"/>
                    </w:rPr>
                  </w:pPr>
                  <w:r>
                    <w:t>烟气黑度（级）</w:t>
                  </w:r>
                </w:p>
              </w:tc>
              <w:tc>
                <w:tcPr>
                  <w:tcW w:w="820" w:type="pct"/>
                  <w:noWrap/>
                  <w:vAlign w:val="center"/>
                </w:tcPr>
                <w:p w14:paraId="6F0B454E">
                  <w:pPr>
                    <w:pStyle w:val="83"/>
                    <w:rPr>
                      <w:rFonts w:hint="default"/>
                    </w:rPr>
                  </w:pPr>
                  <w:r>
                    <w:t>&lt;1</w:t>
                  </w:r>
                </w:p>
              </w:tc>
              <w:tc>
                <w:tcPr>
                  <w:tcW w:w="756" w:type="pct"/>
                  <w:noWrap/>
                  <w:vAlign w:val="center"/>
                </w:tcPr>
                <w:p w14:paraId="1E6EC4C3">
                  <w:pPr>
                    <w:pStyle w:val="83"/>
                    <w:rPr>
                      <w:rFonts w:hint="default"/>
                    </w:rPr>
                  </w:pPr>
                  <w:r>
                    <w:t>≤1</w:t>
                  </w:r>
                </w:p>
              </w:tc>
              <w:tc>
                <w:tcPr>
                  <w:tcW w:w="717" w:type="pct"/>
                  <w:noWrap/>
                  <w:vAlign w:val="center"/>
                </w:tcPr>
                <w:p w14:paraId="1A7F3765">
                  <w:pPr>
                    <w:pStyle w:val="83"/>
                    <w:rPr>
                      <w:rFonts w:hint="default"/>
                    </w:rPr>
                  </w:pPr>
                  <w:r>
                    <w:t>达标</w:t>
                  </w:r>
                </w:p>
              </w:tc>
            </w:tr>
            <w:tr w14:paraId="127BA3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6"/>
                  <w:noWrap/>
                  <w:vAlign w:val="center"/>
                </w:tcPr>
                <w:p w14:paraId="5CA71FCB">
                  <w:pPr>
                    <w:pStyle w:val="83"/>
                    <w:jc w:val="left"/>
                    <w:rPr>
                      <w:rFonts w:hint="default"/>
                    </w:rPr>
                  </w:pPr>
                  <w:r>
                    <w:rPr>
                      <w:sz w:val="18"/>
                      <w:szCs w:val="18"/>
                    </w:rPr>
                    <w:t>备注：执行《锅炉大气污染物排放标准》（GB13271-2014）表3中特别排放限值</w:t>
                  </w:r>
                </w:p>
              </w:tc>
            </w:tr>
          </w:tbl>
          <w:p w14:paraId="2C41657B">
            <w:pPr>
              <w:ind w:firstLine="480"/>
            </w:pPr>
            <w:r>
              <w:rPr>
                <w:rFonts w:hint="eastAsia"/>
              </w:rPr>
              <w:t>11.污水处理站废气</w:t>
            </w:r>
          </w:p>
          <w:p w14:paraId="63DEDB2D">
            <w:pPr>
              <w:ind w:firstLine="480"/>
            </w:pPr>
            <w:r>
              <w:rPr>
                <w:rFonts w:hint="eastAsia"/>
              </w:rPr>
              <w:t>污水处理站臭气采取加盖收集后经气体洗涤塔和生物滴滤系统处理后通过1根15m排气筒排放。污水处理站废气监测数据见表2.4-12。</w:t>
            </w:r>
          </w:p>
          <w:p w14:paraId="778B2FBA">
            <w:pPr>
              <w:pStyle w:val="13"/>
            </w:pPr>
            <w:r>
              <w:rPr>
                <w:rFonts w:hint="eastAsia"/>
              </w:rPr>
              <w:t>表2.4-12  污水处理站废气监测结果</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0"/>
              <w:gridCol w:w="1844"/>
              <w:gridCol w:w="1383"/>
              <w:gridCol w:w="922"/>
              <w:gridCol w:w="922"/>
              <w:gridCol w:w="1230"/>
              <w:gridCol w:w="990"/>
              <w:gridCol w:w="689"/>
            </w:tblGrid>
            <w:tr w14:paraId="5E5570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noWrap/>
                  <w:vAlign w:val="center"/>
                </w:tcPr>
                <w:p w14:paraId="31B2DF5E">
                  <w:pPr>
                    <w:pStyle w:val="83"/>
                    <w:rPr>
                      <w:rFonts w:hint="default"/>
                    </w:rPr>
                  </w:pPr>
                  <w:r>
                    <w:t>监测</w:t>
                  </w:r>
                </w:p>
                <w:p w14:paraId="362FE919">
                  <w:pPr>
                    <w:pStyle w:val="83"/>
                    <w:rPr>
                      <w:rFonts w:hint="default"/>
                    </w:rPr>
                  </w:pPr>
                  <w:r>
                    <w:t>日期</w:t>
                  </w:r>
                </w:p>
              </w:tc>
              <w:tc>
                <w:tcPr>
                  <w:tcW w:w="1036" w:type="pct"/>
                  <w:noWrap/>
                  <w:vAlign w:val="center"/>
                </w:tcPr>
                <w:p w14:paraId="670E36A7">
                  <w:pPr>
                    <w:pStyle w:val="83"/>
                    <w:rPr>
                      <w:rFonts w:hint="default"/>
                    </w:rPr>
                  </w:pPr>
                  <w:r>
                    <w:t>监测点位</w:t>
                  </w:r>
                </w:p>
              </w:tc>
              <w:tc>
                <w:tcPr>
                  <w:tcW w:w="777" w:type="pct"/>
                  <w:noWrap/>
                  <w:vAlign w:val="center"/>
                </w:tcPr>
                <w:p w14:paraId="275384F4">
                  <w:pPr>
                    <w:pStyle w:val="83"/>
                    <w:rPr>
                      <w:rFonts w:hint="default"/>
                    </w:rPr>
                  </w:pPr>
                  <w:r>
                    <w:t>监测项目</w:t>
                  </w:r>
                </w:p>
              </w:tc>
              <w:tc>
                <w:tcPr>
                  <w:tcW w:w="518" w:type="pct"/>
                  <w:vAlign w:val="center"/>
                </w:tcPr>
                <w:p w14:paraId="4A2047C7">
                  <w:pPr>
                    <w:pStyle w:val="83"/>
                    <w:rPr>
                      <w:rFonts w:hint="default"/>
                    </w:rPr>
                  </w:pPr>
                  <w:r>
                    <w:t>标杆</w:t>
                  </w:r>
                </w:p>
                <w:p w14:paraId="536E6D8A">
                  <w:pPr>
                    <w:pStyle w:val="83"/>
                    <w:rPr>
                      <w:rFonts w:hint="default"/>
                    </w:rPr>
                  </w:pPr>
                  <w:r>
                    <w:t>流量</w:t>
                  </w:r>
                </w:p>
                <w:p w14:paraId="4E6D3594">
                  <w:pPr>
                    <w:pStyle w:val="83"/>
                    <w:rPr>
                      <w:rFonts w:hint="default"/>
                    </w:rPr>
                  </w:pPr>
                  <w:r>
                    <w:t>m</w:t>
                  </w:r>
                  <w:r>
                    <w:rPr>
                      <w:vertAlign w:val="superscript"/>
                    </w:rPr>
                    <w:t>3</w:t>
                  </w:r>
                  <w:r>
                    <w:t>/h</w:t>
                  </w:r>
                </w:p>
              </w:tc>
              <w:tc>
                <w:tcPr>
                  <w:tcW w:w="518" w:type="pct"/>
                  <w:vAlign w:val="center"/>
                </w:tcPr>
                <w:p w14:paraId="4EAD3E90">
                  <w:pPr>
                    <w:pStyle w:val="83"/>
                    <w:rPr>
                      <w:rFonts w:hint="default"/>
                    </w:rPr>
                  </w:pPr>
                  <w:r>
                    <w:t>排放</w:t>
                  </w:r>
                </w:p>
                <w:p w14:paraId="6746054F">
                  <w:pPr>
                    <w:pStyle w:val="83"/>
                    <w:rPr>
                      <w:rFonts w:hint="default"/>
                    </w:rPr>
                  </w:pPr>
                  <w:r>
                    <w:t>浓度</w:t>
                  </w:r>
                </w:p>
                <w:p w14:paraId="0446903A">
                  <w:pPr>
                    <w:pStyle w:val="83"/>
                    <w:rPr>
                      <w:rFonts w:hint="default"/>
                    </w:rPr>
                  </w:pPr>
                  <w:r>
                    <w:t>mg/m</w:t>
                  </w:r>
                  <w:r>
                    <w:rPr>
                      <w:vertAlign w:val="superscript"/>
                    </w:rPr>
                    <w:t>3</w:t>
                  </w:r>
                </w:p>
              </w:tc>
              <w:tc>
                <w:tcPr>
                  <w:tcW w:w="691" w:type="pct"/>
                  <w:vAlign w:val="center"/>
                </w:tcPr>
                <w:p w14:paraId="2217C375">
                  <w:pPr>
                    <w:pStyle w:val="83"/>
                    <w:rPr>
                      <w:rFonts w:hint="default"/>
                    </w:rPr>
                  </w:pPr>
                  <w:r>
                    <w:t>排放速率</w:t>
                  </w:r>
                </w:p>
                <w:p w14:paraId="04B236CD">
                  <w:pPr>
                    <w:pStyle w:val="83"/>
                    <w:rPr>
                      <w:rFonts w:hint="default"/>
                    </w:rPr>
                  </w:pPr>
                  <w:r>
                    <w:t>kg/h</w:t>
                  </w:r>
                </w:p>
              </w:tc>
              <w:tc>
                <w:tcPr>
                  <w:tcW w:w="556" w:type="pct"/>
                  <w:vAlign w:val="center"/>
                </w:tcPr>
                <w:p w14:paraId="43ECFB0A">
                  <w:pPr>
                    <w:pStyle w:val="83"/>
                    <w:rPr>
                      <w:rFonts w:hint="default"/>
                    </w:rPr>
                  </w:pPr>
                  <w:r>
                    <w:t>标准</w:t>
                  </w:r>
                </w:p>
                <w:p w14:paraId="75677AAF">
                  <w:pPr>
                    <w:pStyle w:val="83"/>
                    <w:rPr>
                      <w:rFonts w:hint="default"/>
                    </w:rPr>
                  </w:pPr>
                  <w:r>
                    <w:t>限值</w:t>
                  </w:r>
                </w:p>
                <w:p w14:paraId="1DDA736D">
                  <w:pPr>
                    <w:pStyle w:val="83"/>
                    <w:rPr>
                      <w:rFonts w:hint="default"/>
                    </w:rPr>
                  </w:pPr>
                  <w:r>
                    <w:t>mg/m</w:t>
                  </w:r>
                  <w:r>
                    <w:rPr>
                      <w:vertAlign w:val="superscript"/>
                    </w:rPr>
                    <w:t>3</w:t>
                  </w:r>
                </w:p>
              </w:tc>
              <w:tc>
                <w:tcPr>
                  <w:tcW w:w="387" w:type="pct"/>
                  <w:noWrap/>
                  <w:vAlign w:val="center"/>
                </w:tcPr>
                <w:p w14:paraId="608AED25">
                  <w:pPr>
                    <w:pStyle w:val="83"/>
                    <w:rPr>
                      <w:rFonts w:hint="default"/>
                    </w:rPr>
                  </w:pPr>
                  <w:r>
                    <w:t>达标</w:t>
                  </w:r>
                </w:p>
                <w:p w14:paraId="4CB88865">
                  <w:pPr>
                    <w:pStyle w:val="83"/>
                    <w:rPr>
                      <w:rFonts w:hint="default"/>
                    </w:rPr>
                  </w:pPr>
                  <w:r>
                    <w:t>情况</w:t>
                  </w:r>
                </w:p>
              </w:tc>
            </w:tr>
            <w:tr w14:paraId="0FF07A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restart"/>
                  <w:noWrap/>
                  <w:vAlign w:val="center"/>
                </w:tcPr>
                <w:p w14:paraId="0EC4B2A6">
                  <w:pPr>
                    <w:pStyle w:val="83"/>
                    <w:rPr>
                      <w:rFonts w:hint="default"/>
                    </w:rPr>
                  </w:pPr>
                  <w:r>
                    <w:t>2025.</w:t>
                  </w:r>
                </w:p>
                <w:p w14:paraId="2B063E62">
                  <w:pPr>
                    <w:pStyle w:val="83"/>
                    <w:rPr>
                      <w:rFonts w:hint="default"/>
                    </w:rPr>
                  </w:pPr>
                  <w:r>
                    <w:t>11.17</w:t>
                  </w:r>
                </w:p>
              </w:tc>
              <w:tc>
                <w:tcPr>
                  <w:tcW w:w="1036" w:type="pct"/>
                  <w:vMerge w:val="restart"/>
                  <w:noWrap/>
                  <w:vAlign w:val="center"/>
                </w:tcPr>
                <w:p w14:paraId="2993F24C">
                  <w:pPr>
                    <w:pStyle w:val="83"/>
                    <w:rPr>
                      <w:rFonts w:hint="default"/>
                    </w:rPr>
                  </w:pPr>
                  <w:r>
                    <w:t>污水站排气筒</w:t>
                  </w:r>
                </w:p>
                <w:p w14:paraId="2BC30608">
                  <w:pPr>
                    <w:pStyle w:val="83"/>
                    <w:rPr>
                      <w:rFonts w:hint="default"/>
                    </w:rPr>
                  </w:pPr>
                  <w:r>
                    <w:t>DA002</w:t>
                  </w:r>
                </w:p>
              </w:tc>
              <w:tc>
                <w:tcPr>
                  <w:tcW w:w="777" w:type="pct"/>
                  <w:noWrap/>
                  <w:vAlign w:val="center"/>
                </w:tcPr>
                <w:p w14:paraId="73CB3220">
                  <w:pPr>
                    <w:pStyle w:val="83"/>
                    <w:rPr>
                      <w:rFonts w:hint="default"/>
                    </w:rPr>
                  </w:pPr>
                  <w:r>
                    <w:t>氨</w:t>
                  </w:r>
                </w:p>
              </w:tc>
              <w:tc>
                <w:tcPr>
                  <w:tcW w:w="922" w:type="dxa"/>
                  <w:vMerge w:val="restart"/>
                  <w:vAlign w:val="center"/>
                </w:tcPr>
                <w:p w14:paraId="554EF1EE">
                  <w:pPr>
                    <w:pStyle w:val="83"/>
                    <w:rPr>
                      <w:rFonts w:hint="default"/>
                    </w:rPr>
                  </w:pPr>
                  <w:r>
                    <w:t>12000</w:t>
                  </w:r>
                </w:p>
              </w:tc>
              <w:tc>
                <w:tcPr>
                  <w:tcW w:w="922" w:type="dxa"/>
                  <w:noWrap/>
                  <w:vAlign w:val="center"/>
                </w:tcPr>
                <w:p w14:paraId="50A41E7D">
                  <w:pPr>
                    <w:pStyle w:val="83"/>
                    <w:rPr>
                      <w:rFonts w:hint="default"/>
                    </w:rPr>
                  </w:pPr>
                  <w:r>
                    <w:t>0.42</w:t>
                  </w:r>
                </w:p>
              </w:tc>
              <w:tc>
                <w:tcPr>
                  <w:tcW w:w="1230" w:type="dxa"/>
                  <w:vAlign w:val="center"/>
                </w:tcPr>
                <w:p w14:paraId="433271E2">
                  <w:pPr>
                    <w:pStyle w:val="83"/>
                    <w:rPr>
                      <w:rFonts w:hint="default"/>
                    </w:rPr>
                  </w:pPr>
                  <w:r>
                    <w:t>0.005</w:t>
                  </w:r>
                </w:p>
              </w:tc>
              <w:tc>
                <w:tcPr>
                  <w:tcW w:w="556" w:type="pct"/>
                  <w:noWrap/>
                  <w:vAlign w:val="center"/>
                </w:tcPr>
                <w:p w14:paraId="0147C817">
                  <w:pPr>
                    <w:pStyle w:val="83"/>
                    <w:rPr>
                      <w:rFonts w:hint="default"/>
                    </w:rPr>
                  </w:pPr>
                  <w:r>
                    <w:t>4.9kg/h</w:t>
                  </w:r>
                </w:p>
              </w:tc>
              <w:tc>
                <w:tcPr>
                  <w:tcW w:w="387" w:type="pct"/>
                  <w:noWrap/>
                  <w:vAlign w:val="center"/>
                </w:tcPr>
                <w:p w14:paraId="39D3DDCB">
                  <w:pPr>
                    <w:pStyle w:val="83"/>
                    <w:rPr>
                      <w:rFonts w:hint="default"/>
                    </w:rPr>
                  </w:pPr>
                  <w:r>
                    <w:t>达标</w:t>
                  </w:r>
                </w:p>
              </w:tc>
            </w:tr>
            <w:tr w14:paraId="24271F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1798904A">
                  <w:pPr>
                    <w:pStyle w:val="83"/>
                    <w:rPr>
                      <w:rFonts w:hint="default"/>
                    </w:rPr>
                  </w:pPr>
                </w:p>
              </w:tc>
              <w:tc>
                <w:tcPr>
                  <w:tcW w:w="1036" w:type="pct"/>
                  <w:vMerge w:val="continue"/>
                  <w:vAlign w:val="center"/>
                </w:tcPr>
                <w:p w14:paraId="52E43029">
                  <w:pPr>
                    <w:pStyle w:val="83"/>
                    <w:rPr>
                      <w:rFonts w:hint="default"/>
                    </w:rPr>
                  </w:pPr>
                </w:p>
              </w:tc>
              <w:tc>
                <w:tcPr>
                  <w:tcW w:w="777" w:type="pct"/>
                  <w:noWrap/>
                  <w:vAlign w:val="center"/>
                </w:tcPr>
                <w:p w14:paraId="17188776">
                  <w:pPr>
                    <w:pStyle w:val="83"/>
                    <w:rPr>
                      <w:rFonts w:hint="default"/>
                    </w:rPr>
                  </w:pPr>
                  <w:r>
                    <w:t>硫化氢</w:t>
                  </w:r>
                </w:p>
              </w:tc>
              <w:tc>
                <w:tcPr>
                  <w:tcW w:w="922" w:type="dxa"/>
                  <w:vMerge w:val="continue"/>
                  <w:vAlign w:val="center"/>
                </w:tcPr>
                <w:p w14:paraId="2311894B">
                  <w:pPr>
                    <w:pStyle w:val="83"/>
                    <w:rPr>
                      <w:rFonts w:hint="default"/>
                    </w:rPr>
                  </w:pPr>
                </w:p>
              </w:tc>
              <w:tc>
                <w:tcPr>
                  <w:tcW w:w="922" w:type="dxa"/>
                  <w:noWrap/>
                  <w:vAlign w:val="center"/>
                </w:tcPr>
                <w:p w14:paraId="72CCCA66">
                  <w:pPr>
                    <w:pStyle w:val="83"/>
                    <w:rPr>
                      <w:rFonts w:hint="default"/>
                    </w:rPr>
                  </w:pPr>
                  <w:r>
                    <w:t>0.029</w:t>
                  </w:r>
                </w:p>
              </w:tc>
              <w:tc>
                <w:tcPr>
                  <w:tcW w:w="1230" w:type="dxa"/>
                  <w:vAlign w:val="center"/>
                </w:tcPr>
                <w:p w14:paraId="357DA830">
                  <w:pPr>
                    <w:pStyle w:val="83"/>
                    <w:rPr>
                      <w:rFonts w:hint="default"/>
                    </w:rPr>
                  </w:pPr>
                  <w:r>
                    <w:t>0.0004</w:t>
                  </w:r>
                </w:p>
              </w:tc>
              <w:tc>
                <w:tcPr>
                  <w:tcW w:w="556" w:type="pct"/>
                  <w:noWrap/>
                  <w:vAlign w:val="center"/>
                </w:tcPr>
                <w:p w14:paraId="30A9FA1A">
                  <w:pPr>
                    <w:pStyle w:val="83"/>
                    <w:rPr>
                      <w:rFonts w:hint="default"/>
                    </w:rPr>
                  </w:pPr>
                  <w:r>
                    <w:t>0.33kg/h</w:t>
                  </w:r>
                </w:p>
              </w:tc>
              <w:tc>
                <w:tcPr>
                  <w:tcW w:w="387" w:type="pct"/>
                  <w:noWrap/>
                  <w:vAlign w:val="center"/>
                </w:tcPr>
                <w:p w14:paraId="03EC87EC">
                  <w:pPr>
                    <w:pStyle w:val="83"/>
                    <w:rPr>
                      <w:rFonts w:hint="default"/>
                    </w:rPr>
                  </w:pPr>
                  <w:r>
                    <w:t>达标</w:t>
                  </w:r>
                </w:p>
              </w:tc>
            </w:tr>
            <w:tr w14:paraId="5B798E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17" w:type="pct"/>
                  <w:vMerge w:val="continue"/>
                  <w:vAlign w:val="center"/>
                </w:tcPr>
                <w:p w14:paraId="0BEACFDC">
                  <w:pPr>
                    <w:pStyle w:val="83"/>
                    <w:rPr>
                      <w:rFonts w:hint="default"/>
                    </w:rPr>
                  </w:pPr>
                </w:p>
              </w:tc>
              <w:tc>
                <w:tcPr>
                  <w:tcW w:w="1036" w:type="pct"/>
                  <w:vMerge w:val="continue"/>
                  <w:vAlign w:val="center"/>
                </w:tcPr>
                <w:p w14:paraId="4A34F0AE">
                  <w:pPr>
                    <w:pStyle w:val="83"/>
                    <w:rPr>
                      <w:rFonts w:hint="default"/>
                    </w:rPr>
                  </w:pPr>
                </w:p>
              </w:tc>
              <w:tc>
                <w:tcPr>
                  <w:tcW w:w="777" w:type="pct"/>
                  <w:noWrap/>
                  <w:vAlign w:val="center"/>
                </w:tcPr>
                <w:p w14:paraId="6C02212B">
                  <w:pPr>
                    <w:pStyle w:val="83"/>
                    <w:rPr>
                      <w:rFonts w:hint="default"/>
                    </w:rPr>
                  </w:pPr>
                  <w:r>
                    <w:t>非甲烷总烃</w:t>
                  </w:r>
                </w:p>
              </w:tc>
              <w:tc>
                <w:tcPr>
                  <w:tcW w:w="922" w:type="dxa"/>
                  <w:vMerge w:val="continue"/>
                  <w:vAlign w:val="center"/>
                </w:tcPr>
                <w:p w14:paraId="28BF6649">
                  <w:pPr>
                    <w:pStyle w:val="83"/>
                    <w:rPr>
                      <w:rFonts w:hint="default"/>
                    </w:rPr>
                  </w:pPr>
                </w:p>
              </w:tc>
              <w:tc>
                <w:tcPr>
                  <w:tcW w:w="922" w:type="dxa"/>
                  <w:noWrap/>
                  <w:vAlign w:val="center"/>
                </w:tcPr>
                <w:p w14:paraId="51C3B524">
                  <w:pPr>
                    <w:pStyle w:val="83"/>
                    <w:rPr>
                      <w:rFonts w:hint="default"/>
                    </w:rPr>
                  </w:pPr>
                  <w:r>
                    <w:t>8.62</w:t>
                  </w:r>
                </w:p>
              </w:tc>
              <w:tc>
                <w:tcPr>
                  <w:tcW w:w="1230" w:type="dxa"/>
                  <w:vAlign w:val="center"/>
                </w:tcPr>
                <w:p w14:paraId="5C090FE0">
                  <w:pPr>
                    <w:pStyle w:val="83"/>
                    <w:rPr>
                      <w:rFonts w:hint="default"/>
                    </w:rPr>
                  </w:pPr>
                  <w:r>
                    <w:t>0.103</w:t>
                  </w:r>
                </w:p>
              </w:tc>
              <w:tc>
                <w:tcPr>
                  <w:tcW w:w="556" w:type="pct"/>
                  <w:noWrap/>
                  <w:vAlign w:val="center"/>
                </w:tcPr>
                <w:p w14:paraId="62B2F07F">
                  <w:pPr>
                    <w:pStyle w:val="83"/>
                    <w:rPr>
                      <w:rFonts w:hint="default"/>
                    </w:rPr>
                  </w:pPr>
                  <w:r>
                    <w:t>60</w:t>
                  </w:r>
                </w:p>
              </w:tc>
              <w:tc>
                <w:tcPr>
                  <w:tcW w:w="387" w:type="pct"/>
                  <w:noWrap/>
                  <w:vAlign w:val="center"/>
                </w:tcPr>
                <w:p w14:paraId="05C1161A">
                  <w:pPr>
                    <w:pStyle w:val="83"/>
                    <w:rPr>
                      <w:rFonts w:hint="default"/>
                    </w:rPr>
                  </w:pPr>
                  <w:r>
                    <w:t>达标</w:t>
                  </w:r>
                </w:p>
              </w:tc>
            </w:tr>
          </w:tbl>
          <w:p w14:paraId="6157FC26">
            <w:pPr>
              <w:pStyle w:val="5"/>
            </w:pPr>
            <w:r>
              <w:rPr>
                <w:rFonts w:hint="eastAsia"/>
              </w:rPr>
              <w:t>2.4.1.2 无组织废气</w:t>
            </w:r>
          </w:p>
          <w:p w14:paraId="077120A4">
            <w:pPr>
              <w:pStyle w:val="13"/>
            </w:pPr>
            <w:r>
              <w:rPr>
                <w:rFonts w:hint="eastAsia"/>
              </w:rPr>
              <w:t>表2.4-13  厂界无组织废气监测结果</w:t>
            </w:r>
          </w:p>
          <w:tbl>
            <w:tblPr>
              <w:tblStyle w:val="17"/>
              <w:tblpPr w:leftFromText="180" w:rightFromText="180" w:vertAnchor="text" w:tblpY="1"/>
              <w:tblOverlap w:val="never"/>
              <w:tblW w:w="8900"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76"/>
              <w:gridCol w:w="1716"/>
              <w:gridCol w:w="1432"/>
              <w:gridCol w:w="852"/>
              <w:gridCol w:w="852"/>
              <w:gridCol w:w="1692"/>
              <w:gridCol w:w="1080"/>
            </w:tblGrid>
            <w:tr w14:paraId="4B5C17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noWrap/>
                  <w:vAlign w:val="center"/>
                </w:tcPr>
                <w:p w14:paraId="19FDD719">
                  <w:pPr>
                    <w:pStyle w:val="83"/>
                    <w:rPr>
                      <w:rFonts w:hint="default"/>
                    </w:rPr>
                  </w:pPr>
                  <w:r>
                    <w:t>监测日期</w:t>
                  </w:r>
                </w:p>
              </w:tc>
              <w:tc>
                <w:tcPr>
                  <w:tcW w:w="1716" w:type="dxa"/>
                  <w:noWrap/>
                  <w:vAlign w:val="center"/>
                </w:tcPr>
                <w:p w14:paraId="3A31914E">
                  <w:pPr>
                    <w:pStyle w:val="83"/>
                    <w:rPr>
                      <w:rFonts w:hint="default"/>
                    </w:rPr>
                  </w:pPr>
                  <w:r>
                    <w:t>监测点位</w:t>
                  </w:r>
                </w:p>
              </w:tc>
              <w:tc>
                <w:tcPr>
                  <w:tcW w:w="1432" w:type="dxa"/>
                  <w:noWrap/>
                  <w:vAlign w:val="center"/>
                </w:tcPr>
                <w:p w14:paraId="1AA03228">
                  <w:pPr>
                    <w:pStyle w:val="83"/>
                    <w:rPr>
                      <w:rFonts w:hint="default"/>
                    </w:rPr>
                  </w:pPr>
                  <w:r>
                    <w:t>监测项目</w:t>
                  </w:r>
                </w:p>
              </w:tc>
              <w:tc>
                <w:tcPr>
                  <w:tcW w:w="1704" w:type="dxa"/>
                  <w:gridSpan w:val="2"/>
                  <w:vAlign w:val="center"/>
                </w:tcPr>
                <w:p w14:paraId="0EB0F3B0">
                  <w:pPr>
                    <w:pStyle w:val="83"/>
                    <w:rPr>
                      <w:rFonts w:hint="default"/>
                    </w:rPr>
                  </w:pPr>
                  <w:r>
                    <w:t>监测浓度mg/m</w:t>
                  </w:r>
                  <w:r>
                    <w:rPr>
                      <w:vertAlign w:val="superscript"/>
                    </w:rPr>
                    <w:t>3</w:t>
                  </w:r>
                </w:p>
              </w:tc>
              <w:tc>
                <w:tcPr>
                  <w:tcW w:w="1692" w:type="dxa"/>
                  <w:vAlign w:val="center"/>
                </w:tcPr>
                <w:p w14:paraId="35816188">
                  <w:pPr>
                    <w:pStyle w:val="83"/>
                    <w:rPr>
                      <w:rFonts w:hint="default"/>
                    </w:rPr>
                  </w:pPr>
                  <w:r>
                    <w:t>标准限值mg/m</w:t>
                  </w:r>
                  <w:r>
                    <w:rPr>
                      <w:vertAlign w:val="superscript"/>
                    </w:rPr>
                    <w:t>3</w:t>
                  </w:r>
                </w:p>
              </w:tc>
              <w:tc>
                <w:tcPr>
                  <w:tcW w:w="1080" w:type="dxa"/>
                  <w:noWrap/>
                  <w:vAlign w:val="center"/>
                </w:tcPr>
                <w:p w14:paraId="3F8779E5">
                  <w:pPr>
                    <w:pStyle w:val="83"/>
                    <w:rPr>
                      <w:rFonts w:hint="default"/>
                    </w:rPr>
                  </w:pPr>
                  <w:r>
                    <w:t>达标情况</w:t>
                  </w:r>
                </w:p>
              </w:tc>
            </w:tr>
            <w:tr w14:paraId="36954B9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restart"/>
                  <w:noWrap/>
                  <w:vAlign w:val="center"/>
                </w:tcPr>
                <w:p w14:paraId="270692EF">
                  <w:pPr>
                    <w:pStyle w:val="83"/>
                    <w:rPr>
                      <w:rFonts w:hint="default"/>
                    </w:rPr>
                  </w:pPr>
                  <w:r>
                    <w:t>2025.11.117</w:t>
                  </w:r>
                </w:p>
              </w:tc>
              <w:tc>
                <w:tcPr>
                  <w:tcW w:w="1716" w:type="dxa"/>
                  <w:vMerge w:val="restart"/>
                  <w:vAlign w:val="center"/>
                </w:tcPr>
                <w:p w14:paraId="423FB14B">
                  <w:pPr>
                    <w:pStyle w:val="83"/>
                    <w:rPr>
                      <w:rFonts w:hint="default"/>
                    </w:rPr>
                  </w:pPr>
                  <w:r>
                    <w:t>Q1厂界上风向</w:t>
                  </w:r>
                </w:p>
              </w:tc>
              <w:tc>
                <w:tcPr>
                  <w:tcW w:w="1432" w:type="dxa"/>
                  <w:noWrap/>
                  <w:vAlign w:val="center"/>
                </w:tcPr>
                <w:p w14:paraId="20815540">
                  <w:pPr>
                    <w:pStyle w:val="83"/>
                    <w:rPr>
                      <w:rFonts w:hint="default"/>
                    </w:rPr>
                  </w:pPr>
                  <w:r>
                    <w:t>颗粒物</w:t>
                  </w:r>
                </w:p>
              </w:tc>
              <w:tc>
                <w:tcPr>
                  <w:tcW w:w="1704" w:type="dxa"/>
                  <w:gridSpan w:val="2"/>
                  <w:noWrap/>
                  <w:vAlign w:val="center"/>
                </w:tcPr>
                <w:p w14:paraId="1CB04B46">
                  <w:pPr>
                    <w:pStyle w:val="83"/>
                    <w:rPr>
                      <w:rFonts w:hint="default"/>
                    </w:rPr>
                  </w:pPr>
                  <w:r>
                    <w:t>0.177</w:t>
                  </w:r>
                </w:p>
              </w:tc>
              <w:tc>
                <w:tcPr>
                  <w:tcW w:w="1692" w:type="dxa"/>
                  <w:noWrap/>
                  <w:vAlign w:val="center"/>
                </w:tcPr>
                <w:p w14:paraId="324479CC">
                  <w:pPr>
                    <w:pStyle w:val="83"/>
                    <w:rPr>
                      <w:rFonts w:hint="default"/>
                    </w:rPr>
                  </w:pPr>
                  <w:r>
                    <w:t>1.00</w:t>
                  </w:r>
                </w:p>
              </w:tc>
              <w:tc>
                <w:tcPr>
                  <w:tcW w:w="1080" w:type="dxa"/>
                  <w:noWrap/>
                  <w:vAlign w:val="center"/>
                </w:tcPr>
                <w:p w14:paraId="080157E3">
                  <w:pPr>
                    <w:pStyle w:val="83"/>
                    <w:rPr>
                      <w:rFonts w:hint="default"/>
                    </w:rPr>
                  </w:pPr>
                  <w:r>
                    <w:t>达标</w:t>
                  </w:r>
                </w:p>
              </w:tc>
            </w:tr>
            <w:tr w14:paraId="2C8E91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188205E6">
                  <w:pPr>
                    <w:pStyle w:val="83"/>
                    <w:rPr>
                      <w:rFonts w:hint="default"/>
                    </w:rPr>
                  </w:pPr>
                </w:p>
              </w:tc>
              <w:tc>
                <w:tcPr>
                  <w:tcW w:w="1716" w:type="dxa"/>
                  <w:vMerge w:val="continue"/>
                  <w:vAlign w:val="center"/>
                </w:tcPr>
                <w:p w14:paraId="4F290FD0">
                  <w:pPr>
                    <w:pStyle w:val="83"/>
                    <w:rPr>
                      <w:rFonts w:hint="default"/>
                    </w:rPr>
                  </w:pPr>
                </w:p>
              </w:tc>
              <w:tc>
                <w:tcPr>
                  <w:tcW w:w="1432" w:type="dxa"/>
                  <w:noWrap/>
                  <w:vAlign w:val="center"/>
                </w:tcPr>
                <w:p w14:paraId="75506E6F">
                  <w:pPr>
                    <w:pStyle w:val="83"/>
                    <w:rPr>
                      <w:rFonts w:hint="default"/>
                    </w:rPr>
                  </w:pPr>
                  <w:r>
                    <w:t>氨</w:t>
                  </w:r>
                </w:p>
              </w:tc>
              <w:tc>
                <w:tcPr>
                  <w:tcW w:w="1704" w:type="dxa"/>
                  <w:gridSpan w:val="2"/>
                  <w:noWrap/>
                  <w:vAlign w:val="center"/>
                </w:tcPr>
                <w:p w14:paraId="29A98A4B">
                  <w:pPr>
                    <w:pStyle w:val="83"/>
                    <w:rPr>
                      <w:rFonts w:hint="default"/>
                    </w:rPr>
                  </w:pPr>
                  <w:r>
                    <w:t>0.02</w:t>
                  </w:r>
                </w:p>
              </w:tc>
              <w:tc>
                <w:tcPr>
                  <w:tcW w:w="1692" w:type="dxa"/>
                  <w:noWrap/>
                  <w:vAlign w:val="center"/>
                </w:tcPr>
                <w:p w14:paraId="682B1D5C">
                  <w:pPr>
                    <w:pStyle w:val="83"/>
                    <w:rPr>
                      <w:rFonts w:hint="default"/>
                    </w:rPr>
                  </w:pPr>
                  <w:r>
                    <w:t>1.50</w:t>
                  </w:r>
                </w:p>
              </w:tc>
              <w:tc>
                <w:tcPr>
                  <w:tcW w:w="1080" w:type="dxa"/>
                  <w:noWrap/>
                  <w:vAlign w:val="center"/>
                </w:tcPr>
                <w:p w14:paraId="59124283">
                  <w:pPr>
                    <w:pStyle w:val="83"/>
                    <w:rPr>
                      <w:rFonts w:hint="default"/>
                    </w:rPr>
                  </w:pPr>
                  <w:r>
                    <w:t>达标</w:t>
                  </w:r>
                </w:p>
              </w:tc>
            </w:tr>
            <w:tr w14:paraId="128393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74749E01">
                  <w:pPr>
                    <w:pStyle w:val="83"/>
                    <w:rPr>
                      <w:rFonts w:hint="default"/>
                    </w:rPr>
                  </w:pPr>
                </w:p>
              </w:tc>
              <w:tc>
                <w:tcPr>
                  <w:tcW w:w="1716" w:type="dxa"/>
                  <w:vMerge w:val="continue"/>
                  <w:vAlign w:val="center"/>
                </w:tcPr>
                <w:p w14:paraId="38DE7D22">
                  <w:pPr>
                    <w:pStyle w:val="83"/>
                    <w:rPr>
                      <w:rFonts w:hint="default"/>
                    </w:rPr>
                  </w:pPr>
                </w:p>
              </w:tc>
              <w:tc>
                <w:tcPr>
                  <w:tcW w:w="1432" w:type="dxa"/>
                  <w:noWrap/>
                  <w:vAlign w:val="center"/>
                </w:tcPr>
                <w:p w14:paraId="4A734310">
                  <w:pPr>
                    <w:pStyle w:val="83"/>
                    <w:rPr>
                      <w:rFonts w:hint="default"/>
                    </w:rPr>
                  </w:pPr>
                  <w:r>
                    <w:t>非甲烷总烃</w:t>
                  </w:r>
                </w:p>
              </w:tc>
              <w:tc>
                <w:tcPr>
                  <w:tcW w:w="1704" w:type="dxa"/>
                  <w:gridSpan w:val="2"/>
                  <w:noWrap/>
                  <w:vAlign w:val="center"/>
                </w:tcPr>
                <w:p w14:paraId="42E0A21E">
                  <w:pPr>
                    <w:pStyle w:val="83"/>
                    <w:rPr>
                      <w:rFonts w:hint="default"/>
                    </w:rPr>
                  </w:pPr>
                  <w:r>
                    <w:t>0.97</w:t>
                  </w:r>
                </w:p>
              </w:tc>
              <w:tc>
                <w:tcPr>
                  <w:tcW w:w="1692" w:type="dxa"/>
                  <w:noWrap/>
                  <w:vAlign w:val="center"/>
                </w:tcPr>
                <w:p w14:paraId="3EB8228E">
                  <w:pPr>
                    <w:pStyle w:val="83"/>
                    <w:rPr>
                      <w:rFonts w:hint="default"/>
                    </w:rPr>
                  </w:pPr>
                  <w:r>
                    <w:t>2.00</w:t>
                  </w:r>
                </w:p>
              </w:tc>
              <w:tc>
                <w:tcPr>
                  <w:tcW w:w="1080" w:type="dxa"/>
                  <w:noWrap/>
                  <w:vAlign w:val="center"/>
                </w:tcPr>
                <w:p w14:paraId="39126A44">
                  <w:pPr>
                    <w:pStyle w:val="83"/>
                    <w:rPr>
                      <w:rFonts w:hint="default"/>
                    </w:rPr>
                  </w:pPr>
                  <w:r>
                    <w:t>达标</w:t>
                  </w:r>
                </w:p>
              </w:tc>
            </w:tr>
            <w:tr w14:paraId="3B99CC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5CCD357E">
                  <w:pPr>
                    <w:pStyle w:val="83"/>
                    <w:rPr>
                      <w:rFonts w:hint="default"/>
                    </w:rPr>
                  </w:pPr>
                </w:p>
              </w:tc>
              <w:tc>
                <w:tcPr>
                  <w:tcW w:w="1716" w:type="dxa"/>
                  <w:vMerge w:val="continue"/>
                  <w:vAlign w:val="center"/>
                </w:tcPr>
                <w:p w14:paraId="478A0E4C">
                  <w:pPr>
                    <w:pStyle w:val="83"/>
                    <w:rPr>
                      <w:rFonts w:hint="default"/>
                    </w:rPr>
                  </w:pPr>
                </w:p>
              </w:tc>
              <w:tc>
                <w:tcPr>
                  <w:tcW w:w="1432" w:type="dxa"/>
                  <w:noWrap/>
                  <w:vAlign w:val="center"/>
                </w:tcPr>
                <w:p w14:paraId="16534630">
                  <w:pPr>
                    <w:pStyle w:val="83"/>
                    <w:rPr>
                      <w:rFonts w:hint="default"/>
                    </w:rPr>
                  </w:pPr>
                  <w:r>
                    <w:t>硫化氢</w:t>
                  </w:r>
                </w:p>
              </w:tc>
              <w:tc>
                <w:tcPr>
                  <w:tcW w:w="1704" w:type="dxa"/>
                  <w:gridSpan w:val="2"/>
                  <w:noWrap/>
                  <w:vAlign w:val="center"/>
                </w:tcPr>
                <w:p w14:paraId="13B86B58">
                  <w:pPr>
                    <w:pStyle w:val="83"/>
                    <w:rPr>
                      <w:rFonts w:hint="default"/>
                    </w:rPr>
                  </w:pPr>
                  <w:r>
                    <w:t>&lt;0.0002</w:t>
                  </w:r>
                </w:p>
              </w:tc>
              <w:tc>
                <w:tcPr>
                  <w:tcW w:w="1692" w:type="dxa"/>
                  <w:noWrap/>
                  <w:vAlign w:val="center"/>
                </w:tcPr>
                <w:p w14:paraId="24FAC285">
                  <w:pPr>
                    <w:pStyle w:val="83"/>
                    <w:rPr>
                      <w:rFonts w:hint="default"/>
                    </w:rPr>
                  </w:pPr>
                  <w:r>
                    <w:t>0.06</w:t>
                  </w:r>
                </w:p>
              </w:tc>
              <w:tc>
                <w:tcPr>
                  <w:tcW w:w="1080" w:type="dxa"/>
                  <w:noWrap/>
                  <w:vAlign w:val="center"/>
                </w:tcPr>
                <w:p w14:paraId="430540F5">
                  <w:pPr>
                    <w:pStyle w:val="83"/>
                    <w:rPr>
                      <w:rFonts w:hint="default"/>
                    </w:rPr>
                  </w:pPr>
                  <w:r>
                    <w:t>达标</w:t>
                  </w:r>
                </w:p>
              </w:tc>
            </w:tr>
            <w:tr w14:paraId="599113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163E6808">
                  <w:pPr>
                    <w:pStyle w:val="83"/>
                    <w:rPr>
                      <w:rFonts w:hint="default"/>
                    </w:rPr>
                  </w:pPr>
                </w:p>
              </w:tc>
              <w:tc>
                <w:tcPr>
                  <w:tcW w:w="1716" w:type="dxa"/>
                  <w:vMerge w:val="restart"/>
                  <w:noWrap/>
                  <w:vAlign w:val="center"/>
                </w:tcPr>
                <w:p w14:paraId="7329C322">
                  <w:pPr>
                    <w:pStyle w:val="83"/>
                    <w:rPr>
                      <w:rFonts w:hint="default"/>
                    </w:rPr>
                  </w:pPr>
                  <w:r>
                    <w:t>Q2厂界下风向</w:t>
                  </w:r>
                </w:p>
              </w:tc>
              <w:tc>
                <w:tcPr>
                  <w:tcW w:w="1432" w:type="dxa"/>
                  <w:noWrap/>
                  <w:vAlign w:val="center"/>
                </w:tcPr>
                <w:p w14:paraId="242FF374">
                  <w:pPr>
                    <w:pStyle w:val="83"/>
                    <w:rPr>
                      <w:rFonts w:hint="default"/>
                    </w:rPr>
                  </w:pPr>
                  <w:r>
                    <w:t>颗粒物</w:t>
                  </w:r>
                </w:p>
              </w:tc>
              <w:tc>
                <w:tcPr>
                  <w:tcW w:w="1704" w:type="dxa"/>
                  <w:gridSpan w:val="2"/>
                  <w:noWrap/>
                  <w:vAlign w:val="center"/>
                </w:tcPr>
                <w:p w14:paraId="5E9B659B">
                  <w:pPr>
                    <w:pStyle w:val="83"/>
                    <w:rPr>
                      <w:rFonts w:hint="default"/>
                    </w:rPr>
                  </w:pPr>
                  <w:r>
                    <w:t>0.399</w:t>
                  </w:r>
                </w:p>
              </w:tc>
              <w:tc>
                <w:tcPr>
                  <w:tcW w:w="1692" w:type="dxa"/>
                  <w:noWrap/>
                  <w:vAlign w:val="center"/>
                </w:tcPr>
                <w:p w14:paraId="0A95DB8E">
                  <w:pPr>
                    <w:pStyle w:val="83"/>
                    <w:rPr>
                      <w:rFonts w:hint="default"/>
                    </w:rPr>
                  </w:pPr>
                  <w:r>
                    <w:t>1.00</w:t>
                  </w:r>
                </w:p>
              </w:tc>
              <w:tc>
                <w:tcPr>
                  <w:tcW w:w="1080" w:type="dxa"/>
                  <w:noWrap/>
                  <w:vAlign w:val="center"/>
                </w:tcPr>
                <w:p w14:paraId="32148DCF">
                  <w:pPr>
                    <w:pStyle w:val="83"/>
                    <w:rPr>
                      <w:rFonts w:hint="default"/>
                    </w:rPr>
                  </w:pPr>
                  <w:r>
                    <w:t>达标</w:t>
                  </w:r>
                </w:p>
              </w:tc>
            </w:tr>
            <w:tr w14:paraId="7327FA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2D9371F9">
                  <w:pPr>
                    <w:pStyle w:val="83"/>
                    <w:rPr>
                      <w:rFonts w:hint="default"/>
                    </w:rPr>
                  </w:pPr>
                </w:p>
              </w:tc>
              <w:tc>
                <w:tcPr>
                  <w:tcW w:w="1716" w:type="dxa"/>
                  <w:vMerge w:val="continue"/>
                  <w:vAlign w:val="center"/>
                </w:tcPr>
                <w:p w14:paraId="0C88180E">
                  <w:pPr>
                    <w:pStyle w:val="83"/>
                    <w:rPr>
                      <w:rFonts w:hint="default"/>
                    </w:rPr>
                  </w:pPr>
                </w:p>
              </w:tc>
              <w:tc>
                <w:tcPr>
                  <w:tcW w:w="1432" w:type="dxa"/>
                  <w:noWrap/>
                  <w:vAlign w:val="center"/>
                </w:tcPr>
                <w:p w14:paraId="5C0F8635">
                  <w:pPr>
                    <w:pStyle w:val="83"/>
                    <w:rPr>
                      <w:rFonts w:hint="default"/>
                    </w:rPr>
                  </w:pPr>
                  <w:r>
                    <w:t>氨</w:t>
                  </w:r>
                </w:p>
              </w:tc>
              <w:tc>
                <w:tcPr>
                  <w:tcW w:w="1704" w:type="dxa"/>
                  <w:gridSpan w:val="2"/>
                  <w:noWrap/>
                  <w:vAlign w:val="center"/>
                </w:tcPr>
                <w:p w14:paraId="5A9C9723">
                  <w:pPr>
                    <w:pStyle w:val="83"/>
                    <w:rPr>
                      <w:rFonts w:hint="default"/>
                    </w:rPr>
                  </w:pPr>
                  <w:r>
                    <w:t>0.04</w:t>
                  </w:r>
                </w:p>
              </w:tc>
              <w:tc>
                <w:tcPr>
                  <w:tcW w:w="1692" w:type="dxa"/>
                  <w:noWrap/>
                  <w:vAlign w:val="center"/>
                </w:tcPr>
                <w:p w14:paraId="445F0B88">
                  <w:pPr>
                    <w:pStyle w:val="83"/>
                    <w:rPr>
                      <w:rFonts w:hint="default"/>
                    </w:rPr>
                  </w:pPr>
                  <w:r>
                    <w:t>1.50</w:t>
                  </w:r>
                </w:p>
              </w:tc>
              <w:tc>
                <w:tcPr>
                  <w:tcW w:w="1080" w:type="dxa"/>
                  <w:noWrap/>
                  <w:vAlign w:val="center"/>
                </w:tcPr>
                <w:p w14:paraId="0D4A36E0">
                  <w:pPr>
                    <w:pStyle w:val="83"/>
                    <w:rPr>
                      <w:rFonts w:hint="default"/>
                    </w:rPr>
                  </w:pPr>
                  <w:r>
                    <w:t>达标</w:t>
                  </w:r>
                </w:p>
              </w:tc>
            </w:tr>
            <w:tr w14:paraId="785033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5FBD2E42">
                  <w:pPr>
                    <w:pStyle w:val="83"/>
                    <w:rPr>
                      <w:rFonts w:hint="default"/>
                    </w:rPr>
                  </w:pPr>
                </w:p>
              </w:tc>
              <w:tc>
                <w:tcPr>
                  <w:tcW w:w="1716" w:type="dxa"/>
                  <w:vMerge w:val="continue"/>
                  <w:vAlign w:val="center"/>
                </w:tcPr>
                <w:p w14:paraId="77A47DB4">
                  <w:pPr>
                    <w:pStyle w:val="83"/>
                    <w:rPr>
                      <w:rFonts w:hint="default"/>
                    </w:rPr>
                  </w:pPr>
                </w:p>
              </w:tc>
              <w:tc>
                <w:tcPr>
                  <w:tcW w:w="1432" w:type="dxa"/>
                  <w:noWrap/>
                  <w:vAlign w:val="center"/>
                </w:tcPr>
                <w:p w14:paraId="7C775986">
                  <w:pPr>
                    <w:pStyle w:val="83"/>
                    <w:rPr>
                      <w:rFonts w:hint="default"/>
                    </w:rPr>
                  </w:pPr>
                  <w:r>
                    <w:t>非甲烷总烃</w:t>
                  </w:r>
                </w:p>
              </w:tc>
              <w:tc>
                <w:tcPr>
                  <w:tcW w:w="1704" w:type="dxa"/>
                  <w:gridSpan w:val="2"/>
                  <w:noWrap/>
                  <w:vAlign w:val="center"/>
                </w:tcPr>
                <w:p w14:paraId="09B262B1">
                  <w:pPr>
                    <w:pStyle w:val="83"/>
                    <w:rPr>
                      <w:rFonts w:hint="default"/>
                    </w:rPr>
                  </w:pPr>
                  <w:r>
                    <w:t>1.39</w:t>
                  </w:r>
                </w:p>
              </w:tc>
              <w:tc>
                <w:tcPr>
                  <w:tcW w:w="1692" w:type="dxa"/>
                  <w:noWrap/>
                  <w:vAlign w:val="center"/>
                </w:tcPr>
                <w:p w14:paraId="1B80E144">
                  <w:pPr>
                    <w:pStyle w:val="83"/>
                    <w:rPr>
                      <w:rFonts w:hint="default"/>
                    </w:rPr>
                  </w:pPr>
                  <w:r>
                    <w:t>2.00</w:t>
                  </w:r>
                </w:p>
              </w:tc>
              <w:tc>
                <w:tcPr>
                  <w:tcW w:w="1080" w:type="dxa"/>
                  <w:noWrap/>
                  <w:vAlign w:val="center"/>
                </w:tcPr>
                <w:p w14:paraId="3A4EB3B0">
                  <w:pPr>
                    <w:pStyle w:val="83"/>
                    <w:rPr>
                      <w:rFonts w:hint="default"/>
                    </w:rPr>
                  </w:pPr>
                  <w:r>
                    <w:t>达标</w:t>
                  </w:r>
                </w:p>
              </w:tc>
            </w:tr>
            <w:tr w14:paraId="0E1CAA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37D23AFC">
                  <w:pPr>
                    <w:pStyle w:val="83"/>
                    <w:rPr>
                      <w:rFonts w:hint="default"/>
                    </w:rPr>
                  </w:pPr>
                </w:p>
              </w:tc>
              <w:tc>
                <w:tcPr>
                  <w:tcW w:w="1716" w:type="dxa"/>
                  <w:vMerge w:val="continue"/>
                  <w:vAlign w:val="center"/>
                </w:tcPr>
                <w:p w14:paraId="172DB396">
                  <w:pPr>
                    <w:pStyle w:val="83"/>
                    <w:rPr>
                      <w:rFonts w:hint="default"/>
                    </w:rPr>
                  </w:pPr>
                </w:p>
              </w:tc>
              <w:tc>
                <w:tcPr>
                  <w:tcW w:w="1432" w:type="dxa"/>
                  <w:noWrap/>
                  <w:vAlign w:val="center"/>
                </w:tcPr>
                <w:p w14:paraId="4F4F3365">
                  <w:pPr>
                    <w:pStyle w:val="83"/>
                    <w:rPr>
                      <w:rFonts w:hint="default"/>
                    </w:rPr>
                  </w:pPr>
                  <w:r>
                    <w:t>硫化氢</w:t>
                  </w:r>
                </w:p>
              </w:tc>
              <w:tc>
                <w:tcPr>
                  <w:tcW w:w="1704" w:type="dxa"/>
                  <w:gridSpan w:val="2"/>
                  <w:noWrap/>
                  <w:vAlign w:val="center"/>
                </w:tcPr>
                <w:p w14:paraId="2C73827C">
                  <w:pPr>
                    <w:pStyle w:val="83"/>
                    <w:rPr>
                      <w:rFonts w:hint="default"/>
                    </w:rPr>
                  </w:pPr>
                  <w:r>
                    <w:t>&lt;0.0002</w:t>
                  </w:r>
                </w:p>
              </w:tc>
              <w:tc>
                <w:tcPr>
                  <w:tcW w:w="1692" w:type="dxa"/>
                  <w:noWrap/>
                  <w:vAlign w:val="center"/>
                </w:tcPr>
                <w:p w14:paraId="66618BE3">
                  <w:pPr>
                    <w:pStyle w:val="83"/>
                    <w:rPr>
                      <w:rFonts w:hint="default"/>
                    </w:rPr>
                  </w:pPr>
                  <w:r>
                    <w:t>0.06</w:t>
                  </w:r>
                </w:p>
              </w:tc>
              <w:tc>
                <w:tcPr>
                  <w:tcW w:w="1080" w:type="dxa"/>
                  <w:noWrap/>
                  <w:vAlign w:val="center"/>
                </w:tcPr>
                <w:p w14:paraId="47407030">
                  <w:pPr>
                    <w:pStyle w:val="83"/>
                    <w:rPr>
                      <w:rFonts w:hint="default"/>
                    </w:rPr>
                  </w:pPr>
                  <w:r>
                    <w:t>达标</w:t>
                  </w:r>
                </w:p>
              </w:tc>
            </w:tr>
            <w:tr w14:paraId="69CF77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7CC2A18F">
                  <w:pPr>
                    <w:pStyle w:val="83"/>
                    <w:rPr>
                      <w:rFonts w:hint="default"/>
                    </w:rPr>
                  </w:pPr>
                </w:p>
              </w:tc>
              <w:tc>
                <w:tcPr>
                  <w:tcW w:w="1716" w:type="dxa"/>
                  <w:vMerge w:val="restart"/>
                  <w:noWrap/>
                  <w:vAlign w:val="center"/>
                </w:tcPr>
                <w:p w14:paraId="51BCF138">
                  <w:pPr>
                    <w:pStyle w:val="83"/>
                    <w:rPr>
                      <w:rFonts w:hint="default"/>
                    </w:rPr>
                  </w:pPr>
                  <w:r>
                    <w:t>Q3厂界下风向</w:t>
                  </w:r>
                </w:p>
              </w:tc>
              <w:tc>
                <w:tcPr>
                  <w:tcW w:w="1432" w:type="dxa"/>
                  <w:noWrap/>
                  <w:vAlign w:val="center"/>
                </w:tcPr>
                <w:p w14:paraId="587EDE5D">
                  <w:pPr>
                    <w:pStyle w:val="83"/>
                    <w:rPr>
                      <w:rFonts w:hint="default"/>
                    </w:rPr>
                  </w:pPr>
                  <w:r>
                    <w:t>颗粒物</w:t>
                  </w:r>
                </w:p>
              </w:tc>
              <w:tc>
                <w:tcPr>
                  <w:tcW w:w="1704" w:type="dxa"/>
                  <w:gridSpan w:val="2"/>
                  <w:noWrap/>
                  <w:vAlign w:val="center"/>
                </w:tcPr>
                <w:p w14:paraId="16257AA4">
                  <w:pPr>
                    <w:pStyle w:val="83"/>
                    <w:rPr>
                      <w:rFonts w:hint="default"/>
                    </w:rPr>
                  </w:pPr>
                  <w:r>
                    <w:t>0.388</w:t>
                  </w:r>
                </w:p>
              </w:tc>
              <w:tc>
                <w:tcPr>
                  <w:tcW w:w="1692" w:type="dxa"/>
                  <w:noWrap/>
                  <w:vAlign w:val="center"/>
                </w:tcPr>
                <w:p w14:paraId="36DEABC9">
                  <w:pPr>
                    <w:pStyle w:val="83"/>
                    <w:rPr>
                      <w:rFonts w:hint="default"/>
                    </w:rPr>
                  </w:pPr>
                  <w:r>
                    <w:t>1.00</w:t>
                  </w:r>
                </w:p>
              </w:tc>
              <w:tc>
                <w:tcPr>
                  <w:tcW w:w="1080" w:type="dxa"/>
                  <w:noWrap/>
                  <w:vAlign w:val="center"/>
                </w:tcPr>
                <w:p w14:paraId="17711F6E">
                  <w:pPr>
                    <w:pStyle w:val="83"/>
                    <w:rPr>
                      <w:rFonts w:hint="default"/>
                    </w:rPr>
                  </w:pPr>
                  <w:r>
                    <w:t>达标</w:t>
                  </w:r>
                </w:p>
              </w:tc>
            </w:tr>
            <w:tr w14:paraId="12B579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57297B90">
                  <w:pPr>
                    <w:pStyle w:val="83"/>
                    <w:rPr>
                      <w:rFonts w:hint="default"/>
                    </w:rPr>
                  </w:pPr>
                </w:p>
              </w:tc>
              <w:tc>
                <w:tcPr>
                  <w:tcW w:w="1716" w:type="dxa"/>
                  <w:vMerge w:val="continue"/>
                  <w:vAlign w:val="center"/>
                </w:tcPr>
                <w:p w14:paraId="6D763760">
                  <w:pPr>
                    <w:pStyle w:val="83"/>
                    <w:rPr>
                      <w:rFonts w:hint="default"/>
                    </w:rPr>
                  </w:pPr>
                </w:p>
              </w:tc>
              <w:tc>
                <w:tcPr>
                  <w:tcW w:w="1432" w:type="dxa"/>
                  <w:noWrap/>
                  <w:vAlign w:val="center"/>
                </w:tcPr>
                <w:p w14:paraId="6B374593">
                  <w:pPr>
                    <w:pStyle w:val="83"/>
                    <w:rPr>
                      <w:rFonts w:hint="default"/>
                    </w:rPr>
                  </w:pPr>
                  <w:r>
                    <w:t>氨</w:t>
                  </w:r>
                </w:p>
              </w:tc>
              <w:tc>
                <w:tcPr>
                  <w:tcW w:w="1704" w:type="dxa"/>
                  <w:gridSpan w:val="2"/>
                  <w:noWrap/>
                  <w:vAlign w:val="center"/>
                </w:tcPr>
                <w:p w14:paraId="4275013A">
                  <w:pPr>
                    <w:pStyle w:val="83"/>
                    <w:rPr>
                      <w:rFonts w:hint="default"/>
                    </w:rPr>
                  </w:pPr>
                  <w:r>
                    <w:t>0.03</w:t>
                  </w:r>
                </w:p>
              </w:tc>
              <w:tc>
                <w:tcPr>
                  <w:tcW w:w="1692" w:type="dxa"/>
                  <w:noWrap/>
                  <w:vAlign w:val="center"/>
                </w:tcPr>
                <w:p w14:paraId="1DBCEC68">
                  <w:pPr>
                    <w:pStyle w:val="83"/>
                    <w:rPr>
                      <w:rFonts w:hint="default"/>
                    </w:rPr>
                  </w:pPr>
                  <w:r>
                    <w:t>1.50</w:t>
                  </w:r>
                </w:p>
              </w:tc>
              <w:tc>
                <w:tcPr>
                  <w:tcW w:w="1080" w:type="dxa"/>
                  <w:noWrap/>
                  <w:vAlign w:val="center"/>
                </w:tcPr>
                <w:p w14:paraId="73C61F8E">
                  <w:pPr>
                    <w:pStyle w:val="83"/>
                    <w:rPr>
                      <w:rFonts w:hint="default"/>
                    </w:rPr>
                  </w:pPr>
                  <w:r>
                    <w:t>达标</w:t>
                  </w:r>
                </w:p>
              </w:tc>
            </w:tr>
            <w:tr w14:paraId="066996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56F99764">
                  <w:pPr>
                    <w:pStyle w:val="83"/>
                    <w:rPr>
                      <w:rFonts w:hint="default"/>
                    </w:rPr>
                  </w:pPr>
                </w:p>
              </w:tc>
              <w:tc>
                <w:tcPr>
                  <w:tcW w:w="1716" w:type="dxa"/>
                  <w:vMerge w:val="continue"/>
                  <w:vAlign w:val="center"/>
                </w:tcPr>
                <w:p w14:paraId="4031BCEE">
                  <w:pPr>
                    <w:pStyle w:val="83"/>
                    <w:rPr>
                      <w:rFonts w:hint="default"/>
                    </w:rPr>
                  </w:pPr>
                </w:p>
              </w:tc>
              <w:tc>
                <w:tcPr>
                  <w:tcW w:w="1432" w:type="dxa"/>
                  <w:noWrap/>
                  <w:vAlign w:val="center"/>
                </w:tcPr>
                <w:p w14:paraId="4F29DBFD">
                  <w:pPr>
                    <w:pStyle w:val="83"/>
                    <w:rPr>
                      <w:rFonts w:hint="default"/>
                    </w:rPr>
                  </w:pPr>
                  <w:r>
                    <w:t>非甲烷总烃</w:t>
                  </w:r>
                </w:p>
              </w:tc>
              <w:tc>
                <w:tcPr>
                  <w:tcW w:w="1704" w:type="dxa"/>
                  <w:gridSpan w:val="2"/>
                  <w:noWrap/>
                  <w:vAlign w:val="center"/>
                </w:tcPr>
                <w:p w14:paraId="13E95779">
                  <w:pPr>
                    <w:pStyle w:val="83"/>
                    <w:rPr>
                      <w:rFonts w:hint="default"/>
                    </w:rPr>
                  </w:pPr>
                  <w:r>
                    <w:t>1.34</w:t>
                  </w:r>
                </w:p>
              </w:tc>
              <w:tc>
                <w:tcPr>
                  <w:tcW w:w="1692" w:type="dxa"/>
                  <w:noWrap/>
                  <w:vAlign w:val="center"/>
                </w:tcPr>
                <w:p w14:paraId="79CD7945">
                  <w:pPr>
                    <w:pStyle w:val="83"/>
                    <w:rPr>
                      <w:rFonts w:hint="default"/>
                    </w:rPr>
                  </w:pPr>
                  <w:r>
                    <w:t>2.00</w:t>
                  </w:r>
                </w:p>
              </w:tc>
              <w:tc>
                <w:tcPr>
                  <w:tcW w:w="1080" w:type="dxa"/>
                  <w:noWrap/>
                  <w:vAlign w:val="center"/>
                </w:tcPr>
                <w:p w14:paraId="5AB254BC">
                  <w:pPr>
                    <w:pStyle w:val="83"/>
                    <w:rPr>
                      <w:rFonts w:hint="default"/>
                    </w:rPr>
                  </w:pPr>
                  <w:r>
                    <w:t>达标</w:t>
                  </w:r>
                </w:p>
              </w:tc>
            </w:tr>
            <w:tr w14:paraId="76CBCC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1BB11DB2">
                  <w:pPr>
                    <w:pStyle w:val="83"/>
                    <w:rPr>
                      <w:rFonts w:hint="default"/>
                    </w:rPr>
                  </w:pPr>
                </w:p>
              </w:tc>
              <w:tc>
                <w:tcPr>
                  <w:tcW w:w="1716" w:type="dxa"/>
                  <w:vMerge w:val="continue"/>
                  <w:vAlign w:val="center"/>
                </w:tcPr>
                <w:p w14:paraId="74CD07DC">
                  <w:pPr>
                    <w:pStyle w:val="83"/>
                    <w:rPr>
                      <w:rFonts w:hint="default"/>
                    </w:rPr>
                  </w:pPr>
                </w:p>
              </w:tc>
              <w:tc>
                <w:tcPr>
                  <w:tcW w:w="1432" w:type="dxa"/>
                  <w:noWrap/>
                  <w:vAlign w:val="center"/>
                </w:tcPr>
                <w:p w14:paraId="78B366B9">
                  <w:pPr>
                    <w:pStyle w:val="83"/>
                    <w:rPr>
                      <w:rFonts w:hint="default"/>
                    </w:rPr>
                  </w:pPr>
                  <w:r>
                    <w:t>硫化氢</w:t>
                  </w:r>
                </w:p>
              </w:tc>
              <w:tc>
                <w:tcPr>
                  <w:tcW w:w="1704" w:type="dxa"/>
                  <w:gridSpan w:val="2"/>
                  <w:noWrap/>
                  <w:vAlign w:val="center"/>
                </w:tcPr>
                <w:p w14:paraId="1578C550">
                  <w:pPr>
                    <w:pStyle w:val="83"/>
                    <w:rPr>
                      <w:rFonts w:hint="default"/>
                    </w:rPr>
                  </w:pPr>
                  <w:r>
                    <w:t>&lt;0.0002</w:t>
                  </w:r>
                </w:p>
              </w:tc>
              <w:tc>
                <w:tcPr>
                  <w:tcW w:w="1692" w:type="dxa"/>
                  <w:noWrap/>
                  <w:vAlign w:val="center"/>
                </w:tcPr>
                <w:p w14:paraId="55365C83">
                  <w:pPr>
                    <w:pStyle w:val="83"/>
                    <w:rPr>
                      <w:rFonts w:hint="default"/>
                    </w:rPr>
                  </w:pPr>
                  <w:r>
                    <w:t>0.06</w:t>
                  </w:r>
                </w:p>
              </w:tc>
              <w:tc>
                <w:tcPr>
                  <w:tcW w:w="1080" w:type="dxa"/>
                  <w:noWrap/>
                  <w:vAlign w:val="center"/>
                </w:tcPr>
                <w:p w14:paraId="2187EE40">
                  <w:pPr>
                    <w:pStyle w:val="83"/>
                    <w:rPr>
                      <w:rFonts w:hint="default"/>
                    </w:rPr>
                  </w:pPr>
                  <w:r>
                    <w:t>达标</w:t>
                  </w:r>
                </w:p>
              </w:tc>
            </w:tr>
            <w:tr w14:paraId="0E523A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037F1C4C">
                  <w:pPr>
                    <w:pStyle w:val="83"/>
                    <w:rPr>
                      <w:rFonts w:hint="default"/>
                    </w:rPr>
                  </w:pPr>
                </w:p>
              </w:tc>
              <w:tc>
                <w:tcPr>
                  <w:tcW w:w="1716" w:type="dxa"/>
                  <w:vMerge w:val="restart"/>
                  <w:noWrap/>
                  <w:vAlign w:val="center"/>
                </w:tcPr>
                <w:p w14:paraId="3E6D3333">
                  <w:pPr>
                    <w:pStyle w:val="83"/>
                    <w:rPr>
                      <w:rFonts w:hint="default"/>
                    </w:rPr>
                  </w:pPr>
                  <w:r>
                    <w:t>Q4厂界下风向</w:t>
                  </w:r>
                </w:p>
              </w:tc>
              <w:tc>
                <w:tcPr>
                  <w:tcW w:w="1432" w:type="dxa"/>
                  <w:noWrap/>
                  <w:vAlign w:val="center"/>
                </w:tcPr>
                <w:p w14:paraId="7E521014">
                  <w:pPr>
                    <w:pStyle w:val="83"/>
                    <w:rPr>
                      <w:rFonts w:hint="default"/>
                    </w:rPr>
                  </w:pPr>
                  <w:r>
                    <w:t>颗粒物</w:t>
                  </w:r>
                </w:p>
              </w:tc>
              <w:tc>
                <w:tcPr>
                  <w:tcW w:w="1704" w:type="dxa"/>
                  <w:gridSpan w:val="2"/>
                  <w:noWrap/>
                  <w:vAlign w:val="center"/>
                </w:tcPr>
                <w:p w14:paraId="2D3FC654">
                  <w:pPr>
                    <w:pStyle w:val="83"/>
                    <w:rPr>
                      <w:rFonts w:hint="default"/>
                    </w:rPr>
                  </w:pPr>
                  <w:r>
                    <w:t>0.421</w:t>
                  </w:r>
                </w:p>
              </w:tc>
              <w:tc>
                <w:tcPr>
                  <w:tcW w:w="1692" w:type="dxa"/>
                  <w:noWrap/>
                  <w:vAlign w:val="center"/>
                </w:tcPr>
                <w:p w14:paraId="02A8501F">
                  <w:pPr>
                    <w:pStyle w:val="83"/>
                    <w:rPr>
                      <w:rFonts w:hint="default"/>
                    </w:rPr>
                  </w:pPr>
                  <w:r>
                    <w:t>1.00</w:t>
                  </w:r>
                </w:p>
              </w:tc>
              <w:tc>
                <w:tcPr>
                  <w:tcW w:w="1080" w:type="dxa"/>
                  <w:noWrap/>
                  <w:vAlign w:val="center"/>
                </w:tcPr>
                <w:p w14:paraId="0E16734E">
                  <w:pPr>
                    <w:pStyle w:val="83"/>
                    <w:rPr>
                      <w:rFonts w:hint="default"/>
                    </w:rPr>
                  </w:pPr>
                  <w:r>
                    <w:t>达标</w:t>
                  </w:r>
                </w:p>
              </w:tc>
            </w:tr>
            <w:tr w14:paraId="04441C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038BBBDC">
                  <w:pPr>
                    <w:pStyle w:val="83"/>
                    <w:rPr>
                      <w:rFonts w:hint="default"/>
                    </w:rPr>
                  </w:pPr>
                </w:p>
              </w:tc>
              <w:tc>
                <w:tcPr>
                  <w:tcW w:w="1716" w:type="dxa"/>
                  <w:vMerge w:val="continue"/>
                  <w:vAlign w:val="center"/>
                </w:tcPr>
                <w:p w14:paraId="22B2942E">
                  <w:pPr>
                    <w:pStyle w:val="83"/>
                    <w:rPr>
                      <w:rFonts w:hint="default"/>
                    </w:rPr>
                  </w:pPr>
                </w:p>
              </w:tc>
              <w:tc>
                <w:tcPr>
                  <w:tcW w:w="1432" w:type="dxa"/>
                  <w:noWrap/>
                  <w:vAlign w:val="center"/>
                </w:tcPr>
                <w:p w14:paraId="37EB7776">
                  <w:pPr>
                    <w:pStyle w:val="83"/>
                    <w:rPr>
                      <w:rFonts w:hint="default"/>
                    </w:rPr>
                  </w:pPr>
                  <w:r>
                    <w:t>氨</w:t>
                  </w:r>
                </w:p>
              </w:tc>
              <w:tc>
                <w:tcPr>
                  <w:tcW w:w="1704" w:type="dxa"/>
                  <w:gridSpan w:val="2"/>
                  <w:noWrap/>
                  <w:vAlign w:val="center"/>
                </w:tcPr>
                <w:p w14:paraId="5F52C008">
                  <w:pPr>
                    <w:pStyle w:val="83"/>
                    <w:rPr>
                      <w:rFonts w:hint="default"/>
                    </w:rPr>
                  </w:pPr>
                  <w:r>
                    <w:t>0.04</w:t>
                  </w:r>
                </w:p>
              </w:tc>
              <w:tc>
                <w:tcPr>
                  <w:tcW w:w="1692" w:type="dxa"/>
                  <w:noWrap/>
                  <w:vAlign w:val="center"/>
                </w:tcPr>
                <w:p w14:paraId="049DEEC4">
                  <w:pPr>
                    <w:pStyle w:val="83"/>
                    <w:rPr>
                      <w:rFonts w:hint="default"/>
                    </w:rPr>
                  </w:pPr>
                  <w:r>
                    <w:t>1.50</w:t>
                  </w:r>
                </w:p>
              </w:tc>
              <w:tc>
                <w:tcPr>
                  <w:tcW w:w="1080" w:type="dxa"/>
                  <w:noWrap/>
                  <w:vAlign w:val="center"/>
                </w:tcPr>
                <w:p w14:paraId="39DD9258">
                  <w:pPr>
                    <w:pStyle w:val="83"/>
                    <w:rPr>
                      <w:rFonts w:hint="default"/>
                    </w:rPr>
                  </w:pPr>
                  <w:r>
                    <w:t>达标</w:t>
                  </w:r>
                </w:p>
              </w:tc>
            </w:tr>
            <w:tr w14:paraId="596F52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43FAAF63">
                  <w:pPr>
                    <w:pStyle w:val="83"/>
                    <w:rPr>
                      <w:rFonts w:hint="default"/>
                    </w:rPr>
                  </w:pPr>
                </w:p>
              </w:tc>
              <w:tc>
                <w:tcPr>
                  <w:tcW w:w="1716" w:type="dxa"/>
                  <w:vMerge w:val="continue"/>
                  <w:vAlign w:val="center"/>
                </w:tcPr>
                <w:p w14:paraId="03274129">
                  <w:pPr>
                    <w:pStyle w:val="83"/>
                    <w:rPr>
                      <w:rFonts w:hint="default"/>
                    </w:rPr>
                  </w:pPr>
                </w:p>
              </w:tc>
              <w:tc>
                <w:tcPr>
                  <w:tcW w:w="1432" w:type="dxa"/>
                  <w:noWrap/>
                  <w:vAlign w:val="center"/>
                </w:tcPr>
                <w:p w14:paraId="13FB6D5B">
                  <w:pPr>
                    <w:pStyle w:val="83"/>
                    <w:rPr>
                      <w:rFonts w:hint="default"/>
                    </w:rPr>
                  </w:pPr>
                  <w:r>
                    <w:t>非甲烷总烃</w:t>
                  </w:r>
                </w:p>
              </w:tc>
              <w:tc>
                <w:tcPr>
                  <w:tcW w:w="1704" w:type="dxa"/>
                  <w:gridSpan w:val="2"/>
                  <w:noWrap/>
                  <w:vAlign w:val="center"/>
                </w:tcPr>
                <w:p w14:paraId="2F9EFD06">
                  <w:pPr>
                    <w:pStyle w:val="83"/>
                    <w:rPr>
                      <w:rFonts w:hint="default"/>
                    </w:rPr>
                  </w:pPr>
                  <w:r>
                    <w:t>1.46</w:t>
                  </w:r>
                </w:p>
              </w:tc>
              <w:tc>
                <w:tcPr>
                  <w:tcW w:w="1692" w:type="dxa"/>
                  <w:noWrap/>
                  <w:vAlign w:val="center"/>
                </w:tcPr>
                <w:p w14:paraId="015DAC2B">
                  <w:pPr>
                    <w:pStyle w:val="83"/>
                    <w:rPr>
                      <w:rFonts w:hint="default"/>
                    </w:rPr>
                  </w:pPr>
                  <w:r>
                    <w:t>2.00</w:t>
                  </w:r>
                </w:p>
              </w:tc>
              <w:tc>
                <w:tcPr>
                  <w:tcW w:w="1080" w:type="dxa"/>
                  <w:noWrap/>
                  <w:vAlign w:val="center"/>
                </w:tcPr>
                <w:p w14:paraId="01A2B110">
                  <w:pPr>
                    <w:pStyle w:val="83"/>
                    <w:rPr>
                      <w:rFonts w:hint="default"/>
                    </w:rPr>
                  </w:pPr>
                  <w:r>
                    <w:t>达标</w:t>
                  </w:r>
                </w:p>
              </w:tc>
            </w:tr>
            <w:tr w14:paraId="19BD7C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1EB1A4B7">
                  <w:pPr>
                    <w:pStyle w:val="83"/>
                    <w:rPr>
                      <w:rFonts w:hint="default"/>
                    </w:rPr>
                  </w:pPr>
                </w:p>
              </w:tc>
              <w:tc>
                <w:tcPr>
                  <w:tcW w:w="1716" w:type="dxa"/>
                  <w:vMerge w:val="continue"/>
                  <w:vAlign w:val="center"/>
                </w:tcPr>
                <w:p w14:paraId="2008C977">
                  <w:pPr>
                    <w:pStyle w:val="83"/>
                    <w:rPr>
                      <w:rFonts w:hint="default"/>
                    </w:rPr>
                  </w:pPr>
                </w:p>
              </w:tc>
              <w:tc>
                <w:tcPr>
                  <w:tcW w:w="1432" w:type="dxa"/>
                  <w:noWrap/>
                  <w:vAlign w:val="center"/>
                </w:tcPr>
                <w:p w14:paraId="0C258A90">
                  <w:pPr>
                    <w:pStyle w:val="83"/>
                    <w:rPr>
                      <w:rFonts w:hint="default"/>
                    </w:rPr>
                  </w:pPr>
                  <w:r>
                    <w:t>硫化氢</w:t>
                  </w:r>
                </w:p>
              </w:tc>
              <w:tc>
                <w:tcPr>
                  <w:tcW w:w="1704" w:type="dxa"/>
                  <w:gridSpan w:val="2"/>
                  <w:noWrap/>
                  <w:vAlign w:val="center"/>
                </w:tcPr>
                <w:p w14:paraId="17416FDC">
                  <w:pPr>
                    <w:pStyle w:val="83"/>
                    <w:rPr>
                      <w:rFonts w:hint="default"/>
                    </w:rPr>
                  </w:pPr>
                  <w:r>
                    <w:t>&lt;0.0002</w:t>
                  </w:r>
                </w:p>
              </w:tc>
              <w:tc>
                <w:tcPr>
                  <w:tcW w:w="1692" w:type="dxa"/>
                  <w:noWrap/>
                  <w:vAlign w:val="center"/>
                </w:tcPr>
                <w:p w14:paraId="446D1194">
                  <w:pPr>
                    <w:pStyle w:val="83"/>
                    <w:rPr>
                      <w:rFonts w:hint="default"/>
                    </w:rPr>
                  </w:pPr>
                  <w:r>
                    <w:t>0.06</w:t>
                  </w:r>
                </w:p>
              </w:tc>
              <w:tc>
                <w:tcPr>
                  <w:tcW w:w="1080" w:type="dxa"/>
                  <w:noWrap/>
                  <w:vAlign w:val="center"/>
                </w:tcPr>
                <w:p w14:paraId="27483F9F">
                  <w:pPr>
                    <w:pStyle w:val="83"/>
                    <w:rPr>
                      <w:rFonts w:hint="default"/>
                    </w:rPr>
                  </w:pPr>
                  <w:r>
                    <w:t>达标</w:t>
                  </w:r>
                </w:p>
              </w:tc>
            </w:tr>
            <w:tr w14:paraId="7E4E305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15701781">
                  <w:pPr>
                    <w:pStyle w:val="83"/>
                    <w:rPr>
                      <w:rFonts w:hint="default"/>
                    </w:rPr>
                  </w:pPr>
                </w:p>
              </w:tc>
              <w:tc>
                <w:tcPr>
                  <w:tcW w:w="1716" w:type="dxa"/>
                  <w:vMerge w:val="restart"/>
                  <w:vAlign w:val="center"/>
                </w:tcPr>
                <w:p w14:paraId="08426870">
                  <w:pPr>
                    <w:pStyle w:val="83"/>
                    <w:rPr>
                      <w:rFonts w:hint="default"/>
                    </w:rPr>
                  </w:pPr>
                  <w:r>
                    <w:t>Q5厂内监控点</w:t>
                  </w:r>
                </w:p>
              </w:tc>
              <w:tc>
                <w:tcPr>
                  <w:tcW w:w="1432" w:type="dxa"/>
                  <w:vMerge w:val="restart"/>
                  <w:noWrap/>
                  <w:vAlign w:val="center"/>
                </w:tcPr>
                <w:p w14:paraId="76AD497B">
                  <w:pPr>
                    <w:pStyle w:val="83"/>
                    <w:rPr>
                      <w:rFonts w:hint="default"/>
                    </w:rPr>
                  </w:pPr>
                  <w:r>
                    <w:t>非甲烷总烃</w:t>
                  </w:r>
                </w:p>
              </w:tc>
              <w:tc>
                <w:tcPr>
                  <w:tcW w:w="852" w:type="dxa"/>
                  <w:noWrap/>
                  <w:vAlign w:val="center"/>
                </w:tcPr>
                <w:p w14:paraId="70E8E7BF">
                  <w:pPr>
                    <w:pStyle w:val="83"/>
                    <w:rPr>
                      <w:rFonts w:hint="default"/>
                    </w:rPr>
                  </w:pPr>
                  <w:r>
                    <w:t>小时值</w:t>
                  </w:r>
                </w:p>
              </w:tc>
              <w:tc>
                <w:tcPr>
                  <w:tcW w:w="852" w:type="dxa"/>
                  <w:noWrap/>
                  <w:vAlign w:val="center"/>
                </w:tcPr>
                <w:p w14:paraId="320F722A">
                  <w:pPr>
                    <w:pStyle w:val="83"/>
                    <w:rPr>
                      <w:rFonts w:hint="default"/>
                    </w:rPr>
                  </w:pPr>
                  <w:r>
                    <w:t>2.31</w:t>
                  </w:r>
                </w:p>
              </w:tc>
              <w:tc>
                <w:tcPr>
                  <w:tcW w:w="1692" w:type="dxa"/>
                  <w:noWrap/>
                  <w:vAlign w:val="center"/>
                </w:tcPr>
                <w:p w14:paraId="159B7EC4">
                  <w:pPr>
                    <w:pStyle w:val="83"/>
                    <w:rPr>
                      <w:rFonts w:hint="default"/>
                    </w:rPr>
                  </w:pPr>
                  <w:r>
                    <w:t>6</w:t>
                  </w:r>
                </w:p>
              </w:tc>
              <w:tc>
                <w:tcPr>
                  <w:tcW w:w="1080" w:type="dxa"/>
                  <w:noWrap/>
                  <w:vAlign w:val="center"/>
                </w:tcPr>
                <w:p w14:paraId="095ADFF3">
                  <w:pPr>
                    <w:pStyle w:val="83"/>
                    <w:rPr>
                      <w:rFonts w:hint="default"/>
                    </w:rPr>
                  </w:pPr>
                  <w:r>
                    <w:t>达标</w:t>
                  </w:r>
                </w:p>
              </w:tc>
            </w:tr>
            <w:tr w14:paraId="365BEE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76" w:type="dxa"/>
                  <w:vMerge w:val="continue"/>
                  <w:vAlign w:val="center"/>
                </w:tcPr>
                <w:p w14:paraId="18A142E3">
                  <w:pPr>
                    <w:pStyle w:val="83"/>
                    <w:rPr>
                      <w:rFonts w:hint="default"/>
                    </w:rPr>
                  </w:pPr>
                </w:p>
              </w:tc>
              <w:tc>
                <w:tcPr>
                  <w:tcW w:w="1716" w:type="dxa"/>
                  <w:vMerge w:val="continue"/>
                  <w:vAlign w:val="center"/>
                </w:tcPr>
                <w:p w14:paraId="7D8FCAD0">
                  <w:pPr>
                    <w:pStyle w:val="83"/>
                    <w:rPr>
                      <w:rFonts w:hint="default"/>
                    </w:rPr>
                  </w:pPr>
                </w:p>
              </w:tc>
              <w:tc>
                <w:tcPr>
                  <w:tcW w:w="1432" w:type="dxa"/>
                  <w:vMerge w:val="continue"/>
                  <w:noWrap/>
                  <w:vAlign w:val="center"/>
                </w:tcPr>
                <w:p w14:paraId="1064914A">
                  <w:pPr>
                    <w:pStyle w:val="83"/>
                    <w:rPr>
                      <w:rFonts w:hint="default"/>
                    </w:rPr>
                  </w:pPr>
                </w:p>
              </w:tc>
              <w:tc>
                <w:tcPr>
                  <w:tcW w:w="852" w:type="dxa"/>
                  <w:noWrap/>
                  <w:vAlign w:val="center"/>
                </w:tcPr>
                <w:p w14:paraId="7D2683F1">
                  <w:pPr>
                    <w:pStyle w:val="83"/>
                    <w:rPr>
                      <w:rFonts w:hint="default"/>
                    </w:rPr>
                  </w:pPr>
                  <w:r>
                    <w:t>瞬时值</w:t>
                  </w:r>
                </w:p>
              </w:tc>
              <w:tc>
                <w:tcPr>
                  <w:tcW w:w="852" w:type="dxa"/>
                  <w:noWrap/>
                  <w:vAlign w:val="center"/>
                </w:tcPr>
                <w:p w14:paraId="49A0C05E">
                  <w:pPr>
                    <w:pStyle w:val="83"/>
                    <w:rPr>
                      <w:rFonts w:hint="default"/>
                    </w:rPr>
                  </w:pPr>
                  <w:r>
                    <w:t>2.34</w:t>
                  </w:r>
                </w:p>
              </w:tc>
              <w:tc>
                <w:tcPr>
                  <w:tcW w:w="1692" w:type="dxa"/>
                  <w:noWrap/>
                  <w:vAlign w:val="center"/>
                </w:tcPr>
                <w:p w14:paraId="3700ADE4">
                  <w:pPr>
                    <w:pStyle w:val="83"/>
                    <w:rPr>
                      <w:rFonts w:hint="default"/>
                    </w:rPr>
                  </w:pPr>
                  <w:r>
                    <w:t>20</w:t>
                  </w:r>
                </w:p>
              </w:tc>
              <w:tc>
                <w:tcPr>
                  <w:tcW w:w="1080" w:type="dxa"/>
                  <w:noWrap/>
                  <w:vAlign w:val="center"/>
                </w:tcPr>
                <w:p w14:paraId="301BD234">
                  <w:pPr>
                    <w:pStyle w:val="83"/>
                    <w:rPr>
                      <w:rFonts w:hint="default"/>
                    </w:rPr>
                  </w:pPr>
                  <w:r>
                    <w:t>达标</w:t>
                  </w:r>
                </w:p>
              </w:tc>
            </w:tr>
            <w:tr w14:paraId="4B3B38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8900" w:type="dxa"/>
                  <w:gridSpan w:val="7"/>
                  <w:vAlign w:val="center"/>
                </w:tcPr>
                <w:p w14:paraId="7FDC8DDC">
                  <w:pPr>
                    <w:pStyle w:val="83"/>
                    <w:jc w:val="left"/>
                    <w:rPr>
                      <w:rFonts w:hint="default"/>
                    </w:rPr>
                  </w:pPr>
                  <w:r>
                    <w:rPr>
                      <w:sz w:val="18"/>
                      <w:szCs w:val="18"/>
                    </w:rPr>
                    <w:t>备注：非甲烷总烃企业边界浓度执行《工业企业挥发性有机物排放标准》（DB35/1782-2018）表3中的浓度限值；颗粒物企业边界浓度执行《合成树脂工业污染物排放标准》（GB31572-2015，含2024年修改单）表9中的浓度限值；氨和硫化氢执行《恶臭污染物排放标准》（GB 14554-93）表1中的浓度限值</w:t>
                  </w:r>
                </w:p>
              </w:tc>
            </w:tr>
          </w:tbl>
          <w:p w14:paraId="3A035CEC">
            <w:pPr>
              <w:ind w:firstLine="480"/>
            </w:pPr>
            <w:r>
              <w:rPr>
                <w:rFonts w:hint="eastAsia"/>
              </w:rPr>
              <w:t>综上所述，现有工程有组织废气非甲烷总烃和颗粒物满足《合成树脂工业污染物排放标准》（GB31572-2015，含2024年修改单）表5的特别排放限值要求；生物质制气锅炉满足《关于全面推进锅炉污染整治促进清洁低碳转型的意见》燃煤锅炉超低排放要求，燃气锅炉废气满足《锅炉大气污染物排放标准》（GB13271-2014）表3中特别排放限值；厂界无组织废气非甲烷总烃满足《工业企业挥发性有机物排放标准》（DB35/1782-2018）表3中的浓度限值，厂区内监控点非甲烷总烃满足《挥发性有机物无组织排放控制标准》（GB37822-2019）表A.1浓度限值，颗粒物满足《合成树脂工业污染物排放标准》（GB31572-2015，含2024年修改单）表9中的浓度限值，氨和硫化氢满足《恶臭污染物排放标准》（GB 14554-93）表1中的浓度限值。</w:t>
            </w:r>
          </w:p>
          <w:p w14:paraId="2E10A380">
            <w:pPr>
              <w:pStyle w:val="4"/>
              <w:spacing w:before="120" w:after="0" w:afterLines="0"/>
            </w:pPr>
            <w:r>
              <w:rPr>
                <w:rFonts w:hint="eastAsia"/>
              </w:rPr>
              <w:t>2.4.2 废水</w:t>
            </w:r>
          </w:p>
          <w:p w14:paraId="4F5D3034">
            <w:pPr>
              <w:ind w:firstLine="480"/>
            </w:pPr>
            <w:r>
              <w:rPr>
                <w:rFonts w:hint="eastAsia"/>
              </w:rPr>
              <w:t>现有纺丝项目、加弹项目、再生切片项目、聚合一至二期项目生产废水经综合废水处理站（预水解酸化+IEPI厌氧塔+ A/O+MBR+RO）处理后回用于生产；聚合三期生产废水经聚合三期配套污水处理站（预水解酸化+ UASB +A/O）处理后尾水进入综合废水处理站中水回用系统（RO）处理后回用于生产；中水回用系统反渗透浓水纳入福州市滨海工业区污水处理厂统一处理；生活污水经化粪池处理后纳入福州市滨海工业区污水处理厂统一处理。</w:t>
            </w:r>
          </w:p>
          <w:p w14:paraId="450F1867">
            <w:pPr>
              <w:ind w:firstLine="480"/>
            </w:pPr>
            <w:r>
              <w:rPr>
                <w:rFonts w:hint="eastAsia"/>
              </w:rPr>
              <w:t>本次现有工程废水排放达标性分析采用2025年9月由福建拓普检测技术有限公司出具的《福建永荣锦江股份有限公司自行检测报告》中的监测数据（报告编号：TFHJ2412049-10）。</w:t>
            </w:r>
          </w:p>
          <w:p w14:paraId="6F27F544">
            <w:pPr>
              <w:pStyle w:val="13"/>
            </w:pPr>
            <w:r>
              <w:rPr>
                <w:rFonts w:hint="eastAsia"/>
              </w:rPr>
              <w:t>表2.4-14  企业废水监测结果一览表</w:t>
            </w:r>
          </w:p>
          <w:tbl>
            <w:tblPr>
              <w:tblStyle w:val="17"/>
              <w:tblpPr w:leftFromText="180" w:rightFromText="180" w:vertAnchor="text"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76"/>
              <w:gridCol w:w="1132"/>
              <w:gridCol w:w="1702"/>
              <w:gridCol w:w="851"/>
              <w:gridCol w:w="1700"/>
              <w:gridCol w:w="1134"/>
              <w:gridCol w:w="1105"/>
            </w:tblGrid>
            <w:tr w14:paraId="105919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Align w:val="center"/>
                </w:tcPr>
                <w:p w14:paraId="6AF92757">
                  <w:pPr>
                    <w:pStyle w:val="83"/>
                    <w:rPr>
                      <w:rFonts w:hint="default"/>
                    </w:rPr>
                  </w:pPr>
                  <w:r>
                    <w:t>监测时间</w:t>
                  </w:r>
                </w:p>
              </w:tc>
              <w:tc>
                <w:tcPr>
                  <w:tcW w:w="636" w:type="pct"/>
                  <w:vAlign w:val="center"/>
                </w:tcPr>
                <w:p w14:paraId="73671556">
                  <w:pPr>
                    <w:pStyle w:val="83"/>
                    <w:rPr>
                      <w:rFonts w:hint="default"/>
                    </w:rPr>
                  </w:pPr>
                  <w:r>
                    <w:t>点位名称</w:t>
                  </w:r>
                </w:p>
              </w:tc>
              <w:tc>
                <w:tcPr>
                  <w:tcW w:w="956" w:type="pct"/>
                  <w:vAlign w:val="center"/>
                </w:tcPr>
                <w:p w14:paraId="54AA7143">
                  <w:pPr>
                    <w:pStyle w:val="83"/>
                    <w:rPr>
                      <w:rFonts w:hint="default"/>
                    </w:rPr>
                  </w:pPr>
                  <w:r>
                    <w:t>检测项目</w:t>
                  </w:r>
                </w:p>
              </w:tc>
              <w:tc>
                <w:tcPr>
                  <w:tcW w:w="478" w:type="pct"/>
                  <w:vAlign w:val="center"/>
                </w:tcPr>
                <w:p w14:paraId="29C7FC45">
                  <w:pPr>
                    <w:pStyle w:val="83"/>
                    <w:rPr>
                      <w:rFonts w:hint="default"/>
                    </w:rPr>
                  </w:pPr>
                  <w:r>
                    <w:t>单位</w:t>
                  </w:r>
                </w:p>
              </w:tc>
              <w:tc>
                <w:tcPr>
                  <w:tcW w:w="955" w:type="pct"/>
                  <w:vAlign w:val="center"/>
                </w:tcPr>
                <w:p w14:paraId="7825B03D">
                  <w:pPr>
                    <w:pStyle w:val="83"/>
                    <w:rPr>
                      <w:rFonts w:hint="default"/>
                    </w:rPr>
                  </w:pPr>
                  <w:r>
                    <w:t>检测结果</w:t>
                  </w:r>
                </w:p>
              </w:tc>
              <w:tc>
                <w:tcPr>
                  <w:tcW w:w="637" w:type="pct"/>
                  <w:vAlign w:val="center"/>
                </w:tcPr>
                <w:p w14:paraId="58E717CF">
                  <w:pPr>
                    <w:pStyle w:val="83"/>
                    <w:rPr>
                      <w:rFonts w:hint="default"/>
                    </w:rPr>
                  </w:pPr>
                  <w:r>
                    <w:t>标准限值</w:t>
                  </w:r>
                </w:p>
              </w:tc>
              <w:tc>
                <w:tcPr>
                  <w:tcW w:w="621" w:type="pct"/>
                  <w:vAlign w:val="center"/>
                </w:tcPr>
                <w:p w14:paraId="34893F95">
                  <w:pPr>
                    <w:pStyle w:val="83"/>
                    <w:rPr>
                      <w:rFonts w:hint="default"/>
                    </w:rPr>
                  </w:pPr>
                  <w:r>
                    <w:t>达标情况</w:t>
                  </w:r>
                </w:p>
              </w:tc>
            </w:tr>
            <w:tr w14:paraId="7858252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restart"/>
                  <w:vAlign w:val="center"/>
                </w:tcPr>
                <w:p w14:paraId="453D1CA2">
                  <w:pPr>
                    <w:pStyle w:val="83"/>
                    <w:rPr>
                      <w:rFonts w:hint="default"/>
                    </w:rPr>
                  </w:pPr>
                  <w:r>
                    <w:t>2025.09.25</w:t>
                  </w:r>
                </w:p>
              </w:tc>
              <w:tc>
                <w:tcPr>
                  <w:tcW w:w="636" w:type="pct"/>
                  <w:vMerge w:val="restart"/>
                  <w:vAlign w:val="center"/>
                </w:tcPr>
                <w:p w14:paraId="54805CCD">
                  <w:pPr>
                    <w:pStyle w:val="83"/>
                    <w:rPr>
                      <w:rFonts w:hint="default"/>
                    </w:rPr>
                  </w:pPr>
                  <w:r>
                    <w:t>生产废水排放口</w:t>
                  </w:r>
                </w:p>
                <w:p w14:paraId="5B74F82B">
                  <w:pPr>
                    <w:pStyle w:val="83"/>
                    <w:rPr>
                      <w:rFonts w:hint="default"/>
                    </w:rPr>
                  </w:pPr>
                  <w:r>
                    <w:t>DW001</w:t>
                  </w:r>
                </w:p>
              </w:tc>
              <w:tc>
                <w:tcPr>
                  <w:tcW w:w="956" w:type="pct"/>
                  <w:vAlign w:val="center"/>
                </w:tcPr>
                <w:p w14:paraId="31615F57">
                  <w:pPr>
                    <w:pStyle w:val="83"/>
                    <w:rPr>
                      <w:rFonts w:hint="default"/>
                    </w:rPr>
                  </w:pPr>
                  <w:r>
                    <w:t>pH</w:t>
                  </w:r>
                </w:p>
              </w:tc>
              <w:tc>
                <w:tcPr>
                  <w:tcW w:w="478" w:type="pct"/>
                  <w:vAlign w:val="center"/>
                </w:tcPr>
                <w:p w14:paraId="7F935EA6">
                  <w:pPr>
                    <w:pStyle w:val="83"/>
                    <w:rPr>
                      <w:rFonts w:hint="default"/>
                    </w:rPr>
                  </w:pPr>
                  <w:r>
                    <w:t>无量纲</w:t>
                  </w:r>
                </w:p>
              </w:tc>
              <w:tc>
                <w:tcPr>
                  <w:tcW w:w="955" w:type="pct"/>
                  <w:vAlign w:val="center"/>
                </w:tcPr>
                <w:p w14:paraId="53A30289">
                  <w:pPr>
                    <w:pStyle w:val="83"/>
                    <w:rPr>
                      <w:rFonts w:hint="default"/>
                    </w:rPr>
                  </w:pPr>
                  <w:r>
                    <w:t>6.9</w:t>
                  </w:r>
                </w:p>
              </w:tc>
              <w:tc>
                <w:tcPr>
                  <w:tcW w:w="637" w:type="pct"/>
                  <w:vAlign w:val="center"/>
                </w:tcPr>
                <w:p w14:paraId="2FA521E7">
                  <w:pPr>
                    <w:pStyle w:val="83"/>
                    <w:rPr>
                      <w:rFonts w:hint="default"/>
                    </w:rPr>
                  </w:pPr>
                  <w:r>
                    <w:t>6~9</w:t>
                  </w:r>
                </w:p>
              </w:tc>
              <w:tc>
                <w:tcPr>
                  <w:tcW w:w="621" w:type="pct"/>
                </w:tcPr>
                <w:p w14:paraId="6D12767A">
                  <w:pPr>
                    <w:pStyle w:val="83"/>
                    <w:rPr>
                      <w:rFonts w:hint="default"/>
                    </w:rPr>
                  </w:pPr>
                  <w:r>
                    <w:t>达标</w:t>
                  </w:r>
                </w:p>
              </w:tc>
            </w:tr>
            <w:tr w14:paraId="0EF8EB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6896F6C1">
                  <w:pPr>
                    <w:pStyle w:val="83"/>
                    <w:rPr>
                      <w:rFonts w:hint="default"/>
                    </w:rPr>
                  </w:pPr>
                </w:p>
              </w:tc>
              <w:tc>
                <w:tcPr>
                  <w:tcW w:w="636" w:type="pct"/>
                  <w:vMerge w:val="continue"/>
                  <w:vAlign w:val="center"/>
                </w:tcPr>
                <w:p w14:paraId="02852801">
                  <w:pPr>
                    <w:pStyle w:val="83"/>
                    <w:rPr>
                      <w:rFonts w:hint="default"/>
                    </w:rPr>
                  </w:pPr>
                </w:p>
              </w:tc>
              <w:tc>
                <w:tcPr>
                  <w:tcW w:w="956" w:type="pct"/>
                  <w:vAlign w:val="center"/>
                </w:tcPr>
                <w:p w14:paraId="495C5254">
                  <w:pPr>
                    <w:pStyle w:val="83"/>
                    <w:rPr>
                      <w:rFonts w:hint="default"/>
                    </w:rPr>
                  </w:pPr>
                  <w:r>
                    <w:t>可吸附有机卤素</w:t>
                  </w:r>
                </w:p>
              </w:tc>
              <w:tc>
                <w:tcPr>
                  <w:tcW w:w="478" w:type="pct"/>
                  <w:vAlign w:val="center"/>
                </w:tcPr>
                <w:p w14:paraId="75CF418C">
                  <w:pPr>
                    <w:pStyle w:val="83"/>
                    <w:rPr>
                      <w:rFonts w:hint="default"/>
                    </w:rPr>
                  </w:pPr>
                  <w:r>
                    <w:t>mg/L</w:t>
                  </w:r>
                </w:p>
              </w:tc>
              <w:tc>
                <w:tcPr>
                  <w:tcW w:w="955" w:type="pct"/>
                  <w:vAlign w:val="center"/>
                </w:tcPr>
                <w:p w14:paraId="2B129152">
                  <w:pPr>
                    <w:pStyle w:val="83"/>
                    <w:rPr>
                      <w:rFonts w:hint="default"/>
                    </w:rPr>
                  </w:pPr>
                  <w:r>
                    <w:t>0.278</w:t>
                  </w:r>
                </w:p>
              </w:tc>
              <w:tc>
                <w:tcPr>
                  <w:tcW w:w="637" w:type="pct"/>
                  <w:vAlign w:val="center"/>
                </w:tcPr>
                <w:p w14:paraId="025DBB34">
                  <w:pPr>
                    <w:pStyle w:val="83"/>
                    <w:rPr>
                      <w:rFonts w:hint="default"/>
                    </w:rPr>
                  </w:pPr>
                  <w:r>
                    <w:t>5.0</w:t>
                  </w:r>
                </w:p>
              </w:tc>
              <w:tc>
                <w:tcPr>
                  <w:tcW w:w="621" w:type="pct"/>
                </w:tcPr>
                <w:p w14:paraId="60E36725">
                  <w:pPr>
                    <w:pStyle w:val="83"/>
                    <w:rPr>
                      <w:rFonts w:hint="default"/>
                    </w:rPr>
                  </w:pPr>
                  <w:r>
                    <w:t>达标</w:t>
                  </w:r>
                </w:p>
              </w:tc>
            </w:tr>
            <w:tr w14:paraId="17C63F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7E7193C1">
                  <w:pPr>
                    <w:pStyle w:val="83"/>
                    <w:rPr>
                      <w:rFonts w:hint="default"/>
                    </w:rPr>
                  </w:pPr>
                </w:p>
              </w:tc>
              <w:tc>
                <w:tcPr>
                  <w:tcW w:w="636" w:type="pct"/>
                  <w:vMerge w:val="continue"/>
                  <w:vAlign w:val="center"/>
                </w:tcPr>
                <w:p w14:paraId="663E45E7">
                  <w:pPr>
                    <w:pStyle w:val="83"/>
                    <w:rPr>
                      <w:rFonts w:hint="default"/>
                    </w:rPr>
                  </w:pPr>
                  <w:bookmarkStart w:id="5" w:name="OLE_LINK1" w:colFirst="3" w:colLast="5"/>
                </w:p>
              </w:tc>
              <w:tc>
                <w:tcPr>
                  <w:tcW w:w="956" w:type="pct"/>
                  <w:vAlign w:val="center"/>
                </w:tcPr>
                <w:p w14:paraId="7E0C933E">
                  <w:pPr>
                    <w:pStyle w:val="83"/>
                    <w:rPr>
                      <w:rFonts w:hint="default"/>
                    </w:rPr>
                  </w:pPr>
                  <w:r>
                    <w:t>化学需氧量</w:t>
                  </w:r>
                </w:p>
              </w:tc>
              <w:tc>
                <w:tcPr>
                  <w:tcW w:w="478" w:type="pct"/>
                  <w:vAlign w:val="center"/>
                </w:tcPr>
                <w:p w14:paraId="4379BA0B">
                  <w:pPr>
                    <w:pStyle w:val="83"/>
                    <w:rPr>
                      <w:rFonts w:hint="default"/>
                    </w:rPr>
                  </w:pPr>
                  <w:r>
                    <w:t>mg/L</w:t>
                  </w:r>
                </w:p>
              </w:tc>
              <w:tc>
                <w:tcPr>
                  <w:tcW w:w="955" w:type="pct"/>
                  <w:vAlign w:val="center"/>
                </w:tcPr>
                <w:p w14:paraId="2FE3100A">
                  <w:pPr>
                    <w:pStyle w:val="83"/>
                    <w:rPr>
                      <w:rFonts w:hint="default"/>
                    </w:rPr>
                  </w:pPr>
                  <w:r>
                    <w:t>69.07</w:t>
                  </w:r>
                </w:p>
              </w:tc>
              <w:tc>
                <w:tcPr>
                  <w:tcW w:w="637" w:type="pct"/>
                  <w:vAlign w:val="center"/>
                </w:tcPr>
                <w:p w14:paraId="34EB1385">
                  <w:pPr>
                    <w:pStyle w:val="83"/>
                    <w:rPr>
                      <w:rFonts w:hint="default"/>
                    </w:rPr>
                  </w:pPr>
                  <w:r>
                    <w:t>450</w:t>
                  </w:r>
                </w:p>
              </w:tc>
              <w:tc>
                <w:tcPr>
                  <w:tcW w:w="621" w:type="pct"/>
                  <w:vAlign w:val="center"/>
                </w:tcPr>
                <w:p w14:paraId="39589E86">
                  <w:pPr>
                    <w:pStyle w:val="83"/>
                    <w:rPr>
                      <w:rFonts w:hint="default"/>
                    </w:rPr>
                  </w:pPr>
                  <w:r>
                    <w:t>达标</w:t>
                  </w:r>
                </w:p>
              </w:tc>
            </w:tr>
            <w:bookmarkEnd w:id="5"/>
            <w:tr w14:paraId="0C42F5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2B8EC78E">
                  <w:pPr>
                    <w:pStyle w:val="83"/>
                    <w:rPr>
                      <w:rFonts w:hint="default"/>
                    </w:rPr>
                  </w:pPr>
                </w:p>
              </w:tc>
              <w:tc>
                <w:tcPr>
                  <w:tcW w:w="636" w:type="pct"/>
                  <w:vMerge w:val="continue"/>
                  <w:vAlign w:val="center"/>
                </w:tcPr>
                <w:p w14:paraId="1F8A5A5F">
                  <w:pPr>
                    <w:pStyle w:val="83"/>
                    <w:rPr>
                      <w:rFonts w:hint="default"/>
                    </w:rPr>
                  </w:pPr>
                </w:p>
              </w:tc>
              <w:tc>
                <w:tcPr>
                  <w:tcW w:w="956" w:type="pct"/>
                  <w:vAlign w:val="center"/>
                </w:tcPr>
                <w:p w14:paraId="19B9A271">
                  <w:pPr>
                    <w:pStyle w:val="83"/>
                    <w:rPr>
                      <w:rFonts w:hint="default"/>
                    </w:rPr>
                  </w:pPr>
                  <w:r>
                    <w:t>五日生化需氧量</w:t>
                  </w:r>
                </w:p>
              </w:tc>
              <w:tc>
                <w:tcPr>
                  <w:tcW w:w="478" w:type="pct"/>
                  <w:vAlign w:val="center"/>
                </w:tcPr>
                <w:p w14:paraId="019977CF">
                  <w:pPr>
                    <w:pStyle w:val="83"/>
                    <w:rPr>
                      <w:rFonts w:hint="default"/>
                    </w:rPr>
                  </w:pPr>
                  <w:r>
                    <w:t>mg/L</w:t>
                  </w:r>
                </w:p>
              </w:tc>
              <w:tc>
                <w:tcPr>
                  <w:tcW w:w="955" w:type="pct"/>
                  <w:vAlign w:val="center"/>
                </w:tcPr>
                <w:p w14:paraId="779600DC">
                  <w:pPr>
                    <w:pStyle w:val="83"/>
                    <w:rPr>
                      <w:rFonts w:hint="default"/>
                    </w:rPr>
                  </w:pPr>
                  <w:r>
                    <w:t>32.1</w:t>
                  </w:r>
                </w:p>
              </w:tc>
              <w:tc>
                <w:tcPr>
                  <w:tcW w:w="637" w:type="pct"/>
                  <w:vAlign w:val="center"/>
                </w:tcPr>
                <w:p w14:paraId="50ABEEC2">
                  <w:pPr>
                    <w:pStyle w:val="83"/>
                    <w:rPr>
                      <w:rFonts w:hint="default"/>
                    </w:rPr>
                  </w:pPr>
                  <w:r>
                    <w:t>200</w:t>
                  </w:r>
                </w:p>
              </w:tc>
              <w:tc>
                <w:tcPr>
                  <w:tcW w:w="621" w:type="pct"/>
                  <w:vAlign w:val="center"/>
                </w:tcPr>
                <w:p w14:paraId="6EF37100">
                  <w:pPr>
                    <w:pStyle w:val="83"/>
                    <w:rPr>
                      <w:rFonts w:hint="default"/>
                    </w:rPr>
                  </w:pPr>
                  <w:r>
                    <w:t>达标</w:t>
                  </w:r>
                </w:p>
              </w:tc>
            </w:tr>
            <w:tr w14:paraId="3206F2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7FDA9E30">
                  <w:pPr>
                    <w:pStyle w:val="83"/>
                    <w:rPr>
                      <w:rFonts w:hint="default"/>
                    </w:rPr>
                  </w:pPr>
                </w:p>
              </w:tc>
              <w:tc>
                <w:tcPr>
                  <w:tcW w:w="636" w:type="pct"/>
                  <w:vMerge w:val="continue"/>
                  <w:vAlign w:val="center"/>
                </w:tcPr>
                <w:p w14:paraId="00F396AC">
                  <w:pPr>
                    <w:pStyle w:val="83"/>
                    <w:rPr>
                      <w:rFonts w:hint="default"/>
                    </w:rPr>
                  </w:pPr>
                </w:p>
              </w:tc>
              <w:tc>
                <w:tcPr>
                  <w:tcW w:w="956" w:type="pct"/>
                  <w:vAlign w:val="center"/>
                </w:tcPr>
                <w:p w14:paraId="1BE7E215">
                  <w:pPr>
                    <w:pStyle w:val="83"/>
                    <w:rPr>
                      <w:rFonts w:hint="default"/>
                    </w:rPr>
                  </w:pPr>
                  <w:r>
                    <w:t>氨氮</w:t>
                  </w:r>
                </w:p>
              </w:tc>
              <w:tc>
                <w:tcPr>
                  <w:tcW w:w="478" w:type="pct"/>
                  <w:vAlign w:val="center"/>
                </w:tcPr>
                <w:p w14:paraId="29D90FCE">
                  <w:pPr>
                    <w:pStyle w:val="83"/>
                    <w:rPr>
                      <w:rFonts w:hint="default"/>
                    </w:rPr>
                  </w:pPr>
                  <w:r>
                    <w:t>mg/L</w:t>
                  </w:r>
                </w:p>
              </w:tc>
              <w:tc>
                <w:tcPr>
                  <w:tcW w:w="955" w:type="pct"/>
                  <w:vAlign w:val="center"/>
                </w:tcPr>
                <w:p w14:paraId="07401E74">
                  <w:pPr>
                    <w:pStyle w:val="83"/>
                    <w:rPr>
                      <w:rFonts w:hint="default"/>
                    </w:rPr>
                  </w:pPr>
                  <w:r>
                    <w:t>6.00</w:t>
                  </w:r>
                </w:p>
              </w:tc>
              <w:tc>
                <w:tcPr>
                  <w:tcW w:w="637" w:type="pct"/>
                  <w:vAlign w:val="center"/>
                </w:tcPr>
                <w:p w14:paraId="41DD0459">
                  <w:pPr>
                    <w:pStyle w:val="83"/>
                    <w:rPr>
                      <w:rFonts w:hint="default"/>
                    </w:rPr>
                  </w:pPr>
                  <w:r>
                    <w:t>30</w:t>
                  </w:r>
                </w:p>
              </w:tc>
              <w:tc>
                <w:tcPr>
                  <w:tcW w:w="621" w:type="pct"/>
                  <w:vAlign w:val="center"/>
                </w:tcPr>
                <w:p w14:paraId="56FC8F01">
                  <w:pPr>
                    <w:pStyle w:val="83"/>
                    <w:rPr>
                      <w:rFonts w:hint="default"/>
                    </w:rPr>
                  </w:pPr>
                  <w:r>
                    <w:t>达标</w:t>
                  </w:r>
                </w:p>
              </w:tc>
            </w:tr>
            <w:tr w14:paraId="64928D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4F87853E">
                  <w:pPr>
                    <w:pStyle w:val="83"/>
                    <w:rPr>
                      <w:rFonts w:hint="default"/>
                    </w:rPr>
                  </w:pPr>
                </w:p>
              </w:tc>
              <w:tc>
                <w:tcPr>
                  <w:tcW w:w="636" w:type="pct"/>
                  <w:vMerge w:val="continue"/>
                  <w:vAlign w:val="center"/>
                </w:tcPr>
                <w:p w14:paraId="1D0F8420">
                  <w:pPr>
                    <w:pStyle w:val="83"/>
                    <w:rPr>
                      <w:rFonts w:hint="default"/>
                    </w:rPr>
                  </w:pPr>
                </w:p>
              </w:tc>
              <w:tc>
                <w:tcPr>
                  <w:tcW w:w="956" w:type="pct"/>
                  <w:vAlign w:val="center"/>
                </w:tcPr>
                <w:p w14:paraId="774C88FA">
                  <w:pPr>
                    <w:pStyle w:val="83"/>
                    <w:rPr>
                      <w:rFonts w:hint="default"/>
                    </w:rPr>
                  </w:pPr>
                  <w:r>
                    <w:t>悬浮物</w:t>
                  </w:r>
                </w:p>
              </w:tc>
              <w:tc>
                <w:tcPr>
                  <w:tcW w:w="478" w:type="pct"/>
                  <w:vAlign w:val="center"/>
                </w:tcPr>
                <w:p w14:paraId="4E2FD85A">
                  <w:pPr>
                    <w:pStyle w:val="83"/>
                    <w:rPr>
                      <w:rFonts w:hint="default"/>
                    </w:rPr>
                  </w:pPr>
                  <w:r>
                    <w:t>mg/L</w:t>
                  </w:r>
                </w:p>
              </w:tc>
              <w:tc>
                <w:tcPr>
                  <w:tcW w:w="955" w:type="pct"/>
                  <w:vAlign w:val="center"/>
                </w:tcPr>
                <w:p w14:paraId="1C8BE684">
                  <w:pPr>
                    <w:pStyle w:val="83"/>
                    <w:rPr>
                      <w:rFonts w:hint="default"/>
                    </w:rPr>
                  </w:pPr>
                  <w:r>
                    <w:t>15</w:t>
                  </w:r>
                </w:p>
              </w:tc>
              <w:tc>
                <w:tcPr>
                  <w:tcW w:w="637" w:type="pct"/>
                  <w:vAlign w:val="center"/>
                </w:tcPr>
                <w:p w14:paraId="3E17060F">
                  <w:pPr>
                    <w:pStyle w:val="83"/>
                    <w:rPr>
                      <w:rFonts w:hint="default"/>
                    </w:rPr>
                  </w:pPr>
                  <w:r>
                    <w:t>250</w:t>
                  </w:r>
                </w:p>
              </w:tc>
              <w:tc>
                <w:tcPr>
                  <w:tcW w:w="621" w:type="pct"/>
                  <w:vAlign w:val="center"/>
                </w:tcPr>
                <w:p w14:paraId="14503875">
                  <w:pPr>
                    <w:pStyle w:val="83"/>
                    <w:rPr>
                      <w:rFonts w:hint="default"/>
                    </w:rPr>
                  </w:pPr>
                  <w:r>
                    <w:t>达标</w:t>
                  </w:r>
                </w:p>
              </w:tc>
            </w:tr>
            <w:tr w14:paraId="0952ED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653E419F">
                  <w:pPr>
                    <w:pStyle w:val="83"/>
                    <w:rPr>
                      <w:rFonts w:hint="default"/>
                    </w:rPr>
                  </w:pPr>
                </w:p>
              </w:tc>
              <w:tc>
                <w:tcPr>
                  <w:tcW w:w="636" w:type="pct"/>
                  <w:vMerge w:val="continue"/>
                  <w:vAlign w:val="center"/>
                </w:tcPr>
                <w:p w14:paraId="206867E6">
                  <w:pPr>
                    <w:pStyle w:val="83"/>
                    <w:rPr>
                      <w:rFonts w:hint="default"/>
                    </w:rPr>
                  </w:pPr>
                </w:p>
              </w:tc>
              <w:tc>
                <w:tcPr>
                  <w:tcW w:w="956" w:type="pct"/>
                  <w:vAlign w:val="center"/>
                </w:tcPr>
                <w:p w14:paraId="6066B50D">
                  <w:pPr>
                    <w:pStyle w:val="83"/>
                    <w:rPr>
                      <w:rFonts w:hint="default"/>
                    </w:rPr>
                  </w:pPr>
                  <w:r>
                    <w:t>石油类</w:t>
                  </w:r>
                </w:p>
              </w:tc>
              <w:tc>
                <w:tcPr>
                  <w:tcW w:w="478" w:type="pct"/>
                  <w:vAlign w:val="center"/>
                </w:tcPr>
                <w:p w14:paraId="5F3C8D09">
                  <w:pPr>
                    <w:pStyle w:val="83"/>
                    <w:rPr>
                      <w:rFonts w:hint="default"/>
                    </w:rPr>
                  </w:pPr>
                  <w:r>
                    <w:t>mg/L</w:t>
                  </w:r>
                </w:p>
              </w:tc>
              <w:tc>
                <w:tcPr>
                  <w:tcW w:w="955" w:type="pct"/>
                  <w:vAlign w:val="center"/>
                </w:tcPr>
                <w:p w14:paraId="30FB7FE4">
                  <w:pPr>
                    <w:pStyle w:val="83"/>
                    <w:rPr>
                      <w:rFonts w:hint="default"/>
                    </w:rPr>
                  </w:pPr>
                  <w:r>
                    <w:t>0.06L</w:t>
                  </w:r>
                </w:p>
              </w:tc>
              <w:tc>
                <w:tcPr>
                  <w:tcW w:w="637" w:type="pct"/>
                  <w:vAlign w:val="center"/>
                </w:tcPr>
                <w:p w14:paraId="3B661DB4">
                  <w:pPr>
                    <w:pStyle w:val="83"/>
                    <w:rPr>
                      <w:rFonts w:hint="default"/>
                    </w:rPr>
                  </w:pPr>
                  <w:r>
                    <w:t>20</w:t>
                  </w:r>
                </w:p>
              </w:tc>
              <w:tc>
                <w:tcPr>
                  <w:tcW w:w="621" w:type="pct"/>
                  <w:vAlign w:val="center"/>
                </w:tcPr>
                <w:p w14:paraId="578E4DFE">
                  <w:pPr>
                    <w:pStyle w:val="83"/>
                    <w:rPr>
                      <w:rFonts w:hint="default"/>
                    </w:rPr>
                  </w:pPr>
                  <w:r>
                    <w:t>达标</w:t>
                  </w:r>
                </w:p>
              </w:tc>
            </w:tr>
            <w:tr w14:paraId="1E1162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4D74EEF9">
                  <w:pPr>
                    <w:pStyle w:val="83"/>
                    <w:rPr>
                      <w:rFonts w:hint="default"/>
                    </w:rPr>
                  </w:pPr>
                </w:p>
              </w:tc>
              <w:tc>
                <w:tcPr>
                  <w:tcW w:w="636" w:type="pct"/>
                  <w:vMerge w:val="continue"/>
                  <w:vAlign w:val="center"/>
                </w:tcPr>
                <w:p w14:paraId="1A009A3B">
                  <w:pPr>
                    <w:pStyle w:val="83"/>
                    <w:rPr>
                      <w:rFonts w:hint="default"/>
                    </w:rPr>
                  </w:pPr>
                </w:p>
              </w:tc>
              <w:tc>
                <w:tcPr>
                  <w:tcW w:w="956" w:type="pct"/>
                  <w:vAlign w:val="center"/>
                </w:tcPr>
                <w:p w14:paraId="24297FC2">
                  <w:pPr>
                    <w:pStyle w:val="83"/>
                    <w:rPr>
                      <w:rFonts w:hint="default"/>
                    </w:rPr>
                  </w:pPr>
                  <w:r>
                    <w:t>总氮</w:t>
                  </w:r>
                </w:p>
              </w:tc>
              <w:tc>
                <w:tcPr>
                  <w:tcW w:w="478" w:type="pct"/>
                  <w:vAlign w:val="center"/>
                </w:tcPr>
                <w:p w14:paraId="67170366">
                  <w:pPr>
                    <w:pStyle w:val="83"/>
                    <w:rPr>
                      <w:rFonts w:hint="default"/>
                    </w:rPr>
                  </w:pPr>
                  <w:r>
                    <w:t>mg/L</w:t>
                  </w:r>
                </w:p>
              </w:tc>
              <w:tc>
                <w:tcPr>
                  <w:tcW w:w="955" w:type="pct"/>
                  <w:vAlign w:val="center"/>
                </w:tcPr>
                <w:p w14:paraId="78EA5CA8">
                  <w:pPr>
                    <w:pStyle w:val="83"/>
                    <w:rPr>
                      <w:rFonts w:hint="default"/>
                    </w:rPr>
                  </w:pPr>
                  <w:r>
                    <w:t>22.7</w:t>
                  </w:r>
                </w:p>
              </w:tc>
              <w:tc>
                <w:tcPr>
                  <w:tcW w:w="637" w:type="pct"/>
                  <w:vAlign w:val="center"/>
                </w:tcPr>
                <w:p w14:paraId="51F19BDB">
                  <w:pPr>
                    <w:pStyle w:val="83"/>
                    <w:rPr>
                      <w:rFonts w:hint="default"/>
                    </w:rPr>
                  </w:pPr>
                  <w:r>
                    <w:t>50</w:t>
                  </w:r>
                </w:p>
              </w:tc>
              <w:tc>
                <w:tcPr>
                  <w:tcW w:w="621" w:type="pct"/>
                  <w:vAlign w:val="center"/>
                </w:tcPr>
                <w:p w14:paraId="3CF50018">
                  <w:pPr>
                    <w:pStyle w:val="83"/>
                    <w:rPr>
                      <w:rFonts w:hint="default"/>
                    </w:rPr>
                  </w:pPr>
                  <w:r>
                    <w:t>达标</w:t>
                  </w:r>
                </w:p>
              </w:tc>
            </w:tr>
            <w:tr w14:paraId="57247D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1C0BE4A7">
                  <w:pPr>
                    <w:pStyle w:val="83"/>
                    <w:rPr>
                      <w:rFonts w:hint="default"/>
                    </w:rPr>
                  </w:pPr>
                </w:p>
              </w:tc>
              <w:tc>
                <w:tcPr>
                  <w:tcW w:w="636" w:type="pct"/>
                  <w:vMerge w:val="continue"/>
                  <w:vAlign w:val="center"/>
                </w:tcPr>
                <w:p w14:paraId="0F4F9F02">
                  <w:pPr>
                    <w:pStyle w:val="83"/>
                    <w:rPr>
                      <w:rFonts w:hint="default"/>
                    </w:rPr>
                  </w:pPr>
                </w:p>
              </w:tc>
              <w:tc>
                <w:tcPr>
                  <w:tcW w:w="956" w:type="pct"/>
                  <w:vAlign w:val="center"/>
                </w:tcPr>
                <w:p w14:paraId="7C93B603">
                  <w:pPr>
                    <w:pStyle w:val="83"/>
                    <w:rPr>
                      <w:rFonts w:hint="default"/>
                    </w:rPr>
                  </w:pPr>
                  <w:r>
                    <w:t>总磷</w:t>
                  </w:r>
                </w:p>
              </w:tc>
              <w:tc>
                <w:tcPr>
                  <w:tcW w:w="478" w:type="pct"/>
                  <w:vAlign w:val="center"/>
                </w:tcPr>
                <w:p w14:paraId="49BA8A53">
                  <w:pPr>
                    <w:pStyle w:val="83"/>
                    <w:rPr>
                      <w:rFonts w:hint="default"/>
                    </w:rPr>
                  </w:pPr>
                  <w:r>
                    <w:t>mg/L</w:t>
                  </w:r>
                </w:p>
              </w:tc>
              <w:tc>
                <w:tcPr>
                  <w:tcW w:w="955" w:type="pct"/>
                  <w:vAlign w:val="center"/>
                </w:tcPr>
                <w:p w14:paraId="14596819">
                  <w:pPr>
                    <w:pStyle w:val="83"/>
                    <w:rPr>
                      <w:rFonts w:hint="default"/>
                    </w:rPr>
                  </w:pPr>
                  <w:r>
                    <w:t>0.06</w:t>
                  </w:r>
                </w:p>
              </w:tc>
              <w:tc>
                <w:tcPr>
                  <w:tcW w:w="637" w:type="pct"/>
                  <w:vAlign w:val="center"/>
                </w:tcPr>
                <w:p w14:paraId="44FB47AC">
                  <w:pPr>
                    <w:pStyle w:val="83"/>
                    <w:rPr>
                      <w:rFonts w:hint="default"/>
                    </w:rPr>
                  </w:pPr>
                  <w:r>
                    <w:t>4.0</w:t>
                  </w:r>
                </w:p>
              </w:tc>
              <w:tc>
                <w:tcPr>
                  <w:tcW w:w="621" w:type="pct"/>
                  <w:vAlign w:val="center"/>
                </w:tcPr>
                <w:p w14:paraId="76F95AFC">
                  <w:pPr>
                    <w:pStyle w:val="83"/>
                    <w:rPr>
                      <w:rFonts w:hint="default"/>
                    </w:rPr>
                  </w:pPr>
                  <w:r>
                    <w:t>达标</w:t>
                  </w:r>
                </w:p>
              </w:tc>
            </w:tr>
            <w:tr w14:paraId="6A45E4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17" w:type="pct"/>
                  <w:vMerge w:val="continue"/>
                  <w:vAlign w:val="center"/>
                </w:tcPr>
                <w:p w14:paraId="2DDCEBE1">
                  <w:pPr>
                    <w:pStyle w:val="83"/>
                    <w:rPr>
                      <w:rFonts w:hint="default"/>
                    </w:rPr>
                  </w:pPr>
                </w:p>
              </w:tc>
              <w:tc>
                <w:tcPr>
                  <w:tcW w:w="636" w:type="pct"/>
                  <w:vMerge w:val="continue"/>
                  <w:vAlign w:val="center"/>
                </w:tcPr>
                <w:p w14:paraId="0F51E005">
                  <w:pPr>
                    <w:pStyle w:val="83"/>
                    <w:rPr>
                      <w:rFonts w:hint="default"/>
                    </w:rPr>
                  </w:pPr>
                </w:p>
              </w:tc>
              <w:tc>
                <w:tcPr>
                  <w:tcW w:w="956" w:type="pct"/>
                  <w:vAlign w:val="center"/>
                </w:tcPr>
                <w:p w14:paraId="530BEC05">
                  <w:pPr>
                    <w:pStyle w:val="83"/>
                    <w:rPr>
                      <w:rFonts w:hint="default"/>
                    </w:rPr>
                  </w:pPr>
                  <w:r>
                    <w:t>总有机碳</w:t>
                  </w:r>
                </w:p>
              </w:tc>
              <w:tc>
                <w:tcPr>
                  <w:tcW w:w="478" w:type="pct"/>
                  <w:vAlign w:val="center"/>
                </w:tcPr>
                <w:p w14:paraId="0B6A4B3E">
                  <w:pPr>
                    <w:pStyle w:val="83"/>
                    <w:rPr>
                      <w:rFonts w:hint="default"/>
                    </w:rPr>
                  </w:pPr>
                  <w:r>
                    <w:t>mg/L</w:t>
                  </w:r>
                </w:p>
              </w:tc>
              <w:tc>
                <w:tcPr>
                  <w:tcW w:w="955" w:type="pct"/>
                  <w:vAlign w:val="center"/>
                </w:tcPr>
                <w:p w14:paraId="07D551AF">
                  <w:pPr>
                    <w:pStyle w:val="83"/>
                    <w:rPr>
                      <w:rFonts w:hint="default"/>
                    </w:rPr>
                  </w:pPr>
                  <w:r>
                    <w:t>21.8</w:t>
                  </w:r>
                </w:p>
              </w:tc>
              <w:tc>
                <w:tcPr>
                  <w:tcW w:w="637" w:type="pct"/>
                  <w:vAlign w:val="center"/>
                </w:tcPr>
                <w:p w14:paraId="1DAB56FB">
                  <w:pPr>
                    <w:pStyle w:val="83"/>
                    <w:rPr>
                      <w:rFonts w:hint="default"/>
                    </w:rPr>
                  </w:pPr>
                  <w:r>
                    <w:t>150</w:t>
                  </w:r>
                </w:p>
              </w:tc>
              <w:tc>
                <w:tcPr>
                  <w:tcW w:w="621" w:type="pct"/>
                  <w:vAlign w:val="center"/>
                </w:tcPr>
                <w:p w14:paraId="51349BB2">
                  <w:pPr>
                    <w:pStyle w:val="83"/>
                    <w:rPr>
                      <w:rFonts w:hint="default"/>
                    </w:rPr>
                  </w:pPr>
                  <w:r>
                    <w:t>达标</w:t>
                  </w:r>
                </w:p>
              </w:tc>
            </w:tr>
          </w:tbl>
          <w:p w14:paraId="165E4D8B">
            <w:pPr>
              <w:ind w:firstLine="480"/>
            </w:pPr>
            <w:r>
              <w:rPr>
                <w:rFonts w:hint="eastAsia"/>
              </w:rPr>
              <w:t>综上所述，企业现有综合废水处理站外排废水（反渗透浓水）满足《合成树脂工业污染物排放标准》（GB31572-2015，含2024年修改单）表1水污染物排放限值间接排放标准，pH、SS、COD、BOD</w:t>
            </w:r>
            <w:r>
              <w:rPr>
                <w:rFonts w:hint="eastAsia"/>
                <w:vertAlign w:val="subscript"/>
              </w:rPr>
              <w:t>5</w:t>
            </w:r>
            <w:r>
              <w:rPr>
                <w:rFonts w:hint="eastAsia"/>
              </w:rPr>
              <w:t>、氨氮、总磷、总氮、总有机碳等污染物满足《福建永荣锦江股份有限公司生产废水排放标准协议》限值要求，石油类满足《污水排入城镇下水道水质标准》（GB/T31962-2015）表1中的B级标准。</w:t>
            </w:r>
          </w:p>
          <w:p w14:paraId="3AD1902F">
            <w:pPr>
              <w:pStyle w:val="4"/>
              <w:spacing w:before="120" w:after="0" w:afterLines="0"/>
            </w:pPr>
            <w:r>
              <w:rPr>
                <w:rFonts w:hint="eastAsia"/>
              </w:rPr>
              <w:t>2.4.3 噪声</w:t>
            </w:r>
          </w:p>
          <w:p w14:paraId="149527E1">
            <w:pPr>
              <w:ind w:firstLine="480"/>
            </w:pPr>
            <w:r>
              <w:rPr>
                <w:rFonts w:hint="eastAsia"/>
              </w:rPr>
              <w:t>现有工程的主要噪声源是各车间的生产设备，噪声声级为70~100dB（A），噪声排放达标性分析采用福建九五检测技术服务有限公司出具的企业2025年自行监测报告中的监测数据（报告编号：JWJC251101712），详见表2.4-14。</w:t>
            </w:r>
          </w:p>
          <w:p w14:paraId="39279D2F">
            <w:pPr>
              <w:pStyle w:val="13"/>
            </w:pPr>
            <w:r>
              <w:rPr>
                <w:rFonts w:hint="eastAsia"/>
              </w:rPr>
              <w:t>表2.4-15  企业噪声监测结果一览表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225"/>
              <w:gridCol w:w="2225"/>
              <w:gridCol w:w="2225"/>
              <w:gridCol w:w="2225"/>
            </w:tblGrid>
            <w:tr w14:paraId="29E44F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50" w:type="pct"/>
                  <w:vMerge w:val="restart"/>
                  <w:vAlign w:val="center"/>
                </w:tcPr>
                <w:p w14:paraId="3FC5E1A0">
                  <w:pPr>
                    <w:pStyle w:val="83"/>
                    <w:rPr>
                      <w:rFonts w:hint="default"/>
                    </w:rPr>
                  </w:pPr>
                  <w:r>
                    <w:t>监测日期</w:t>
                  </w:r>
                </w:p>
              </w:tc>
              <w:tc>
                <w:tcPr>
                  <w:tcW w:w="1250" w:type="pct"/>
                  <w:vMerge w:val="restart"/>
                  <w:vAlign w:val="center"/>
                </w:tcPr>
                <w:p w14:paraId="256D90E4">
                  <w:pPr>
                    <w:pStyle w:val="83"/>
                    <w:rPr>
                      <w:rFonts w:hint="default"/>
                    </w:rPr>
                  </w:pPr>
                  <w:r>
                    <w:t>监测点位</w:t>
                  </w:r>
                </w:p>
              </w:tc>
              <w:tc>
                <w:tcPr>
                  <w:tcW w:w="2500" w:type="pct"/>
                  <w:gridSpan w:val="2"/>
                  <w:vAlign w:val="center"/>
                </w:tcPr>
                <w:p w14:paraId="775C4587">
                  <w:pPr>
                    <w:pStyle w:val="83"/>
                    <w:rPr>
                      <w:rFonts w:hint="default"/>
                    </w:rPr>
                  </w:pPr>
                  <w:r>
                    <w:t>监测结果 Leq  dB(A)</w:t>
                  </w:r>
                </w:p>
              </w:tc>
            </w:tr>
            <w:tr w14:paraId="7B1C7D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50" w:type="pct"/>
                  <w:vMerge w:val="continue"/>
                  <w:vAlign w:val="center"/>
                </w:tcPr>
                <w:p w14:paraId="36DAB839">
                  <w:pPr>
                    <w:pStyle w:val="83"/>
                    <w:rPr>
                      <w:rFonts w:hint="default"/>
                    </w:rPr>
                  </w:pPr>
                </w:p>
              </w:tc>
              <w:tc>
                <w:tcPr>
                  <w:tcW w:w="1250" w:type="pct"/>
                  <w:vMerge w:val="continue"/>
                  <w:vAlign w:val="center"/>
                </w:tcPr>
                <w:p w14:paraId="7FDA31FA">
                  <w:pPr>
                    <w:pStyle w:val="83"/>
                    <w:rPr>
                      <w:rFonts w:hint="default"/>
                    </w:rPr>
                  </w:pPr>
                </w:p>
              </w:tc>
              <w:tc>
                <w:tcPr>
                  <w:tcW w:w="1250" w:type="pct"/>
                  <w:vAlign w:val="center"/>
                </w:tcPr>
                <w:p w14:paraId="70BC4AC3">
                  <w:pPr>
                    <w:pStyle w:val="83"/>
                    <w:rPr>
                      <w:rFonts w:hint="default"/>
                    </w:rPr>
                  </w:pPr>
                  <w:r>
                    <w:t>昼间</w:t>
                  </w:r>
                </w:p>
              </w:tc>
              <w:tc>
                <w:tcPr>
                  <w:tcW w:w="1250" w:type="pct"/>
                  <w:vAlign w:val="center"/>
                </w:tcPr>
                <w:p w14:paraId="028D204B">
                  <w:pPr>
                    <w:pStyle w:val="83"/>
                    <w:rPr>
                      <w:rFonts w:hint="default"/>
                    </w:rPr>
                  </w:pPr>
                  <w:r>
                    <w:t>夜间</w:t>
                  </w:r>
                </w:p>
              </w:tc>
            </w:tr>
            <w:tr w14:paraId="4A2DE8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50" w:type="pct"/>
                  <w:vMerge w:val="restart"/>
                  <w:vAlign w:val="center"/>
                </w:tcPr>
                <w:p w14:paraId="0F0EBBBC">
                  <w:pPr>
                    <w:pStyle w:val="83"/>
                    <w:rPr>
                      <w:rFonts w:hint="default"/>
                    </w:rPr>
                  </w:pPr>
                  <w:r>
                    <w:t>2025.11.19</w:t>
                  </w:r>
                </w:p>
              </w:tc>
              <w:tc>
                <w:tcPr>
                  <w:tcW w:w="1250" w:type="pct"/>
                  <w:vAlign w:val="center"/>
                </w:tcPr>
                <w:p w14:paraId="4344C9FA">
                  <w:pPr>
                    <w:pStyle w:val="83"/>
                    <w:rPr>
                      <w:rFonts w:hint="default"/>
                    </w:rPr>
                  </w:pPr>
                  <w:r>
                    <w:t>企业厂界北侧外1m</w:t>
                  </w:r>
                </w:p>
              </w:tc>
              <w:tc>
                <w:tcPr>
                  <w:tcW w:w="1250" w:type="pct"/>
                  <w:vAlign w:val="center"/>
                </w:tcPr>
                <w:p w14:paraId="41055BE1">
                  <w:pPr>
                    <w:pStyle w:val="83"/>
                    <w:rPr>
                      <w:rFonts w:hint="default"/>
                    </w:rPr>
                  </w:pPr>
                  <w:r>
                    <w:t>61.9</w:t>
                  </w:r>
                </w:p>
              </w:tc>
              <w:tc>
                <w:tcPr>
                  <w:tcW w:w="1250" w:type="pct"/>
                  <w:vAlign w:val="center"/>
                </w:tcPr>
                <w:p w14:paraId="05A29B56">
                  <w:pPr>
                    <w:pStyle w:val="83"/>
                    <w:rPr>
                      <w:rFonts w:hint="default"/>
                    </w:rPr>
                  </w:pPr>
                  <w:r>
                    <w:t>49.8</w:t>
                  </w:r>
                </w:p>
              </w:tc>
            </w:tr>
            <w:tr w14:paraId="10646B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50" w:type="pct"/>
                  <w:vMerge w:val="continue"/>
                  <w:vAlign w:val="center"/>
                </w:tcPr>
                <w:p w14:paraId="5E3CF0BB">
                  <w:pPr>
                    <w:pStyle w:val="83"/>
                    <w:rPr>
                      <w:rFonts w:hint="default"/>
                    </w:rPr>
                  </w:pPr>
                </w:p>
              </w:tc>
              <w:tc>
                <w:tcPr>
                  <w:tcW w:w="1250" w:type="pct"/>
                  <w:vAlign w:val="center"/>
                </w:tcPr>
                <w:p w14:paraId="62EC104C">
                  <w:pPr>
                    <w:pStyle w:val="83"/>
                    <w:rPr>
                      <w:rFonts w:hint="default"/>
                    </w:rPr>
                  </w:pPr>
                  <w:r>
                    <w:t>企业厂界东侧外1m</w:t>
                  </w:r>
                </w:p>
              </w:tc>
              <w:tc>
                <w:tcPr>
                  <w:tcW w:w="1250" w:type="pct"/>
                  <w:vAlign w:val="center"/>
                </w:tcPr>
                <w:p w14:paraId="153A0FB3">
                  <w:pPr>
                    <w:pStyle w:val="83"/>
                    <w:rPr>
                      <w:rFonts w:hint="default"/>
                    </w:rPr>
                  </w:pPr>
                  <w:r>
                    <w:t>63.4</w:t>
                  </w:r>
                </w:p>
              </w:tc>
              <w:tc>
                <w:tcPr>
                  <w:tcW w:w="1250" w:type="pct"/>
                  <w:vAlign w:val="center"/>
                </w:tcPr>
                <w:p w14:paraId="6F790291">
                  <w:pPr>
                    <w:pStyle w:val="83"/>
                    <w:rPr>
                      <w:rFonts w:hint="default"/>
                    </w:rPr>
                  </w:pPr>
                  <w:r>
                    <w:t>51.7</w:t>
                  </w:r>
                </w:p>
              </w:tc>
            </w:tr>
            <w:tr w14:paraId="555DB3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1250" w:type="pct"/>
                  <w:vMerge w:val="continue"/>
                  <w:vAlign w:val="center"/>
                </w:tcPr>
                <w:p w14:paraId="778BBD00">
                  <w:pPr>
                    <w:pStyle w:val="83"/>
                    <w:rPr>
                      <w:rFonts w:hint="default"/>
                    </w:rPr>
                  </w:pPr>
                </w:p>
              </w:tc>
              <w:tc>
                <w:tcPr>
                  <w:tcW w:w="1250" w:type="pct"/>
                  <w:vAlign w:val="center"/>
                </w:tcPr>
                <w:p w14:paraId="46DEAB86">
                  <w:pPr>
                    <w:pStyle w:val="83"/>
                    <w:rPr>
                      <w:rFonts w:hint="default"/>
                    </w:rPr>
                  </w:pPr>
                  <w:r>
                    <w:t>企业厂界南侧外1m</w:t>
                  </w:r>
                </w:p>
              </w:tc>
              <w:tc>
                <w:tcPr>
                  <w:tcW w:w="1250" w:type="pct"/>
                  <w:vAlign w:val="center"/>
                </w:tcPr>
                <w:p w14:paraId="67671DB3">
                  <w:pPr>
                    <w:pStyle w:val="83"/>
                    <w:rPr>
                      <w:rFonts w:hint="default"/>
                    </w:rPr>
                  </w:pPr>
                  <w:r>
                    <w:t>59.4</w:t>
                  </w:r>
                </w:p>
              </w:tc>
              <w:tc>
                <w:tcPr>
                  <w:tcW w:w="1250" w:type="pct"/>
                  <w:vAlign w:val="center"/>
                </w:tcPr>
                <w:p w14:paraId="79EB5D0D">
                  <w:pPr>
                    <w:pStyle w:val="83"/>
                    <w:rPr>
                      <w:rFonts w:hint="default"/>
                    </w:rPr>
                  </w:pPr>
                  <w:r>
                    <w:t>48.6</w:t>
                  </w:r>
                </w:p>
              </w:tc>
            </w:tr>
            <w:tr w14:paraId="0DEB13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50" w:type="pct"/>
                  <w:vMerge w:val="continue"/>
                  <w:vAlign w:val="center"/>
                </w:tcPr>
                <w:p w14:paraId="06C31313">
                  <w:pPr>
                    <w:pStyle w:val="83"/>
                    <w:rPr>
                      <w:rFonts w:hint="default"/>
                    </w:rPr>
                  </w:pPr>
                </w:p>
              </w:tc>
              <w:tc>
                <w:tcPr>
                  <w:tcW w:w="1250" w:type="pct"/>
                  <w:vAlign w:val="center"/>
                </w:tcPr>
                <w:p w14:paraId="04BF72DC">
                  <w:pPr>
                    <w:pStyle w:val="83"/>
                    <w:rPr>
                      <w:rFonts w:hint="default"/>
                    </w:rPr>
                  </w:pPr>
                  <w:r>
                    <w:t>企业厂界西侧外1m</w:t>
                  </w:r>
                </w:p>
              </w:tc>
              <w:tc>
                <w:tcPr>
                  <w:tcW w:w="1250" w:type="pct"/>
                  <w:vAlign w:val="center"/>
                </w:tcPr>
                <w:p w14:paraId="3FA602D1">
                  <w:pPr>
                    <w:pStyle w:val="83"/>
                    <w:rPr>
                      <w:rFonts w:hint="default"/>
                    </w:rPr>
                  </w:pPr>
                  <w:r>
                    <w:t>58.6</w:t>
                  </w:r>
                </w:p>
              </w:tc>
              <w:tc>
                <w:tcPr>
                  <w:tcW w:w="1250" w:type="pct"/>
                  <w:vAlign w:val="center"/>
                </w:tcPr>
                <w:p w14:paraId="5EC6DBCC">
                  <w:pPr>
                    <w:pStyle w:val="83"/>
                    <w:rPr>
                      <w:rFonts w:hint="default"/>
                    </w:rPr>
                  </w:pPr>
                  <w:r>
                    <w:t>49.3</w:t>
                  </w:r>
                </w:p>
              </w:tc>
            </w:tr>
            <w:tr w14:paraId="7E51D9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00" w:type="pct"/>
                  <w:gridSpan w:val="2"/>
                  <w:vAlign w:val="center"/>
                </w:tcPr>
                <w:p w14:paraId="0E47A44F">
                  <w:pPr>
                    <w:pStyle w:val="83"/>
                    <w:rPr>
                      <w:rFonts w:hint="default"/>
                    </w:rPr>
                  </w:pPr>
                  <w:r>
                    <w:t>标准限值</w:t>
                  </w:r>
                </w:p>
              </w:tc>
              <w:tc>
                <w:tcPr>
                  <w:tcW w:w="1250" w:type="pct"/>
                  <w:vAlign w:val="center"/>
                </w:tcPr>
                <w:p w14:paraId="6D772D75">
                  <w:pPr>
                    <w:pStyle w:val="83"/>
                    <w:rPr>
                      <w:rFonts w:hint="default"/>
                    </w:rPr>
                  </w:pPr>
                  <w:r>
                    <w:t>65</w:t>
                  </w:r>
                </w:p>
              </w:tc>
              <w:tc>
                <w:tcPr>
                  <w:tcW w:w="1250" w:type="pct"/>
                  <w:vAlign w:val="center"/>
                </w:tcPr>
                <w:p w14:paraId="1017DBA4">
                  <w:pPr>
                    <w:pStyle w:val="83"/>
                    <w:rPr>
                      <w:rFonts w:hint="default"/>
                    </w:rPr>
                  </w:pPr>
                  <w:r>
                    <w:t>55</w:t>
                  </w:r>
                </w:p>
              </w:tc>
            </w:tr>
            <w:tr w14:paraId="2CB22C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2500" w:type="pct"/>
                  <w:gridSpan w:val="2"/>
                  <w:vAlign w:val="center"/>
                </w:tcPr>
                <w:p w14:paraId="2500A396">
                  <w:pPr>
                    <w:pStyle w:val="83"/>
                    <w:rPr>
                      <w:rFonts w:hint="default"/>
                    </w:rPr>
                  </w:pPr>
                  <w:r>
                    <w:t>达标情况</w:t>
                  </w:r>
                </w:p>
              </w:tc>
              <w:tc>
                <w:tcPr>
                  <w:tcW w:w="1250" w:type="pct"/>
                  <w:vAlign w:val="center"/>
                </w:tcPr>
                <w:p w14:paraId="24907FA5">
                  <w:pPr>
                    <w:pStyle w:val="83"/>
                    <w:rPr>
                      <w:rFonts w:hint="default"/>
                    </w:rPr>
                  </w:pPr>
                  <w:r>
                    <w:t>达标</w:t>
                  </w:r>
                </w:p>
              </w:tc>
              <w:tc>
                <w:tcPr>
                  <w:tcW w:w="1250" w:type="pct"/>
                  <w:vAlign w:val="center"/>
                </w:tcPr>
                <w:p w14:paraId="567DA1B9">
                  <w:pPr>
                    <w:pStyle w:val="83"/>
                    <w:rPr>
                      <w:rFonts w:hint="default"/>
                    </w:rPr>
                  </w:pPr>
                  <w:r>
                    <w:t>达标</w:t>
                  </w:r>
                </w:p>
              </w:tc>
            </w:tr>
            <w:tr w14:paraId="258204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000" w:type="pct"/>
                  <w:gridSpan w:val="4"/>
                  <w:vAlign w:val="center"/>
                </w:tcPr>
                <w:p w14:paraId="4A687CA1">
                  <w:pPr>
                    <w:pStyle w:val="83"/>
                    <w:rPr>
                      <w:rFonts w:hint="default"/>
                    </w:rPr>
                  </w:pPr>
                  <w:r>
                    <w:t>备注：厂界噪声执行《工业企业厂界环境噪声排放标准》中3类标准限值。</w:t>
                  </w:r>
                </w:p>
              </w:tc>
            </w:tr>
          </w:tbl>
          <w:p w14:paraId="07F4994C">
            <w:pPr>
              <w:ind w:firstLine="480"/>
            </w:pPr>
            <w:r>
              <w:rPr>
                <w:rFonts w:hint="eastAsia"/>
              </w:rPr>
              <w:t>综上所述，企业厂界噪声能够满足《工业企业厂界环境噪声排放标准》表1中3类标准限值。</w:t>
            </w:r>
          </w:p>
          <w:p w14:paraId="4DA99B73">
            <w:pPr>
              <w:pStyle w:val="4"/>
              <w:spacing w:before="120" w:after="0" w:afterLines="0"/>
            </w:pPr>
            <w:r>
              <w:rPr>
                <w:rFonts w:hint="eastAsia"/>
              </w:rPr>
              <w:t>2.4.4 固废</w:t>
            </w:r>
          </w:p>
          <w:p w14:paraId="7EBD765F">
            <w:pPr>
              <w:ind w:firstLine="480"/>
            </w:pPr>
            <w:r>
              <w:rPr>
                <w:rFonts w:hint="eastAsia"/>
              </w:rPr>
              <w:t>现有项目固废主要为一般工业固废、生活垃圾和危险废物。燃煤锅炉的灰渣作为一般固废外售综合利用，污水站污泥由燃煤锅炉进行焚烧处置；生活垃圾收集后由环卫部门定期处理；废油剂、废活性炭、聚合催化剂、过滤残渣、废离子交换树脂及实验室废液等危险废物定期委托福建三明海中环保科技有限公司处置。根据现场检查，项目固体废物均得到妥善处置。</w:t>
            </w:r>
          </w:p>
          <w:p w14:paraId="4573146C">
            <w:pPr>
              <w:pStyle w:val="13"/>
            </w:pPr>
            <w:r>
              <w:rPr>
                <w:rFonts w:hint="eastAsia"/>
              </w:rPr>
              <w:t>表2.4-15  现有工程固废产生情况一览表</w:t>
            </w:r>
          </w:p>
          <w:tbl>
            <w:tblPr>
              <w:tblStyle w:val="17"/>
              <w:tblpPr w:leftFromText="180" w:rightFromText="180" w:vertAnchor="text" w:tblpX="1"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916"/>
              <w:gridCol w:w="1234"/>
              <w:gridCol w:w="2188"/>
              <w:gridCol w:w="1655"/>
              <w:gridCol w:w="2907"/>
            </w:tblGrid>
            <w:tr w14:paraId="53F824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2437" w:type="pct"/>
                  <w:gridSpan w:val="3"/>
                  <w:vAlign w:val="center"/>
                </w:tcPr>
                <w:p w14:paraId="6AE33B17">
                  <w:pPr>
                    <w:pStyle w:val="83"/>
                    <w:rPr>
                      <w:rFonts w:hint="default"/>
                    </w:rPr>
                  </w:pPr>
                  <w:r>
                    <w:t>项目</w:t>
                  </w:r>
                </w:p>
              </w:tc>
              <w:tc>
                <w:tcPr>
                  <w:tcW w:w="930" w:type="pct"/>
                  <w:vAlign w:val="center"/>
                </w:tcPr>
                <w:p w14:paraId="2A5EC29D">
                  <w:pPr>
                    <w:pStyle w:val="83"/>
                    <w:rPr>
                      <w:rFonts w:hint="default"/>
                    </w:rPr>
                  </w:pPr>
                  <w:r>
                    <w:t>产生量（t/a）</w:t>
                  </w:r>
                </w:p>
              </w:tc>
              <w:tc>
                <w:tcPr>
                  <w:tcW w:w="1632" w:type="pct"/>
                  <w:vAlign w:val="center"/>
                </w:tcPr>
                <w:p w14:paraId="105CD230">
                  <w:pPr>
                    <w:pStyle w:val="83"/>
                    <w:rPr>
                      <w:rFonts w:hint="default"/>
                    </w:rPr>
                  </w:pPr>
                  <w:r>
                    <w:t>治理措施</w:t>
                  </w:r>
                </w:p>
              </w:tc>
            </w:tr>
            <w:tr w14:paraId="25FEE6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restart"/>
                  <w:vAlign w:val="center"/>
                </w:tcPr>
                <w:p w14:paraId="718BCB6E">
                  <w:pPr>
                    <w:pStyle w:val="83"/>
                    <w:rPr>
                      <w:rFonts w:hint="default"/>
                    </w:rPr>
                  </w:pPr>
                  <w:r>
                    <w:t>固废</w:t>
                  </w:r>
                </w:p>
              </w:tc>
              <w:tc>
                <w:tcPr>
                  <w:tcW w:w="693" w:type="pct"/>
                  <w:vMerge w:val="restart"/>
                  <w:vAlign w:val="center"/>
                </w:tcPr>
                <w:p w14:paraId="1B082A75">
                  <w:pPr>
                    <w:pStyle w:val="83"/>
                    <w:rPr>
                      <w:rFonts w:hint="default"/>
                    </w:rPr>
                  </w:pPr>
                  <w:r>
                    <w:t>一般固废</w:t>
                  </w:r>
                </w:p>
              </w:tc>
              <w:tc>
                <w:tcPr>
                  <w:tcW w:w="1228" w:type="pct"/>
                  <w:vAlign w:val="center"/>
                </w:tcPr>
                <w:p w14:paraId="235188C5">
                  <w:pPr>
                    <w:pStyle w:val="83"/>
                    <w:rPr>
                      <w:rFonts w:hint="default"/>
                    </w:rPr>
                  </w:pPr>
                  <w:r>
                    <w:t>燃煤锅炉的灰渣</w:t>
                  </w:r>
                </w:p>
              </w:tc>
              <w:tc>
                <w:tcPr>
                  <w:tcW w:w="930" w:type="pct"/>
                  <w:vAlign w:val="center"/>
                </w:tcPr>
                <w:p w14:paraId="09F8C53C">
                  <w:pPr>
                    <w:pStyle w:val="83"/>
                    <w:rPr>
                      <w:rFonts w:hint="default"/>
                    </w:rPr>
                  </w:pPr>
                  <w:r>
                    <w:t>884</w:t>
                  </w:r>
                </w:p>
              </w:tc>
              <w:tc>
                <w:tcPr>
                  <w:tcW w:w="1632" w:type="pct"/>
                  <w:vAlign w:val="center"/>
                </w:tcPr>
                <w:p w14:paraId="27B35635">
                  <w:pPr>
                    <w:pStyle w:val="83"/>
                    <w:rPr>
                      <w:rFonts w:hint="default"/>
                    </w:rPr>
                  </w:pPr>
                  <w:r>
                    <w:t>外售综合利用</w:t>
                  </w:r>
                </w:p>
              </w:tc>
            </w:tr>
            <w:tr w14:paraId="32A84E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3EE54AC0">
                  <w:pPr>
                    <w:pStyle w:val="83"/>
                    <w:rPr>
                      <w:rFonts w:hint="default"/>
                    </w:rPr>
                  </w:pPr>
                </w:p>
              </w:tc>
              <w:tc>
                <w:tcPr>
                  <w:tcW w:w="693" w:type="pct"/>
                  <w:vMerge w:val="continue"/>
                  <w:vAlign w:val="center"/>
                </w:tcPr>
                <w:p w14:paraId="7D718CE6">
                  <w:pPr>
                    <w:pStyle w:val="83"/>
                    <w:rPr>
                      <w:rFonts w:hint="default"/>
                    </w:rPr>
                  </w:pPr>
                </w:p>
              </w:tc>
              <w:tc>
                <w:tcPr>
                  <w:tcW w:w="1228" w:type="pct"/>
                  <w:vAlign w:val="center"/>
                </w:tcPr>
                <w:p w14:paraId="08375C01">
                  <w:pPr>
                    <w:pStyle w:val="83"/>
                    <w:rPr>
                      <w:rFonts w:hint="default"/>
                    </w:rPr>
                  </w:pPr>
                  <w:r>
                    <w:t>污水站污泥</w:t>
                  </w:r>
                </w:p>
              </w:tc>
              <w:tc>
                <w:tcPr>
                  <w:tcW w:w="930" w:type="pct"/>
                  <w:vAlign w:val="center"/>
                </w:tcPr>
                <w:p w14:paraId="4ED13CFF">
                  <w:pPr>
                    <w:pStyle w:val="83"/>
                    <w:rPr>
                      <w:rFonts w:hint="default"/>
                    </w:rPr>
                  </w:pPr>
                  <w:r>
                    <w:t>324</w:t>
                  </w:r>
                </w:p>
              </w:tc>
              <w:tc>
                <w:tcPr>
                  <w:tcW w:w="1632" w:type="pct"/>
                  <w:vAlign w:val="center"/>
                </w:tcPr>
                <w:p w14:paraId="4C1DEA0A">
                  <w:pPr>
                    <w:pStyle w:val="83"/>
                    <w:rPr>
                      <w:rFonts w:hint="default"/>
                    </w:rPr>
                  </w:pPr>
                  <w:r>
                    <w:t>燃煤锅炉焚烧处置</w:t>
                  </w:r>
                </w:p>
              </w:tc>
            </w:tr>
            <w:tr w14:paraId="1A14E69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7DDB98DF">
                  <w:pPr>
                    <w:pStyle w:val="83"/>
                    <w:rPr>
                      <w:rFonts w:hint="default"/>
                    </w:rPr>
                  </w:pPr>
                </w:p>
              </w:tc>
              <w:tc>
                <w:tcPr>
                  <w:tcW w:w="693" w:type="pct"/>
                  <w:vMerge w:val="continue"/>
                  <w:vAlign w:val="center"/>
                </w:tcPr>
                <w:p w14:paraId="6C848EAE">
                  <w:pPr>
                    <w:pStyle w:val="83"/>
                    <w:rPr>
                      <w:rFonts w:hint="default"/>
                    </w:rPr>
                  </w:pPr>
                </w:p>
              </w:tc>
              <w:tc>
                <w:tcPr>
                  <w:tcW w:w="1228" w:type="pct"/>
                  <w:vAlign w:val="center"/>
                </w:tcPr>
                <w:p w14:paraId="3462AA2A">
                  <w:pPr>
                    <w:pStyle w:val="83"/>
                    <w:rPr>
                      <w:rFonts w:hint="default"/>
                    </w:rPr>
                  </w:pPr>
                  <w:r>
                    <w:t>不合格原料</w:t>
                  </w:r>
                </w:p>
              </w:tc>
              <w:tc>
                <w:tcPr>
                  <w:tcW w:w="930" w:type="pct"/>
                  <w:vAlign w:val="center"/>
                </w:tcPr>
                <w:p w14:paraId="4826D7F6">
                  <w:pPr>
                    <w:pStyle w:val="83"/>
                    <w:rPr>
                      <w:rFonts w:hint="default"/>
                    </w:rPr>
                  </w:pPr>
                  <w:r>
                    <w:t>10</w:t>
                  </w:r>
                </w:p>
              </w:tc>
              <w:tc>
                <w:tcPr>
                  <w:tcW w:w="1632" w:type="pct"/>
                  <w:vAlign w:val="center"/>
                </w:tcPr>
                <w:p w14:paraId="1537D5E1">
                  <w:pPr>
                    <w:pStyle w:val="83"/>
                    <w:rPr>
                      <w:rFonts w:hint="default"/>
                    </w:rPr>
                  </w:pPr>
                  <w:r>
                    <w:t>外售综合利用</w:t>
                  </w:r>
                </w:p>
              </w:tc>
            </w:tr>
            <w:tr w14:paraId="46E2DF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2EDEFE22">
                  <w:pPr>
                    <w:pStyle w:val="83"/>
                    <w:rPr>
                      <w:rFonts w:hint="default"/>
                    </w:rPr>
                  </w:pPr>
                </w:p>
              </w:tc>
              <w:tc>
                <w:tcPr>
                  <w:tcW w:w="693" w:type="pct"/>
                  <w:vMerge w:val="restart"/>
                  <w:vAlign w:val="center"/>
                </w:tcPr>
                <w:p w14:paraId="3BC81892">
                  <w:pPr>
                    <w:pStyle w:val="83"/>
                    <w:rPr>
                      <w:rFonts w:hint="default"/>
                    </w:rPr>
                  </w:pPr>
                  <w:r>
                    <w:rPr>
                      <w:lang w:val="zh-CN"/>
                    </w:rPr>
                    <w:t>危险废物</w:t>
                  </w:r>
                </w:p>
              </w:tc>
              <w:tc>
                <w:tcPr>
                  <w:tcW w:w="1228" w:type="pct"/>
                  <w:vAlign w:val="center"/>
                </w:tcPr>
                <w:p w14:paraId="0663780D">
                  <w:pPr>
                    <w:pStyle w:val="83"/>
                    <w:rPr>
                      <w:rFonts w:hint="default"/>
                    </w:rPr>
                  </w:pPr>
                  <w:r>
                    <w:t>废油剂</w:t>
                  </w:r>
                </w:p>
              </w:tc>
              <w:tc>
                <w:tcPr>
                  <w:tcW w:w="930" w:type="pct"/>
                  <w:vAlign w:val="center"/>
                </w:tcPr>
                <w:p w14:paraId="31014A7D">
                  <w:pPr>
                    <w:pStyle w:val="83"/>
                    <w:rPr>
                      <w:rFonts w:hint="default"/>
                    </w:rPr>
                  </w:pPr>
                  <w:r>
                    <w:t>3.976</w:t>
                  </w:r>
                </w:p>
              </w:tc>
              <w:tc>
                <w:tcPr>
                  <w:tcW w:w="1632" w:type="pct"/>
                  <w:vMerge w:val="restart"/>
                  <w:vAlign w:val="center"/>
                </w:tcPr>
                <w:p w14:paraId="199366FE">
                  <w:pPr>
                    <w:pStyle w:val="83"/>
                    <w:rPr>
                      <w:rFonts w:hint="default"/>
                    </w:rPr>
                  </w:pPr>
                  <w:r>
                    <w:t>暂存于污水处理站旁的危废暂存间，定期委托福建三明海中环保科技有限公司处置。</w:t>
                  </w:r>
                </w:p>
              </w:tc>
            </w:tr>
            <w:tr w14:paraId="348C21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08B7ABDB">
                  <w:pPr>
                    <w:pStyle w:val="83"/>
                    <w:rPr>
                      <w:rFonts w:hint="default"/>
                    </w:rPr>
                  </w:pPr>
                </w:p>
              </w:tc>
              <w:tc>
                <w:tcPr>
                  <w:tcW w:w="693" w:type="pct"/>
                  <w:vMerge w:val="continue"/>
                  <w:vAlign w:val="center"/>
                </w:tcPr>
                <w:p w14:paraId="094893DA">
                  <w:pPr>
                    <w:pStyle w:val="83"/>
                    <w:rPr>
                      <w:rFonts w:hint="default"/>
                      <w:lang w:val="zh-CN"/>
                    </w:rPr>
                  </w:pPr>
                </w:p>
              </w:tc>
              <w:tc>
                <w:tcPr>
                  <w:tcW w:w="1228" w:type="pct"/>
                  <w:vAlign w:val="center"/>
                </w:tcPr>
                <w:p w14:paraId="405CDAE0">
                  <w:pPr>
                    <w:pStyle w:val="83"/>
                    <w:rPr>
                      <w:rFonts w:hint="default"/>
                    </w:rPr>
                  </w:pPr>
                  <w:r>
                    <w:t>沾染油剂的物品</w:t>
                  </w:r>
                </w:p>
              </w:tc>
              <w:tc>
                <w:tcPr>
                  <w:tcW w:w="930" w:type="pct"/>
                  <w:vAlign w:val="center"/>
                </w:tcPr>
                <w:p w14:paraId="4545A48F">
                  <w:pPr>
                    <w:pStyle w:val="83"/>
                    <w:rPr>
                      <w:rFonts w:hint="default"/>
                    </w:rPr>
                  </w:pPr>
                  <w:r>
                    <w:t>0.085</w:t>
                  </w:r>
                </w:p>
              </w:tc>
              <w:tc>
                <w:tcPr>
                  <w:tcW w:w="1632" w:type="pct"/>
                  <w:vMerge w:val="continue"/>
                  <w:vAlign w:val="center"/>
                </w:tcPr>
                <w:p w14:paraId="1BC6CBFB">
                  <w:pPr>
                    <w:pStyle w:val="83"/>
                    <w:rPr>
                      <w:rFonts w:hint="default"/>
                    </w:rPr>
                  </w:pPr>
                </w:p>
              </w:tc>
            </w:tr>
            <w:tr w14:paraId="637454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7EE7F98B">
                  <w:pPr>
                    <w:pStyle w:val="83"/>
                    <w:rPr>
                      <w:rFonts w:hint="default"/>
                    </w:rPr>
                  </w:pPr>
                </w:p>
              </w:tc>
              <w:tc>
                <w:tcPr>
                  <w:tcW w:w="693" w:type="pct"/>
                  <w:vMerge w:val="continue"/>
                  <w:vAlign w:val="center"/>
                </w:tcPr>
                <w:p w14:paraId="245D3BC4">
                  <w:pPr>
                    <w:pStyle w:val="83"/>
                    <w:rPr>
                      <w:rFonts w:hint="default"/>
                    </w:rPr>
                  </w:pPr>
                </w:p>
              </w:tc>
              <w:tc>
                <w:tcPr>
                  <w:tcW w:w="1228" w:type="pct"/>
                  <w:vAlign w:val="center"/>
                </w:tcPr>
                <w:p w14:paraId="27CA81D5">
                  <w:pPr>
                    <w:pStyle w:val="83"/>
                    <w:rPr>
                      <w:rFonts w:hint="default"/>
                    </w:rPr>
                  </w:pPr>
                  <w:r>
                    <w:t>有机残渣</w:t>
                  </w:r>
                </w:p>
              </w:tc>
              <w:tc>
                <w:tcPr>
                  <w:tcW w:w="930" w:type="pct"/>
                  <w:vAlign w:val="center"/>
                </w:tcPr>
                <w:p w14:paraId="1EE381A0">
                  <w:pPr>
                    <w:pStyle w:val="83"/>
                    <w:rPr>
                      <w:rFonts w:hint="default"/>
                    </w:rPr>
                  </w:pPr>
                  <w:r>
                    <w:t>85.433</w:t>
                  </w:r>
                </w:p>
              </w:tc>
              <w:tc>
                <w:tcPr>
                  <w:tcW w:w="1632" w:type="pct"/>
                  <w:vMerge w:val="continue"/>
                  <w:vAlign w:val="center"/>
                </w:tcPr>
                <w:p w14:paraId="18F0A846">
                  <w:pPr>
                    <w:pStyle w:val="83"/>
                    <w:rPr>
                      <w:rFonts w:hint="default"/>
                    </w:rPr>
                  </w:pPr>
                </w:p>
              </w:tc>
            </w:tr>
            <w:tr w14:paraId="1BC5D8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00D6DE7F">
                  <w:pPr>
                    <w:pStyle w:val="83"/>
                    <w:rPr>
                      <w:rFonts w:hint="default"/>
                    </w:rPr>
                  </w:pPr>
                </w:p>
              </w:tc>
              <w:tc>
                <w:tcPr>
                  <w:tcW w:w="693" w:type="pct"/>
                  <w:vMerge w:val="continue"/>
                  <w:vAlign w:val="center"/>
                </w:tcPr>
                <w:p w14:paraId="4E2250E7">
                  <w:pPr>
                    <w:pStyle w:val="83"/>
                    <w:rPr>
                      <w:rFonts w:hint="default"/>
                    </w:rPr>
                  </w:pPr>
                </w:p>
              </w:tc>
              <w:tc>
                <w:tcPr>
                  <w:tcW w:w="1228" w:type="pct"/>
                  <w:vAlign w:val="center"/>
                </w:tcPr>
                <w:p w14:paraId="1586928D">
                  <w:pPr>
                    <w:pStyle w:val="83"/>
                    <w:rPr>
                      <w:rFonts w:hint="default"/>
                    </w:rPr>
                  </w:pPr>
                  <w:r>
                    <w:t>废酸液</w:t>
                  </w:r>
                </w:p>
              </w:tc>
              <w:tc>
                <w:tcPr>
                  <w:tcW w:w="930" w:type="pct"/>
                  <w:vAlign w:val="center"/>
                </w:tcPr>
                <w:p w14:paraId="66B0E7FD">
                  <w:pPr>
                    <w:pStyle w:val="83"/>
                    <w:rPr>
                      <w:rFonts w:hint="default"/>
                    </w:rPr>
                  </w:pPr>
                  <w:r>
                    <w:t>1.665</w:t>
                  </w:r>
                </w:p>
              </w:tc>
              <w:tc>
                <w:tcPr>
                  <w:tcW w:w="1632" w:type="pct"/>
                  <w:vMerge w:val="continue"/>
                  <w:vAlign w:val="center"/>
                </w:tcPr>
                <w:p w14:paraId="2BC0BAAA">
                  <w:pPr>
                    <w:pStyle w:val="83"/>
                    <w:rPr>
                      <w:rFonts w:hint="default"/>
                    </w:rPr>
                  </w:pPr>
                </w:p>
              </w:tc>
            </w:tr>
            <w:tr w14:paraId="256829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101D463E">
                  <w:pPr>
                    <w:pStyle w:val="83"/>
                    <w:rPr>
                      <w:rFonts w:hint="default"/>
                    </w:rPr>
                  </w:pPr>
                </w:p>
              </w:tc>
              <w:tc>
                <w:tcPr>
                  <w:tcW w:w="693" w:type="pct"/>
                  <w:vMerge w:val="continue"/>
                  <w:vAlign w:val="center"/>
                </w:tcPr>
                <w:p w14:paraId="4E1C7597">
                  <w:pPr>
                    <w:pStyle w:val="83"/>
                    <w:rPr>
                      <w:rFonts w:hint="default"/>
                    </w:rPr>
                  </w:pPr>
                </w:p>
              </w:tc>
              <w:tc>
                <w:tcPr>
                  <w:tcW w:w="1228" w:type="pct"/>
                  <w:vAlign w:val="center"/>
                </w:tcPr>
                <w:p w14:paraId="34D7FD1E">
                  <w:pPr>
                    <w:pStyle w:val="83"/>
                    <w:rPr>
                      <w:rFonts w:hint="default"/>
                    </w:rPr>
                  </w:pPr>
                  <w:r>
                    <w:t>废有机溶剂</w:t>
                  </w:r>
                </w:p>
              </w:tc>
              <w:tc>
                <w:tcPr>
                  <w:tcW w:w="930" w:type="pct"/>
                  <w:vAlign w:val="center"/>
                </w:tcPr>
                <w:p w14:paraId="5D164AE1">
                  <w:pPr>
                    <w:pStyle w:val="83"/>
                    <w:rPr>
                      <w:rFonts w:hint="default"/>
                    </w:rPr>
                  </w:pPr>
                  <w:r>
                    <w:t>1.75</w:t>
                  </w:r>
                </w:p>
              </w:tc>
              <w:tc>
                <w:tcPr>
                  <w:tcW w:w="1632" w:type="pct"/>
                  <w:vMerge w:val="continue"/>
                  <w:vAlign w:val="center"/>
                </w:tcPr>
                <w:p w14:paraId="3B43718E">
                  <w:pPr>
                    <w:pStyle w:val="83"/>
                    <w:rPr>
                      <w:rFonts w:hint="default"/>
                    </w:rPr>
                  </w:pPr>
                </w:p>
              </w:tc>
            </w:tr>
            <w:tr w14:paraId="1A7C17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281D6508">
                  <w:pPr>
                    <w:pStyle w:val="83"/>
                    <w:rPr>
                      <w:rFonts w:hint="default"/>
                    </w:rPr>
                  </w:pPr>
                </w:p>
              </w:tc>
              <w:tc>
                <w:tcPr>
                  <w:tcW w:w="693" w:type="pct"/>
                  <w:vMerge w:val="continue"/>
                  <w:vAlign w:val="center"/>
                </w:tcPr>
                <w:p w14:paraId="0AB9A805">
                  <w:pPr>
                    <w:pStyle w:val="83"/>
                    <w:rPr>
                      <w:rFonts w:hint="default"/>
                    </w:rPr>
                  </w:pPr>
                </w:p>
              </w:tc>
              <w:tc>
                <w:tcPr>
                  <w:tcW w:w="1228" w:type="pct"/>
                  <w:vAlign w:val="center"/>
                </w:tcPr>
                <w:p w14:paraId="0F6F7F91">
                  <w:pPr>
                    <w:pStyle w:val="83"/>
                    <w:rPr>
                      <w:rFonts w:hint="default"/>
                    </w:rPr>
                  </w:pPr>
                  <w:r>
                    <w:t>在线废液</w:t>
                  </w:r>
                </w:p>
              </w:tc>
              <w:tc>
                <w:tcPr>
                  <w:tcW w:w="930" w:type="pct"/>
                  <w:vAlign w:val="center"/>
                </w:tcPr>
                <w:p w14:paraId="437D968C">
                  <w:pPr>
                    <w:pStyle w:val="83"/>
                    <w:rPr>
                      <w:rFonts w:hint="default"/>
                    </w:rPr>
                  </w:pPr>
                  <w:r>
                    <w:t>0.4</w:t>
                  </w:r>
                </w:p>
              </w:tc>
              <w:tc>
                <w:tcPr>
                  <w:tcW w:w="1632" w:type="pct"/>
                  <w:vMerge w:val="continue"/>
                  <w:vAlign w:val="center"/>
                </w:tcPr>
                <w:p w14:paraId="44054D87">
                  <w:pPr>
                    <w:pStyle w:val="83"/>
                    <w:rPr>
                      <w:rFonts w:hint="default"/>
                    </w:rPr>
                  </w:pPr>
                </w:p>
              </w:tc>
            </w:tr>
            <w:tr w14:paraId="38BB4B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25A317F7">
                  <w:pPr>
                    <w:pStyle w:val="83"/>
                    <w:rPr>
                      <w:rFonts w:hint="default"/>
                    </w:rPr>
                  </w:pPr>
                </w:p>
              </w:tc>
              <w:tc>
                <w:tcPr>
                  <w:tcW w:w="693" w:type="pct"/>
                  <w:vMerge w:val="continue"/>
                  <w:vAlign w:val="center"/>
                </w:tcPr>
                <w:p w14:paraId="7CDB131A">
                  <w:pPr>
                    <w:pStyle w:val="83"/>
                    <w:rPr>
                      <w:rFonts w:hint="default"/>
                    </w:rPr>
                  </w:pPr>
                </w:p>
              </w:tc>
              <w:tc>
                <w:tcPr>
                  <w:tcW w:w="1228" w:type="pct"/>
                  <w:vAlign w:val="center"/>
                </w:tcPr>
                <w:p w14:paraId="7B78CB5F">
                  <w:pPr>
                    <w:pStyle w:val="83"/>
                    <w:rPr>
                      <w:rFonts w:hint="default"/>
                    </w:rPr>
                  </w:pPr>
                  <w:r>
                    <w:t>实验室废试剂瓶</w:t>
                  </w:r>
                </w:p>
              </w:tc>
              <w:tc>
                <w:tcPr>
                  <w:tcW w:w="930" w:type="pct"/>
                  <w:vAlign w:val="center"/>
                </w:tcPr>
                <w:p w14:paraId="641EF053">
                  <w:pPr>
                    <w:pStyle w:val="83"/>
                    <w:rPr>
                      <w:rFonts w:hint="default"/>
                    </w:rPr>
                  </w:pPr>
                  <w:r>
                    <w:t>2.128</w:t>
                  </w:r>
                </w:p>
              </w:tc>
              <w:tc>
                <w:tcPr>
                  <w:tcW w:w="1632" w:type="pct"/>
                  <w:vMerge w:val="continue"/>
                  <w:vAlign w:val="center"/>
                </w:tcPr>
                <w:p w14:paraId="11F680E3">
                  <w:pPr>
                    <w:pStyle w:val="83"/>
                    <w:rPr>
                      <w:rFonts w:hint="default"/>
                    </w:rPr>
                  </w:pPr>
                </w:p>
              </w:tc>
            </w:tr>
            <w:tr w14:paraId="096FB6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043AE940">
                  <w:pPr>
                    <w:pStyle w:val="83"/>
                    <w:rPr>
                      <w:rFonts w:hint="default"/>
                    </w:rPr>
                  </w:pPr>
                </w:p>
              </w:tc>
              <w:tc>
                <w:tcPr>
                  <w:tcW w:w="693" w:type="pct"/>
                  <w:vMerge w:val="continue"/>
                  <w:vAlign w:val="center"/>
                </w:tcPr>
                <w:p w14:paraId="6312E037">
                  <w:pPr>
                    <w:pStyle w:val="83"/>
                    <w:rPr>
                      <w:rFonts w:hint="default"/>
                    </w:rPr>
                  </w:pPr>
                </w:p>
              </w:tc>
              <w:tc>
                <w:tcPr>
                  <w:tcW w:w="1228" w:type="pct"/>
                  <w:vAlign w:val="center"/>
                </w:tcPr>
                <w:p w14:paraId="66307F03">
                  <w:pPr>
                    <w:pStyle w:val="83"/>
                    <w:rPr>
                      <w:rFonts w:hint="default"/>
                    </w:rPr>
                  </w:pPr>
                  <w:r>
                    <w:t>废活性炭</w:t>
                  </w:r>
                </w:p>
              </w:tc>
              <w:tc>
                <w:tcPr>
                  <w:tcW w:w="930" w:type="pct"/>
                  <w:vAlign w:val="center"/>
                </w:tcPr>
                <w:p w14:paraId="6D85788B">
                  <w:pPr>
                    <w:pStyle w:val="83"/>
                    <w:rPr>
                      <w:rFonts w:hint="default"/>
                    </w:rPr>
                  </w:pPr>
                  <w:r>
                    <w:t>0.496</w:t>
                  </w:r>
                </w:p>
              </w:tc>
              <w:tc>
                <w:tcPr>
                  <w:tcW w:w="1632" w:type="pct"/>
                  <w:vMerge w:val="continue"/>
                  <w:vAlign w:val="center"/>
                </w:tcPr>
                <w:p w14:paraId="346E6043">
                  <w:pPr>
                    <w:pStyle w:val="83"/>
                    <w:rPr>
                      <w:rFonts w:hint="default"/>
                    </w:rPr>
                  </w:pPr>
                </w:p>
              </w:tc>
            </w:tr>
            <w:tr w14:paraId="0DF4F4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1DAF4271">
                  <w:pPr>
                    <w:pStyle w:val="83"/>
                    <w:rPr>
                      <w:rFonts w:hint="default"/>
                    </w:rPr>
                  </w:pPr>
                </w:p>
              </w:tc>
              <w:tc>
                <w:tcPr>
                  <w:tcW w:w="693" w:type="pct"/>
                  <w:vMerge w:val="continue"/>
                  <w:vAlign w:val="center"/>
                </w:tcPr>
                <w:p w14:paraId="67949B53">
                  <w:pPr>
                    <w:pStyle w:val="83"/>
                    <w:rPr>
                      <w:rFonts w:hint="default"/>
                    </w:rPr>
                  </w:pPr>
                </w:p>
              </w:tc>
              <w:tc>
                <w:tcPr>
                  <w:tcW w:w="1228" w:type="pct"/>
                  <w:vAlign w:val="center"/>
                </w:tcPr>
                <w:p w14:paraId="4B17BAC9">
                  <w:pPr>
                    <w:pStyle w:val="83"/>
                    <w:rPr>
                      <w:rFonts w:hint="default"/>
                    </w:rPr>
                  </w:pPr>
                  <w:r>
                    <w:t>废离子交换树脂</w:t>
                  </w:r>
                </w:p>
              </w:tc>
              <w:tc>
                <w:tcPr>
                  <w:tcW w:w="930" w:type="pct"/>
                  <w:vAlign w:val="center"/>
                </w:tcPr>
                <w:p w14:paraId="68657F9E">
                  <w:pPr>
                    <w:pStyle w:val="83"/>
                    <w:rPr>
                      <w:rFonts w:hint="default"/>
                    </w:rPr>
                  </w:pPr>
                  <w:r>
                    <w:t>15.403</w:t>
                  </w:r>
                </w:p>
              </w:tc>
              <w:tc>
                <w:tcPr>
                  <w:tcW w:w="1632" w:type="pct"/>
                  <w:vMerge w:val="continue"/>
                  <w:vAlign w:val="center"/>
                </w:tcPr>
                <w:p w14:paraId="18DDBEFF">
                  <w:pPr>
                    <w:pStyle w:val="83"/>
                    <w:rPr>
                      <w:rFonts w:hint="default"/>
                    </w:rPr>
                  </w:pPr>
                </w:p>
              </w:tc>
            </w:tr>
            <w:tr w14:paraId="6EEF22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15" w:type="pct"/>
                  <w:vMerge w:val="continue"/>
                  <w:vAlign w:val="center"/>
                </w:tcPr>
                <w:p w14:paraId="0941D37C">
                  <w:pPr>
                    <w:pStyle w:val="83"/>
                    <w:rPr>
                      <w:rFonts w:hint="default"/>
                    </w:rPr>
                  </w:pPr>
                </w:p>
              </w:tc>
              <w:tc>
                <w:tcPr>
                  <w:tcW w:w="1921" w:type="pct"/>
                  <w:gridSpan w:val="2"/>
                  <w:vAlign w:val="center"/>
                </w:tcPr>
                <w:p w14:paraId="3D5AFEF5">
                  <w:pPr>
                    <w:pStyle w:val="83"/>
                    <w:rPr>
                      <w:rFonts w:hint="default"/>
                    </w:rPr>
                  </w:pPr>
                  <w:r>
                    <w:t>生活垃圾</w:t>
                  </w:r>
                </w:p>
              </w:tc>
              <w:tc>
                <w:tcPr>
                  <w:tcW w:w="930" w:type="pct"/>
                  <w:vAlign w:val="center"/>
                </w:tcPr>
                <w:p w14:paraId="66F3DEB5">
                  <w:pPr>
                    <w:pStyle w:val="83"/>
                    <w:rPr>
                      <w:rFonts w:hint="default"/>
                    </w:rPr>
                  </w:pPr>
                  <w:r>
                    <w:t>655.98</w:t>
                  </w:r>
                </w:p>
              </w:tc>
              <w:tc>
                <w:tcPr>
                  <w:tcW w:w="1632" w:type="pct"/>
                  <w:vAlign w:val="center"/>
                </w:tcPr>
                <w:p w14:paraId="34B3C090">
                  <w:pPr>
                    <w:pStyle w:val="83"/>
                    <w:rPr>
                      <w:rFonts w:hint="default"/>
                    </w:rPr>
                  </w:pPr>
                  <w:r>
                    <w:t>由环卫部门统一收集处理</w:t>
                  </w:r>
                </w:p>
              </w:tc>
            </w:tr>
            <w:tr w14:paraId="4FA4CC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000" w:type="pct"/>
                  <w:gridSpan w:val="5"/>
                  <w:vAlign w:val="center"/>
                </w:tcPr>
                <w:p w14:paraId="671E131B">
                  <w:pPr>
                    <w:pStyle w:val="83"/>
                    <w:jc w:val="left"/>
                    <w:rPr>
                      <w:rFonts w:hint="default"/>
                      <w:sz w:val="18"/>
                      <w:szCs w:val="18"/>
                    </w:rPr>
                  </w:pPr>
                  <w:r>
                    <w:rPr>
                      <w:sz w:val="18"/>
                      <w:szCs w:val="18"/>
                    </w:rPr>
                    <w:t>备注：1.以上数据统计时间跨度为2025年1月1日—12月31日，该时间段内企业仍正常使用燃煤锅炉。待完成生物质制气锅炉替代后，污水站污泥外售综合利用，锅炉灰渣开展危险废物鉴定，根据鉴定结果确定处置方式。</w:t>
                  </w:r>
                </w:p>
                <w:p w14:paraId="07CFF2DD">
                  <w:pPr>
                    <w:pStyle w:val="83"/>
                    <w:ind w:firstLine="540" w:firstLineChars="300"/>
                    <w:jc w:val="left"/>
                    <w:rPr>
                      <w:rFonts w:hint="default"/>
                    </w:rPr>
                  </w:pPr>
                  <w:r>
                    <w:rPr>
                      <w:sz w:val="18"/>
                      <w:szCs w:val="18"/>
                    </w:rPr>
                    <w:t>2.现有聚合项目年产废切片180t，纺丝工程和加弹工程年产废锦纶丝3652吨，已全部作为现有再生项目原料使用，无需委托外单位处置，属于中间物料，不作为一般固废，仅厂内转运、贮存按一般固废标准执行。</w:t>
                  </w:r>
                </w:p>
              </w:tc>
            </w:tr>
          </w:tbl>
          <w:p w14:paraId="0033BD74">
            <w:pPr>
              <w:pStyle w:val="4"/>
              <w:spacing w:before="120" w:after="0" w:afterLines="0"/>
            </w:pPr>
            <w:r>
              <w:rPr>
                <w:rFonts w:hint="eastAsia"/>
              </w:rPr>
              <w:t>2.4.5 环境风险防范措施</w:t>
            </w:r>
          </w:p>
          <w:p w14:paraId="5BF7B240">
            <w:pPr>
              <w:ind w:firstLine="480"/>
            </w:pPr>
            <w:r>
              <w:rPr>
                <w:rFonts w:hint="eastAsia"/>
              </w:rPr>
              <w:t>（1）福建永荣锦江股份有限公司已制定《福建永荣锦江股份有限公司突发环境事件应急预案》，并于2026年5月21日报福州市长乐生态环境局备案（备案文号为350112-2026-014-H）。制定了《柴油储罐泄漏现场处置预案》《氢氧化钠储罐泄漏现场处置预案》《热媒泄漏现场处置预案》《废水事故性排放现场处置预案》《废气事故性排放现场处置预案》《危险废物泄漏现场处置预案》《己内酰胺泄漏现场处置预案》等；公司已制定环境风险管理制度，成立突发环境事件应急指挥中心，创建应急救援小组，配置应急处置物资；配置灭火器、消防栓、消防水池等必需应急物资装备；厂区内应急疏散图上墙；公司定期组织开展应急演练。</w:t>
            </w:r>
          </w:p>
          <w:p w14:paraId="487E3A69">
            <w:pPr>
              <w:ind w:firstLine="480"/>
            </w:pPr>
            <w:r>
              <w:rPr>
                <w:rFonts w:hint="eastAsia"/>
              </w:rPr>
              <w:t>（2）事故应急池</w:t>
            </w:r>
          </w:p>
          <w:p w14:paraId="2D93AB5B">
            <w:pPr>
              <w:ind w:firstLine="480"/>
            </w:pPr>
            <w:r>
              <w:rPr>
                <w:rFonts w:hint="eastAsia"/>
              </w:rPr>
              <w:t>根据企业突发环境事件应急预案以及现场踏勘情况，企业已建设3340m</w:t>
            </w:r>
            <w:r>
              <w:rPr>
                <w:rFonts w:hint="eastAsia"/>
                <w:vertAlign w:val="superscript"/>
              </w:rPr>
              <w:t>3</w:t>
            </w:r>
            <w:r>
              <w:rPr>
                <w:rFonts w:hint="eastAsia"/>
              </w:rPr>
              <w:t>应急事故池，用于收集发生突发环境风险事件时的事故废水；当发生突发环境风险事件时，雨水总排口设有应急阀门，以雨水管沟作导流沟，利用应急泵、专用导流管可将事故废水排入事故应急池体系中暂存。并于污水站东侧建设500m</w:t>
            </w:r>
            <w:r>
              <w:rPr>
                <w:rFonts w:hint="eastAsia"/>
                <w:vertAlign w:val="superscript"/>
              </w:rPr>
              <w:t>3</w:t>
            </w:r>
            <w:r>
              <w:rPr>
                <w:rFonts w:hint="eastAsia"/>
              </w:rPr>
              <w:t>的事故缓冲池，作为污水站事故时的暂存废水使用。</w:t>
            </w:r>
          </w:p>
          <w:p w14:paraId="15219A67">
            <w:pPr>
              <w:ind w:firstLine="480"/>
            </w:pPr>
            <w:r>
              <w:rPr>
                <w:rFonts w:hint="eastAsia"/>
              </w:rPr>
              <w:t>（3）初期雨水收集系统及雨水切换阀门位置与数量、切换方式及状态</w:t>
            </w:r>
          </w:p>
          <w:p w14:paraId="452D1AD0">
            <w:pPr>
              <w:ind w:firstLine="480"/>
            </w:pPr>
            <w:r>
              <w:rPr>
                <w:rFonts w:hint="eastAsia"/>
              </w:rPr>
              <w:t>厂区雨水设2个雨水排放口，布设于厂区的南侧和东侧。已建初期雨水收集池容积为200m</w:t>
            </w:r>
            <w:r>
              <w:rPr>
                <w:rFonts w:hint="eastAsia"/>
                <w:vertAlign w:val="superscript"/>
              </w:rPr>
              <w:t>3</w:t>
            </w:r>
            <w:r>
              <w:rPr>
                <w:rFonts w:hint="eastAsia"/>
              </w:rPr>
              <w:t>，在建290m</w:t>
            </w:r>
            <w:r>
              <w:rPr>
                <w:rFonts w:hint="eastAsia"/>
                <w:vertAlign w:val="superscript"/>
              </w:rPr>
              <w:t>3</w:t>
            </w:r>
            <w:r>
              <w:rPr>
                <w:rFonts w:hint="eastAsia"/>
              </w:rPr>
              <w:t>，对前15分钟雨水进行收集处理，在雨水总排口设置雨水切换闸门，正常情况下应保证初期雨水池处于低液位状态。</w:t>
            </w:r>
          </w:p>
          <w:p w14:paraId="6E6A7CA5">
            <w:pPr>
              <w:ind w:firstLine="480"/>
            </w:pPr>
            <w:r>
              <w:rPr>
                <w:rFonts w:hint="eastAsia"/>
              </w:rPr>
              <w:t>（4）天然气管道区域设置气体报警装置。</w:t>
            </w:r>
          </w:p>
          <w:p w14:paraId="063CB30A">
            <w:pPr>
              <w:ind w:firstLine="480"/>
            </w:pPr>
            <w:r>
              <w:rPr>
                <w:rFonts w:hint="eastAsia"/>
              </w:rPr>
              <w:t>（5）厂内配备了必需应急物资装备及队伍。</w:t>
            </w:r>
          </w:p>
          <w:p w14:paraId="61AD4C17">
            <w:pPr>
              <w:ind w:firstLine="480"/>
            </w:pPr>
            <w:r>
              <w:rPr>
                <w:rFonts w:hint="eastAsia"/>
              </w:rPr>
              <w:t>企业运营至今，未发生重大环境风险事故，根据自行监测数据，污染物排放能够实现稳定达标，所采取环境风险防范措施有效。</w:t>
            </w:r>
          </w:p>
          <w:p w14:paraId="504CF6CE">
            <w:pPr>
              <w:pStyle w:val="3"/>
              <w:spacing w:before="120" w:after="0" w:afterLines="0"/>
            </w:pPr>
            <w:r>
              <w:rPr>
                <w:rFonts w:hint="eastAsia"/>
              </w:rPr>
              <w:t>2.5 现有工程“三废”排放量统计</w:t>
            </w:r>
          </w:p>
          <w:p w14:paraId="33A51E9E">
            <w:pPr>
              <w:ind w:firstLine="480"/>
            </w:pPr>
            <w:r>
              <w:rPr>
                <w:rFonts w:hint="eastAsia"/>
              </w:rPr>
              <w:t>本次报</w:t>
            </w:r>
            <w:r>
              <w:rPr>
                <w:rFonts w:hint="eastAsia"/>
                <w:highlight w:val="none"/>
              </w:rPr>
              <w:t>告根据</w:t>
            </w:r>
            <w:r>
              <w:rPr>
                <w:rFonts w:hint="eastAsia"/>
                <w:highlight w:val="none"/>
                <w:lang w:val="en-US" w:eastAsia="zh-CN"/>
              </w:rPr>
              <w:t>企业现有工程环评报告及批复、竣工环保验收报告</w:t>
            </w:r>
            <w:r>
              <w:rPr>
                <w:rFonts w:hint="eastAsia"/>
                <w:highlight w:val="none"/>
              </w:rPr>
              <w:t>对现有工程废气污染物排放量进行统计。企业污废水在厂区内预处理后纳入市政污水管网由滨海工业区污水处理厂集中处理，尾水由牛头湾排海，本次现有工程生产废水污染物排放量</w:t>
            </w:r>
            <w:r>
              <w:rPr>
                <w:rFonts w:hint="eastAsia"/>
                <w:highlight w:val="none"/>
                <w:lang w:val="en-US" w:eastAsia="zh-CN"/>
              </w:rPr>
              <w:t>来自企业2025年实际废水排放统计数据</w:t>
            </w:r>
            <w:r>
              <w:rPr>
                <w:rFonts w:hint="eastAsia"/>
                <w:highlight w:val="none"/>
              </w:rPr>
              <w:t>。根据企业固</w:t>
            </w:r>
            <w:r>
              <w:rPr>
                <w:rFonts w:hint="eastAsia"/>
              </w:rPr>
              <w:t>体废物管理台账，对现有工程固废产生量进行统计。详见表2.5-1。</w:t>
            </w:r>
          </w:p>
          <w:p w14:paraId="60946ECF">
            <w:pPr>
              <w:pStyle w:val="13"/>
              <w:rPr>
                <w:highlight w:val="none"/>
              </w:rPr>
            </w:pPr>
            <w:r>
              <w:rPr>
                <w:rFonts w:hint="eastAsia"/>
                <w:highlight w:val="none"/>
              </w:rPr>
              <w:t>表2.5-1  现有工程污染物排放量统计</w:t>
            </w:r>
          </w:p>
          <w:tbl>
            <w:tblPr>
              <w:tblStyle w:val="17"/>
              <w:tblpPr w:leftFromText="180" w:rightFromText="180" w:vertAnchor="text" w:tblpXSpec="center" w:tblpY="1"/>
              <w:tblOverlap w:val="never"/>
              <w:tblW w:w="4997"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717"/>
              <w:gridCol w:w="1146"/>
              <w:gridCol w:w="1505"/>
              <w:gridCol w:w="938"/>
              <w:gridCol w:w="2170"/>
              <w:gridCol w:w="2419"/>
            </w:tblGrid>
            <w:tr w14:paraId="73DA3F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893" w:type="pct"/>
                  <w:gridSpan w:val="3"/>
                  <w:vAlign w:val="center"/>
                </w:tcPr>
                <w:p w14:paraId="396BEC1E">
                  <w:pPr>
                    <w:pStyle w:val="83"/>
                    <w:rPr>
                      <w:rFonts w:hint="default"/>
                      <w:highlight w:val="none"/>
                    </w:rPr>
                  </w:pPr>
                  <w:bookmarkStart w:id="6" w:name="_Hlk136899512"/>
                  <w:r>
                    <w:rPr>
                      <w:highlight w:val="none"/>
                    </w:rPr>
                    <w:t>项目</w:t>
                  </w:r>
                </w:p>
              </w:tc>
              <w:tc>
                <w:tcPr>
                  <w:tcW w:w="527" w:type="pct"/>
                  <w:vAlign w:val="center"/>
                </w:tcPr>
                <w:p w14:paraId="7C4E0A78">
                  <w:pPr>
                    <w:pStyle w:val="83"/>
                    <w:rPr>
                      <w:rFonts w:hint="default"/>
                      <w:highlight w:val="none"/>
                    </w:rPr>
                  </w:pPr>
                  <w:r>
                    <w:rPr>
                      <w:highlight w:val="none"/>
                    </w:rPr>
                    <w:t>单位</w:t>
                  </w:r>
                </w:p>
              </w:tc>
              <w:tc>
                <w:tcPr>
                  <w:tcW w:w="1220" w:type="pct"/>
                  <w:vAlign w:val="center"/>
                </w:tcPr>
                <w:p w14:paraId="52A9920A">
                  <w:pPr>
                    <w:pStyle w:val="83"/>
                    <w:rPr>
                      <w:highlight w:val="none"/>
                    </w:rPr>
                  </w:pPr>
                  <w:r>
                    <w:rPr>
                      <w:highlight w:val="none"/>
                    </w:rPr>
                    <w:t>现有工程排放量</w:t>
                  </w:r>
                </w:p>
              </w:tc>
              <w:tc>
                <w:tcPr>
                  <w:tcW w:w="1358" w:type="pct"/>
                  <w:vAlign w:val="center"/>
                </w:tcPr>
                <w:p w14:paraId="3AC6B353">
                  <w:pPr>
                    <w:pStyle w:val="83"/>
                    <w:rPr>
                      <w:rFonts w:hint="eastAsia" w:eastAsia="宋体"/>
                      <w:highlight w:val="none"/>
                      <w:lang w:eastAsia="zh-CN"/>
                    </w:rPr>
                  </w:pPr>
                  <w:r>
                    <w:rPr>
                      <w:highlight w:val="none"/>
                    </w:rPr>
                    <w:t>排污许可证许可排放量</w:t>
                  </w:r>
                </w:p>
              </w:tc>
            </w:tr>
            <w:tr w14:paraId="105A5D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3" w:type="pct"/>
                  <w:vMerge w:val="restart"/>
                  <w:vAlign w:val="center"/>
                </w:tcPr>
                <w:p w14:paraId="4FB90766">
                  <w:pPr>
                    <w:pStyle w:val="83"/>
                    <w:rPr>
                      <w:rFonts w:hint="default"/>
                      <w:highlight w:val="none"/>
                    </w:rPr>
                  </w:pPr>
                  <w:r>
                    <w:rPr>
                      <w:highlight w:val="none"/>
                    </w:rPr>
                    <w:t>废水</w:t>
                  </w:r>
                </w:p>
              </w:tc>
              <w:tc>
                <w:tcPr>
                  <w:tcW w:w="644" w:type="pct"/>
                  <w:vMerge w:val="restart"/>
                  <w:vAlign w:val="center"/>
                </w:tcPr>
                <w:p w14:paraId="387439E6">
                  <w:pPr>
                    <w:pStyle w:val="83"/>
                    <w:rPr>
                      <w:rFonts w:hint="default"/>
                      <w:highlight w:val="none"/>
                    </w:rPr>
                  </w:pPr>
                  <w:r>
                    <w:rPr>
                      <w:highlight w:val="none"/>
                    </w:rPr>
                    <w:t>生产废水</w:t>
                  </w:r>
                </w:p>
              </w:tc>
              <w:tc>
                <w:tcPr>
                  <w:tcW w:w="845" w:type="pct"/>
                  <w:vAlign w:val="center"/>
                </w:tcPr>
                <w:p w14:paraId="00E3E8BC">
                  <w:pPr>
                    <w:pStyle w:val="83"/>
                    <w:rPr>
                      <w:highlight w:val="none"/>
                    </w:rPr>
                  </w:pPr>
                  <w:r>
                    <w:rPr>
                      <w:rFonts w:hint="eastAsia"/>
                      <w:highlight w:val="none"/>
                      <w:lang w:val="en-US" w:eastAsia="zh-CN"/>
                    </w:rPr>
                    <w:t>废水量</w:t>
                  </w:r>
                </w:p>
              </w:tc>
              <w:tc>
                <w:tcPr>
                  <w:tcW w:w="527" w:type="pct"/>
                  <w:vAlign w:val="center"/>
                </w:tcPr>
                <w:p w14:paraId="79EC55E4">
                  <w:pPr>
                    <w:pStyle w:val="83"/>
                    <w:rPr>
                      <w:rFonts w:hint="default" w:eastAsia="宋体"/>
                      <w:highlight w:val="none"/>
                      <w:lang w:val="en-US" w:eastAsia="zh-CN"/>
                    </w:rPr>
                  </w:pPr>
                  <w:r>
                    <w:rPr>
                      <w:rFonts w:hint="eastAsia"/>
                      <w:highlight w:val="none"/>
                      <w:lang w:val="en-US" w:eastAsia="zh-CN"/>
                    </w:rPr>
                    <w:t>m</w:t>
                  </w:r>
                  <w:r>
                    <w:rPr>
                      <w:rFonts w:hint="eastAsia"/>
                      <w:highlight w:val="none"/>
                      <w:vertAlign w:val="superscript"/>
                      <w:lang w:val="en-US" w:eastAsia="zh-CN"/>
                    </w:rPr>
                    <w:t>3</w:t>
                  </w:r>
                  <w:r>
                    <w:rPr>
                      <w:rFonts w:hint="eastAsia"/>
                      <w:highlight w:val="none"/>
                      <w:lang w:val="en-US" w:eastAsia="zh-CN"/>
                    </w:rPr>
                    <w:t>/a</w:t>
                  </w:r>
                </w:p>
              </w:tc>
              <w:tc>
                <w:tcPr>
                  <w:tcW w:w="1220" w:type="pct"/>
                  <w:vAlign w:val="center"/>
                </w:tcPr>
                <w:p w14:paraId="45A607F8">
                  <w:pPr>
                    <w:pStyle w:val="83"/>
                    <w:rPr>
                      <w:rFonts w:hint="default"/>
                      <w:highlight w:val="none"/>
                      <w:lang w:val="en-US" w:eastAsia="zh-CN"/>
                    </w:rPr>
                  </w:pPr>
                  <w:r>
                    <w:rPr>
                      <w:rFonts w:hint="eastAsia"/>
                      <w:highlight w:val="none"/>
                      <w:lang w:val="en-US" w:eastAsia="zh-CN"/>
                    </w:rPr>
                    <w:t>10.23</w:t>
                  </w:r>
                </w:p>
              </w:tc>
              <w:tc>
                <w:tcPr>
                  <w:tcW w:w="1358" w:type="pct"/>
                  <w:vAlign w:val="center"/>
                </w:tcPr>
                <w:p w14:paraId="17D0EEB5">
                  <w:pPr>
                    <w:pStyle w:val="83"/>
                    <w:rPr>
                      <w:rFonts w:hint="default"/>
                      <w:highlight w:val="none"/>
                      <w:lang w:val="en-US" w:eastAsia="zh-CN"/>
                    </w:rPr>
                  </w:pPr>
                  <w:r>
                    <w:rPr>
                      <w:rFonts w:hint="eastAsia"/>
                      <w:highlight w:val="none"/>
                      <w:lang w:val="en-US" w:eastAsia="zh-CN"/>
                    </w:rPr>
                    <w:t>-</w:t>
                  </w:r>
                </w:p>
              </w:tc>
            </w:tr>
            <w:tr w14:paraId="47D9BA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3" w:type="pct"/>
                  <w:vMerge w:val="continue"/>
                  <w:vAlign w:val="center"/>
                </w:tcPr>
                <w:p w14:paraId="16BE7057">
                  <w:pPr>
                    <w:pStyle w:val="83"/>
                    <w:rPr>
                      <w:rFonts w:hint="default"/>
                      <w:highlight w:val="none"/>
                    </w:rPr>
                  </w:pPr>
                </w:p>
              </w:tc>
              <w:tc>
                <w:tcPr>
                  <w:tcW w:w="644" w:type="pct"/>
                  <w:vMerge w:val="continue"/>
                  <w:vAlign w:val="center"/>
                </w:tcPr>
                <w:p w14:paraId="22E87613">
                  <w:pPr>
                    <w:pStyle w:val="83"/>
                    <w:rPr>
                      <w:rFonts w:hint="default"/>
                      <w:highlight w:val="none"/>
                    </w:rPr>
                  </w:pPr>
                </w:p>
              </w:tc>
              <w:tc>
                <w:tcPr>
                  <w:tcW w:w="845" w:type="pct"/>
                  <w:vAlign w:val="center"/>
                </w:tcPr>
                <w:p w14:paraId="4B0680C8">
                  <w:pPr>
                    <w:pStyle w:val="83"/>
                    <w:rPr>
                      <w:rFonts w:hint="default"/>
                      <w:highlight w:val="none"/>
                    </w:rPr>
                  </w:pPr>
                  <w:r>
                    <w:rPr>
                      <w:highlight w:val="none"/>
                    </w:rPr>
                    <w:t>COD</w:t>
                  </w:r>
                </w:p>
              </w:tc>
              <w:tc>
                <w:tcPr>
                  <w:tcW w:w="527" w:type="pct"/>
                  <w:vAlign w:val="center"/>
                </w:tcPr>
                <w:p w14:paraId="5387563E">
                  <w:pPr>
                    <w:pStyle w:val="83"/>
                    <w:rPr>
                      <w:rFonts w:hint="default"/>
                      <w:highlight w:val="none"/>
                    </w:rPr>
                  </w:pPr>
                  <w:r>
                    <w:rPr>
                      <w:highlight w:val="none"/>
                    </w:rPr>
                    <w:t>t/a</w:t>
                  </w:r>
                </w:p>
              </w:tc>
              <w:tc>
                <w:tcPr>
                  <w:tcW w:w="1220" w:type="pct"/>
                  <w:vAlign w:val="center"/>
                </w:tcPr>
                <w:p w14:paraId="24C278C9">
                  <w:pPr>
                    <w:pStyle w:val="83"/>
                    <w:rPr>
                      <w:rFonts w:hint="default" w:eastAsia="宋体"/>
                      <w:highlight w:val="none"/>
                      <w:lang w:val="en-US" w:eastAsia="zh-CN"/>
                    </w:rPr>
                  </w:pPr>
                  <w:r>
                    <w:rPr>
                      <w:rFonts w:hint="eastAsia"/>
                      <w:highlight w:val="none"/>
                      <w:lang w:val="en-US" w:eastAsia="zh-CN"/>
                    </w:rPr>
                    <w:t>7.71</w:t>
                  </w:r>
                </w:p>
              </w:tc>
              <w:tc>
                <w:tcPr>
                  <w:tcW w:w="1358" w:type="pct"/>
                  <w:vAlign w:val="center"/>
                </w:tcPr>
                <w:p w14:paraId="647DC41F">
                  <w:pPr>
                    <w:pStyle w:val="83"/>
                    <w:rPr>
                      <w:rFonts w:hint="default" w:eastAsia="宋体"/>
                      <w:highlight w:val="none"/>
                      <w:lang w:val="en-US" w:eastAsia="zh-CN"/>
                    </w:rPr>
                  </w:pPr>
                  <w:r>
                    <w:rPr>
                      <w:rFonts w:hint="eastAsia"/>
                      <w:highlight w:val="none"/>
                      <w:lang w:val="en-US" w:eastAsia="zh-CN"/>
                    </w:rPr>
                    <w:t>50.877</w:t>
                  </w:r>
                </w:p>
              </w:tc>
            </w:tr>
            <w:tr w14:paraId="7EE210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3" w:type="pct"/>
                  <w:vMerge w:val="continue"/>
                  <w:vAlign w:val="center"/>
                </w:tcPr>
                <w:p w14:paraId="06C9D1D6">
                  <w:pPr>
                    <w:pStyle w:val="83"/>
                    <w:rPr>
                      <w:rFonts w:hint="default"/>
                      <w:highlight w:val="none"/>
                    </w:rPr>
                  </w:pPr>
                </w:p>
              </w:tc>
              <w:tc>
                <w:tcPr>
                  <w:tcW w:w="644" w:type="pct"/>
                  <w:vMerge w:val="continue"/>
                  <w:vAlign w:val="center"/>
                </w:tcPr>
                <w:p w14:paraId="0783A9E8">
                  <w:pPr>
                    <w:pStyle w:val="83"/>
                    <w:rPr>
                      <w:rFonts w:hint="default"/>
                      <w:highlight w:val="none"/>
                    </w:rPr>
                  </w:pPr>
                </w:p>
              </w:tc>
              <w:tc>
                <w:tcPr>
                  <w:tcW w:w="845" w:type="pct"/>
                  <w:vAlign w:val="center"/>
                </w:tcPr>
                <w:p w14:paraId="6119CE5E">
                  <w:pPr>
                    <w:pStyle w:val="83"/>
                    <w:rPr>
                      <w:rFonts w:hint="default"/>
                      <w:highlight w:val="none"/>
                    </w:rPr>
                  </w:pPr>
                  <w:r>
                    <w:rPr>
                      <w:highlight w:val="none"/>
                    </w:rPr>
                    <w:t>NH</w:t>
                  </w:r>
                  <w:r>
                    <w:rPr>
                      <w:highlight w:val="none"/>
                      <w:vertAlign w:val="subscript"/>
                    </w:rPr>
                    <w:t>3</w:t>
                  </w:r>
                  <w:r>
                    <w:rPr>
                      <w:highlight w:val="none"/>
                    </w:rPr>
                    <w:t>-N</w:t>
                  </w:r>
                </w:p>
              </w:tc>
              <w:tc>
                <w:tcPr>
                  <w:tcW w:w="527" w:type="pct"/>
                  <w:vAlign w:val="center"/>
                </w:tcPr>
                <w:p w14:paraId="360EE8FB">
                  <w:pPr>
                    <w:pStyle w:val="83"/>
                    <w:rPr>
                      <w:rFonts w:hint="default"/>
                      <w:highlight w:val="none"/>
                    </w:rPr>
                  </w:pPr>
                  <w:r>
                    <w:rPr>
                      <w:highlight w:val="none"/>
                    </w:rPr>
                    <w:t>t/a</w:t>
                  </w:r>
                </w:p>
              </w:tc>
              <w:tc>
                <w:tcPr>
                  <w:tcW w:w="1220" w:type="pct"/>
                  <w:vAlign w:val="center"/>
                </w:tcPr>
                <w:p w14:paraId="77130EBE">
                  <w:pPr>
                    <w:pStyle w:val="83"/>
                    <w:rPr>
                      <w:rFonts w:hint="default" w:eastAsia="宋体"/>
                      <w:highlight w:val="none"/>
                      <w:lang w:val="en-US" w:eastAsia="zh-CN"/>
                    </w:rPr>
                  </w:pPr>
                  <w:r>
                    <w:rPr>
                      <w:rFonts w:hint="eastAsia"/>
                      <w:highlight w:val="none"/>
                      <w:lang w:val="en-US" w:eastAsia="zh-CN"/>
                    </w:rPr>
                    <w:t>0.662</w:t>
                  </w:r>
                </w:p>
              </w:tc>
              <w:tc>
                <w:tcPr>
                  <w:tcW w:w="1358" w:type="pct"/>
                  <w:vAlign w:val="center"/>
                </w:tcPr>
                <w:p w14:paraId="02CFF476">
                  <w:pPr>
                    <w:pStyle w:val="83"/>
                    <w:rPr>
                      <w:rFonts w:hint="default" w:eastAsia="宋体"/>
                      <w:highlight w:val="none"/>
                      <w:lang w:val="en-US" w:eastAsia="zh-CN"/>
                    </w:rPr>
                  </w:pPr>
                  <w:r>
                    <w:rPr>
                      <w:rFonts w:hint="eastAsia"/>
                      <w:highlight w:val="none"/>
                      <w:lang w:val="en-US" w:eastAsia="zh-CN"/>
                    </w:rPr>
                    <w:t>3.3918</w:t>
                  </w:r>
                </w:p>
              </w:tc>
            </w:tr>
            <w:tr w14:paraId="2BE2E2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96" w:hRule="atLeast"/>
              </w:trPr>
              <w:tc>
                <w:tcPr>
                  <w:tcW w:w="403" w:type="pct"/>
                  <w:vMerge w:val="continue"/>
                  <w:vAlign w:val="center"/>
                </w:tcPr>
                <w:p w14:paraId="41959E92">
                  <w:pPr>
                    <w:pStyle w:val="83"/>
                    <w:rPr>
                      <w:rFonts w:hint="default"/>
                      <w:highlight w:val="none"/>
                    </w:rPr>
                  </w:pPr>
                </w:p>
              </w:tc>
              <w:tc>
                <w:tcPr>
                  <w:tcW w:w="644" w:type="pct"/>
                  <w:vMerge w:val="restart"/>
                  <w:vAlign w:val="center"/>
                </w:tcPr>
                <w:p w14:paraId="1900CAF1">
                  <w:pPr>
                    <w:pStyle w:val="83"/>
                    <w:rPr>
                      <w:rFonts w:hint="default"/>
                      <w:highlight w:val="none"/>
                    </w:rPr>
                  </w:pPr>
                  <w:r>
                    <w:rPr>
                      <w:highlight w:val="none"/>
                    </w:rPr>
                    <w:t>生活污水</w:t>
                  </w:r>
                </w:p>
              </w:tc>
              <w:tc>
                <w:tcPr>
                  <w:tcW w:w="845" w:type="pct"/>
                  <w:vAlign w:val="center"/>
                </w:tcPr>
                <w:p w14:paraId="40A42CD1">
                  <w:pPr>
                    <w:pStyle w:val="83"/>
                    <w:rPr>
                      <w:rFonts w:hint="eastAsia" w:eastAsia="宋体"/>
                      <w:highlight w:val="none"/>
                      <w:lang w:val="en-US" w:eastAsia="zh-CN"/>
                    </w:rPr>
                  </w:pPr>
                  <w:r>
                    <w:rPr>
                      <w:rFonts w:hint="eastAsia"/>
                      <w:highlight w:val="none"/>
                      <w:lang w:val="en-US" w:eastAsia="zh-CN"/>
                    </w:rPr>
                    <w:t>废水量</w:t>
                  </w:r>
                </w:p>
              </w:tc>
              <w:tc>
                <w:tcPr>
                  <w:tcW w:w="527" w:type="pct"/>
                  <w:vAlign w:val="center"/>
                </w:tcPr>
                <w:p w14:paraId="04E093F4">
                  <w:pPr>
                    <w:pStyle w:val="83"/>
                    <w:rPr>
                      <w:highlight w:val="none"/>
                    </w:rPr>
                  </w:pPr>
                  <w:r>
                    <w:rPr>
                      <w:rFonts w:hint="eastAsia"/>
                      <w:highlight w:val="none"/>
                      <w:lang w:val="en-US" w:eastAsia="zh-CN"/>
                    </w:rPr>
                    <w:t>万m</w:t>
                  </w:r>
                  <w:r>
                    <w:rPr>
                      <w:rFonts w:hint="eastAsia"/>
                      <w:highlight w:val="none"/>
                      <w:vertAlign w:val="superscript"/>
                      <w:lang w:val="en-US" w:eastAsia="zh-CN"/>
                    </w:rPr>
                    <w:t>3</w:t>
                  </w:r>
                  <w:r>
                    <w:rPr>
                      <w:rFonts w:hint="eastAsia"/>
                      <w:highlight w:val="none"/>
                      <w:lang w:val="en-US" w:eastAsia="zh-CN"/>
                    </w:rPr>
                    <w:t>/a</w:t>
                  </w:r>
                </w:p>
              </w:tc>
              <w:tc>
                <w:tcPr>
                  <w:tcW w:w="1220" w:type="pct"/>
                  <w:vAlign w:val="center"/>
                </w:tcPr>
                <w:p w14:paraId="62A6151F">
                  <w:pPr>
                    <w:pStyle w:val="83"/>
                    <w:ind w:firstLine="0" w:firstLineChars="0"/>
                    <w:rPr>
                      <w:rFonts w:hint="default" w:eastAsia="宋体"/>
                      <w:highlight w:val="none"/>
                      <w:lang w:val="en-US" w:eastAsia="zh-CN"/>
                    </w:rPr>
                  </w:pPr>
                  <w:r>
                    <w:rPr>
                      <w:rFonts w:hint="eastAsia"/>
                      <w:highlight w:val="none"/>
                      <w:lang w:val="en-US" w:eastAsia="zh-CN"/>
                    </w:rPr>
                    <w:t>7.88</w:t>
                  </w:r>
                </w:p>
              </w:tc>
              <w:tc>
                <w:tcPr>
                  <w:tcW w:w="1358" w:type="pct"/>
                  <w:vAlign w:val="center"/>
                </w:tcPr>
                <w:p w14:paraId="61DC2E74">
                  <w:pPr>
                    <w:pStyle w:val="83"/>
                    <w:rPr>
                      <w:rFonts w:hint="eastAsia" w:eastAsia="宋体"/>
                      <w:highlight w:val="none"/>
                      <w:lang w:val="en-US" w:eastAsia="zh-CN"/>
                    </w:rPr>
                  </w:pPr>
                  <w:r>
                    <w:rPr>
                      <w:rFonts w:hint="eastAsia"/>
                      <w:highlight w:val="none"/>
                      <w:lang w:val="en-US" w:eastAsia="zh-CN"/>
                    </w:rPr>
                    <w:t>-</w:t>
                  </w:r>
                </w:p>
              </w:tc>
            </w:tr>
            <w:tr w14:paraId="03D6CD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3" w:type="pct"/>
                  <w:vMerge w:val="continue"/>
                  <w:vAlign w:val="center"/>
                </w:tcPr>
                <w:p w14:paraId="1F0561E5">
                  <w:pPr>
                    <w:pStyle w:val="83"/>
                    <w:rPr>
                      <w:rFonts w:hint="default"/>
                      <w:highlight w:val="none"/>
                    </w:rPr>
                  </w:pPr>
                </w:p>
              </w:tc>
              <w:tc>
                <w:tcPr>
                  <w:tcW w:w="644" w:type="pct"/>
                  <w:vMerge w:val="continue"/>
                  <w:vAlign w:val="center"/>
                </w:tcPr>
                <w:p w14:paraId="23F1309D">
                  <w:pPr>
                    <w:pStyle w:val="83"/>
                    <w:rPr>
                      <w:rFonts w:hint="default"/>
                      <w:highlight w:val="none"/>
                    </w:rPr>
                  </w:pPr>
                </w:p>
              </w:tc>
              <w:tc>
                <w:tcPr>
                  <w:tcW w:w="845" w:type="pct"/>
                  <w:vAlign w:val="center"/>
                </w:tcPr>
                <w:p w14:paraId="76E2CE40">
                  <w:pPr>
                    <w:pStyle w:val="83"/>
                    <w:rPr>
                      <w:rFonts w:hint="default"/>
                      <w:highlight w:val="none"/>
                    </w:rPr>
                  </w:pPr>
                  <w:r>
                    <w:rPr>
                      <w:highlight w:val="none"/>
                    </w:rPr>
                    <w:t>COD</w:t>
                  </w:r>
                </w:p>
              </w:tc>
              <w:tc>
                <w:tcPr>
                  <w:tcW w:w="527" w:type="pct"/>
                  <w:vAlign w:val="center"/>
                </w:tcPr>
                <w:p w14:paraId="760F5792">
                  <w:pPr>
                    <w:pStyle w:val="83"/>
                    <w:rPr>
                      <w:rFonts w:hint="default"/>
                      <w:highlight w:val="none"/>
                    </w:rPr>
                  </w:pPr>
                  <w:r>
                    <w:rPr>
                      <w:highlight w:val="none"/>
                    </w:rPr>
                    <w:t>t/a</w:t>
                  </w:r>
                </w:p>
              </w:tc>
              <w:tc>
                <w:tcPr>
                  <w:tcW w:w="1220" w:type="pct"/>
                  <w:vAlign w:val="center"/>
                </w:tcPr>
                <w:p w14:paraId="1EB2E03E">
                  <w:pPr>
                    <w:pStyle w:val="83"/>
                    <w:ind w:firstLine="0" w:firstLineChars="0"/>
                    <w:rPr>
                      <w:rFonts w:hint="default" w:eastAsia="宋体"/>
                      <w:highlight w:val="none"/>
                      <w:lang w:val="en-US" w:eastAsia="zh-CN"/>
                    </w:rPr>
                  </w:pPr>
                  <w:r>
                    <w:rPr>
                      <w:rFonts w:hint="eastAsia"/>
                      <w:highlight w:val="none"/>
                      <w:lang w:val="en-US" w:eastAsia="zh-CN"/>
                    </w:rPr>
                    <w:t>23.64</w:t>
                  </w:r>
                </w:p>
              </w:tc>
              <w:tc>
                <w:tcPr>
                  <w:tcW w:w="1358" w:type="pct"/>
                  <w:vAlign w:val="center"/>
                </w:tcPr>
                <w:p w14:paraId="10FE38D4">
                  <w:pPr>
                    <w:pStyle w:val="83"/>
                    <w:rPr>
                      <w:rFonts w:hint="default"/>
                      <w:highlight w:val="none"/>
                    </w:rPr>
                  </w:pPr>
                  <w:r>
                    <w:rPr>
                      <w:highlight w:val="none"/>
                    </w:rPr>
                    <w:t>-</w:t>
                  </w:r>
                </w:p>
              </w:tc>
            </w:tr>
            <w:tr w14:paraId="38F04B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3" w:type="pct"/>
                  <w:vMerge w:val="continue"/>
                  <w:vAlign w:val="center"/>
                </w:tcPr>
                <w:p w14:paraId="629368BF">
                  <w:pPr>
                    <w:pStyle w:val="83"/>
                    <w:rPr>
                      <w:rFonts w:hint="default"/>
                      <w:highlight w:val="none"/>
                    </w:rPr>
                  </w:pPr>
                </w:p>
              </w:tc>
              <w:tc>
                <w:tcPr>
                  <w:tcW w:w="644" w:type="pct"/>
                  <w:vMerge w:val="continue"/>
                  <w:vAlign w:val="center"/>
                </w:tcPr>
                <w:p w14:paraId="4C265049">
                  <w:pPr>
                    <w:pStyle w:val="83"/>
                    <w:rPr>
                      <w:rFonts w:hint="default"/>
                      <w:highlight w:val="none"/>
                    </w:rPr>
                  </w:pPr>
                </w:p>
              </w:tc>
              <w:tc>
                <w:tcPr>
                  <w:tcW w:w="845" w:type="pct"/>
                  <w:vAlign w:val="center"/>
                </w:tcPr>
                <w:p w14:paraId="74E2E5BF">
                  <w:pPr>
                    <w:pStyle w:val="83"/>
                    <w:rPr>
                      <w:rFonts w:hint="default"/>
                      <w:highlight w:val="none"/>
                    </w:rPr>
                  </w:pPr>
                  <w:r>
                    <w:rPr>
                      <w:highlight w:val="none"/>
                    </w:rPr>
                    <w:t>NH</w:t>
                  </w:r>
                  <w:r>
                    <w:rPr>
                      <w:highlight w:val="none"/>
                      <w:vertAlign w:val="subscript"/>
                    </w:rPr>
                    <w:t>3</w:t>
                  </w:r>
                  <w:r>
                    <w:rPr>
                      <w:highlight w:val="none"/>
                    </w:rPr>
                    <w:t>-N</w:t>
                  </w:r>
                </w:p>
              </w:tc>
              <w:tc>
                <w:tcPr>
                  <w:tcW w:w="527" w:type="pct"/>
                  <w:vAlign w:val="center"/>
                </w:tcPr>
                <w:p w14:paraId="3F94B970">
                  <w:pPr>
                    <w:pStyle w:val="83"/>
                    <w:rPr>
                      <w:rFonts w:hint="default"/>
                      <w:highlight w:val="none"/>
                    </w:rPr>
                  </w:pPr>
                  <w:r>
                    <w:rPr>
                      <w:highlight w:val="none"/>
                    </w:rPr>
                    <w:t>t/a</w:t>
                  </w:r>
                </w:p>
              </w:tc>
              <w:tc>
                <w:tcPr>
                  <w:tcW w:w="1220" w:type="pct"/>
                  <w:vAlign w:val="center"/>
                </w:tcPr>
                <w:p w14:paraId="7E94F347">
                  <w:pPr>
                    <w:pStyle w:val="83"/>
                    <w:ind w:firstLine="0" w:firstLineChars="0"/>
                    <w:rPr>
                      <w:rFonts w:hint="default" w:eastAsia="宋体"/>
                      <w:highlight w:val="none"/>
                      <w:lang w:val="en-US" w:eastAsia="zh-CN"/>
                    </w:rPr>
                  </w:pPr>
                  <w:r>
                    <w:rPr>
                      <w:rFonts w:hint="eastAsia"/>
                      <w:highlight w:val="none"/>
                      <w:lang w:val="en-US" w:eastAsia="zh-CN"/>
                    </w:rPr>
                    <w:t>2.6</w:t>
                  </w:r>
                </w:p>
              </w:tc>
              <w:tc>
                <w:tcPr>
                  <w:tcW w:w="1358" w:type="pct"/>
                  <w:vAlign w:val="center"/>
                </w:tcPr>
                <w:p w14:paraId="185CBDF6">
                  <w:pPr>
                    <w:pStyle w:val="83"/>
                    <w:rPr>
                      <w:rFonts w:hint="default"/>
                      <w:highlight w:val="none"/>
                    </w:rPr>
                  </w:pPr>
                  <w:r>
                    <w:rPr>
                      <w:highlight w:val="none"/>
                    </w:rPr>
                    <w:t>-</w:t>
                  </w:r>
                </w:p>
              </w:tc>
            </w:tr>
            <w:tr w14:paraId="081CE3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047" w:type="pct"/>
                  <w:gridSpan w:val="2"/>
                  <w:vMerge w:val="restart"/>
                  <w:vAlign w:val="center"/>
                </w:tcPr>
                <w:p w14:paraId="7594065C">
                  <w:pPr>
                    <w:pStyle w:val="83"/>
                    <w:rPr>
                      <w:rFonts w:hint="default"/>
                      <w:highlight w:val="none"/>
                    </w:rPr>
                  </w:pPr>
                  <w:r>
                    <w:rPr>
                      <w:highlight w:val="none"/>
                    </w:rPr>
                    <w:t>废气</w:t>
                  </w:r>
                </w:p>
              </w:tc>
              <w:tc>
                <w:tcPr>
                  <w:tcW w:w="845" w:type="pct"/>
                  <w:vAlign w:val="center"/>
                </w:tcPr>
                <w:p w14:paraId="4AC4E172">
                  <w:pPr>
                    <w:pStyle w:val="83"/>
                    <w:rPr>
                      <w:rFonts w:hint="default"/>
                      <w:highlight w:val="none"/>
                    </w:rPr>
                  </w:pPr>
                  <w:r>
                    <w:rPr>
                      <w:highlight w:val="none"/>
                    </w:rPr>
                    <w:t>氮氧化物</w:t>
                  </w:r>
                </w:p>
              </w:tc>
              <w:tc>
                <w:tcPr>
                  <w:tcW w:w="527" w:type="pct"/>
                  <w:vAlign w:val="center"/>
                </w:tcPr>
                <w:p w14:paraId="7E09AD26">
                  <w:pPr>
                    <w:pStyle w:val="83"/>
                    <w:rPr>
                      <w:rFonts w:hint="default"/>
                      <w:highlight w:val="none"/>
                    </w:rPr>
                  </w:pPr>
                  <w:r>
                    <w:rPr>
                      <w:highlight w:val="none"/>
                    </w:rPr>
                    <w:t>t/a</w:t>
                  </w:r>
                </w:p>
              </w:tc>
              <w:tc>
                <w:tcPr>
                  <w:tcW w:w="1220" w:type="pct"/>
                  <w:vAlign w:val="center"/>
                </w:tcPr>
                <w:p w14:paraId="321666DD">
                  <w:pPr>
                    <w:pStyle w:val="83"/>
                    <w:rPr>
                      <w:rFonts w:hint="default" w:eastAsia="宋体"/>
                      <w:highlight w:val="none"/>
                      <w:lang w:val="en-US" w:eastAsia="zh-CN"/>
                    </w:rPr>
                  </w:pPr>
                  <w:r>
                    <w:rPr>
                      <w:rFonts w:hint="eastAsia"/>
                      <w:highlight w:val="none"/>
                      <w:lang w:val="en-US" w:eastAsia="zh-CN"/>
                    </w:rPr>
                    <w:t>19.1</w:t>
                  </w:r>
                </w:p>
              </w:tc>
              <w:tc>
                <w:tcPr>
                  <w:tcW w:w="1358" w:type="pct"/>
                  <w:vAlign w:val="center"/>
                </w:tcPr>
                <w:p w14:paraId="6464BFBF">
                  <w:pPr>
                    <w:pStyle w:val="83"/>
                    <w:rPr>
                      <w:rFonts w:hint="default" w:eastAsia="宋体"/>
                      <w:highlight w:val="none"/>
                      <w:lang w:val="en-US" w:eastAsia="zh-CN"/>
                    </w:rPr>
                  </w:pPr>
                  <w:r>
                    <w:rPr>
                      <w:rFonts w:hint="eastAsia"/>
                      <w:highlight w:val="none"/>
                      <w:lang w:val="en-US" w:eastAsia="zh-CN"/>
                    </w:rPr>
                    <w:t>19.1</w:t>
                  </w:r>
                </w:p>
              </w:tc>
            </w:tr>
            <w:tr w14:paraId="4C1BB7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047" w:type="pct"/>
                  <w:gridSpan w:val="2"/>
                  <w:vMerge w:val="continue"/>
                  <w:vAlign w:val="center"/>
                </w:tcPr>
                <w:p w14:paraId="573F02F9">
                  <w:pPr>
                    <w:pStyle w:val="83"/>
                    <w:rPr>
                      <w:rFonts w:hint="default"/>
                      <w:highlight w:val="none"/>
                    </w:rPr>
                  </w:pPr>
                </w:p>
              </w:tc>
              <w:tc>
                <w:tcPr>
                  <w:tcW w:w="845" w:type="pct"/>
                  <w:vAlign w:val="center"/>
                </w:tcPr>
                <w:p w14:paraId="2761EC77">
                  <w:pPr>
                    <w:pStyle w:val="83"/>
                    <w:rPr>
                      <w:rFonts w:hint="default"/>
                      <w:highlight w:val="none"/>
                    </w:rPr>
                  </w:pPr>
                  <w:r>
                    <w:rPr>
                      <w:highlight w:val="none"/>
                    </w:rPr>
                    <w:t>颗粒物</w:t>
                  </w:r>
                </w:p>
              </w:tc>
              <w:tc>
                <w:tcPr>
                  <w:tcW w:w="527" w:type="pct"/>
                  <w:vAlign w:val="center"/>
                </w:tcPr>
                <w:p w14:paraId="72B95B2F">
                  <w:pPr>
                    <w:pStyle w:val="83"/>
                    <w:rPr>
                      <w:rFonts w:hint="default"/>
                      <w:highlight w:val="none"/>
                    </w:rPr>
                  </w:pPr>
                  <w:r>
                    <w:rPr>
                      <w:highlight w:val="none"/>
                    </w:rPr>
                    <w:t>t/a</w:t>
                  </w:r>
                </w:p>
              </w:tc>
              <w:tc>
                <w:tcPr>
                  <w:tcW w:w="1220" w:type="pct"/>
                  <w:vAlign w:val="center"/>
                </w:tcPr>
                <w:p w14:paraId="7DE97263">
                  <w:pPr>
                    <w:pStyle w:val="83"/>
                    <w:rPr>
                      <w:rFonts w:hint="default" w:eastAsia="宋体"/>
                      <w:highlight w:val="none"/>
                      <w:lang w:val="en-US" w:eastAsia="zh-CN"/>
                    </w:rPr>
                  </w:pPr>
                  <w:r>
                    <w:rPr>
                      <w:rFonts w:hint="eastAsia"/>
                      <w:highlight w:val="none"/>
                      <w:lang w:val="en-US" w:eastAsia="zh-CN"/>
                    </w:rPr>
                    <w:t>9.08</w:t>
                  </w:r>
                </w:p>
              </w:tc>
              <w:tc>
                <w:tcPr>
                  <w:tcW w:w="1358" w:type="pct"/>
                  <w:vAlign w:val="center"/>
                </w:tcPr>
                <w:p w14:paraId="37943756">
                  <w:pPr>
                    <w:pStyle w:val="83"/>
                    <w:rPr>
                      <w:rFonts w:hint="default" w:eastAsia="宋体"/>
                      <w:highlight w:val="none"/>
                      <w:lang w:val="en-US" w:eastAsia="zh-CN"/>
                    </w:rPr>
                  </w:pPr>
                  <w:r>
                    <w:rPr>
                      <w:rFonts w:hint="eastAsia"/>
                      <w:highlight w:val="none"/>
                      <w:lang w:val="en-US" w:eastAsia="zh-CN"/>
                    </w:rPr>
                    <w:t>9.08</w:t>
                  </w:r>
                </w:p>
              </w:tc>
            </w:tr>
            <w:tr w14:paraId="179A51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047" w:type="pct"/>
                  <w:gridSpan w:val="2"/>
                  <w:vMerge w:val="continue"/>
                  <w:vAlign w:val="center"/>
                </w:tcPr>
                <w:p w14:paraId="5E636FF2">
                  <w:pPr>
                    <w:pStyle w:val="83"/>
                    <w:rPr>
                      <w:rFonts w:hint="default"/>
                      <w:highlight w:val="none"/>
                    </w:rPr>
                  </w:pPr>
                </w:p>
              </w:tc>
              <w:tc>
                <w:tcPr>
                  <w:tcW w:w="845" w:type="pct"/>
                  <w:vAlign w:val="center"/>
                </w:tcPr>
                <w:p w14:paraId="27CA84E9">
                  <w:pPr>
                    <w:pStyle w:val="83"/>
                    <w:rPr>
                      <w:rFonts w:hint="default"/>
                      <w:highlight w:val="none"/>
                    </w:rPr>
                  </w:pPr>
                  <w:r>
                    <w:rPr>
                      <w:highlight w:val="none"/>
                    </w:rPr>
                    <w:t>二氧化硫</w:t>
                  </w:r>
                </w:p>
              </w:tc>
              <w:tc>
                <w:tcPr>
                  <w:tcW w:w="527" w:type="pct"/>
                  <w:vAlign w:val="center"/>
                </w:tcPr>
                <w:p w14:paraId="1F59AB00">
                  <w:pPr>
                    <w:pStyle w:val="83"/>
                    <w:rPr>
                      <w:rFonts w:hint="default"/>
                      <w:highlight w:val="none"/>
                    </w:rPr>
                  </w:pPr>
                  <w:r>
                    <w:rPr>
                      <w:highlight w:val="none"/>
                    </w:rPr>
                    <w:t>t/a</w:t>
                  </w:r>
                </w:p>
              </w:tc>
              <w:tc>
                <w:tcPr>
                  <w:tcW w:w="1220" w:type="pct"/>
                  <w:vAlign w:val="center"/>
                </w:tcPr>
                <w:p w14:paraId="31C1B8FE">
                  <w:pPr>
                    <w:pStyle w:val="83"/>
                    <w:rPr>
                      <w:rFonts w:hint="default" w:eastAsia="宋体"/>
                      <w:highlight w:val="none"/>
                      <w:lang w:val="en-US" w:eastAsia="zh-CN"/>
                    </w:rPr>
                  </w:pPr>
                  <w:r>
                    <w:rPr>
                      <w:rFonts w:hint="eastAsia"/>
                      <w:highlight w:val="none"/>
                      <w:lang w:val="en-US" w:eastAsia="zh-CN"/>
                    </w:rPr>
                    <w:t>11.73</w:t>
                  </w:r>
                </w:p>
              </w:tc>
              <w:tc>
                <w:tcPr>
                  <w:tcW w:w="1358" w:type="pct"/>
                  <w:vAlign w:val="center"/>
                </w:tcPr>
                <w:p w14:paraId="377B7DEA">
                  <w:pPr>
                    <w:pStyle w:val="83"/>
                    <w:rPr>
                      <w:rFonts w:hint="eastAsia" w:eastAsia="宋体"/>
                      <w:highlight w:val="none"/>
                      <w:lang w:eastAsia="zh-CN"/>
                    </w:rPr>
                  </w:pPr>
                  <w:r>
                    <w:rPr>
                      <w:rFonts w:hint="eastAsia"/>
                      <w:highlight w:val="none"/>
                      <w:lang w:val="en-US" w:eastAsia="zh-CN"/>
                    </w:rPr>
                    <w:t>-</w:t>
                  </w:r>
                </w:p>
              </w:tc>
            </w:tr>
            <w:tr w14:paraId="723F43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047" w:type="pct"/>
                  <w:gridSpan w:val="2"/>
                  <w:vMerge w:val="continue"/>
                  <w:vAlign w:val="center"/>
                </w:tcPr>
                <w:p w14:paraId="16366184">
                  <w:pPr>
                    <w:pStyle w:val="83"/>
                    <w:rPr>
                      <w:rFonts w:hint="default"/>
                      <w:highlight w:val="none"/>
                    </w:rPr>
                  </w:pPr>
                </w:p>
              </w:tc>
              <w:tc>
                <w:tcPr>
                  <w:tcW w:w="845" w:type="pct"/>
                  <w:vAlign w:val="center"/>
                </w:tcPr>
                <w:p w14:paraId="3F47C4A4">
                  <w:pPr>
                    <w:pStyle w:val="83"/>
                    <w:rPr>
                      <w:rFonts w:hint="default"/>
                      <w:highlight w:val="none"/>
                    </w:rPr>
                  </w:pPr>
                  <w:r>
                    <w:rPr>
                      <w:highlight w:val="none"/>
                    </w:rPr>
                    <w:t>挥发性有机物</w:t>
                  </w:r>
                </w:p>
              </w:tc>
              <w:tc>
                <w:tcPr>
                  <w:tcW w:w="527" w:type="pct"/>
                  <w:vAlign w:val="center"/>
                </w:tcPr>
                <w:p w14:paraId="3F4FB08E">
                  <w:pPr>
                    <w:pStyle w:val="83"/>
                    <w:rPr>
                      <w:rFonts w:hint="default"/>
                      <w:highlight w:val="none"/>
                    </w:rPr>
                  </w:pPr>
                  <w:r>
                    <w:rPr>
                      <w:highlight w:val="none"/>
                    </w:rPr>
                    <w:t>t/a</w:t>
                  </w:r>
                </w:p>
              </w:tc>
              <w:tc>
                <w:tcPr>
                  <w:tcW w:w="1220" w:type="pct"/>
                  <w:vAlign w:val="center"/>
                </w:tcPr>
                <w:p w14:paraId="435AC0E4">
                  <w:pPr>
                    <w:pStyle w:val="83"/>
                    <w:rPr>
                      <w:rFonts w:hint="default" w:eastAsia="宋体"/>
                      <w:highlight w:val="none"/>
                      <w:lang w:val="en-US" w:eastAsia="zh-CN"/>
                    </w:rPr>
                  </w:pPr>
                  <w:r>
                    <w:rPr>
                      <w:rFonts w:hint="eastAsia"/>
                      <w:highlight w:val="none"/>
                      <w:lang w:val="en-US" w:eastAsia="zh-CN"/>
                    </w:rPr>
                    <w:t>17.87</w:t>
                  </w:r>
                </w:p>
              </w:tc>
              <w:tc>
                <w:tcPr>
                  <w:tcW w:w="1358" w:type="pct"/>
                  <w:vAlign w:val="center"/>
                </w:tcPr>
                <w:p w14:paraId="5EEAD6CC">
                  <w:pPr>
                    <w:pStyle w:val="83"/>
                    <w:rPr>
                      <w:rFonts w:hint="default"/>
                      <w:highlight w:val="none"/>
                    </w:rPr>
                  </w:pPr>
                  <w:r>
                    <w:rPr>
                      <w:rFonts w:hint="eastAsia"/>
                      <w:highlight w:val="none"/>
                      <w:lang w:val="en-US" w:eastAsia="zh-CN"/>
                    </w:rPr>
                    <w:t>17.87</w:t>
                  </w:r>
                </w:p>
              </w:tc>
            </w:tr>
            <w:tr w14:paraId="6C85BCF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047" w:type="pct"/>
                  <w:gridSpan w:val="2"/>
                  <w:vMerge w:val="restart"/>
                  <w:vAlign w:val="center"/>
                </w:tcPr>
                <w:p w14:paraId="0015F477">
                  <w:pPr>
                    <w:pStyle w:val="83"/>
                    <w:rPr>
                      <w:rFonts w:hint="default"/>
                      <w:highlight w:val="none"/>
                    </w:rPr>
                  </w:pPr>
                  <w:r>
                    <w:rPr>
                      <w:highlight w:val="none"/>
                    </w:rPr>
                    <w:t>固废（产生量）</w:t>
                  </w:r>
                </w:p>
              </w:tc>
              <w:tc>
                <w:tcPr>
                  <w:tcW w:w="845" w:type="pct"/>
                  <w:vAlign w:val="center"/>
                </w:tcPr>
                <w:p w14:paraId="65502E34">
                  <w:pPr>
                    <w:pStyle w:val="83"/>
                    <w:rPr>
                      <w:rFonts w:hint="default"/>
                      <w:highlight w:val="none"/>
                    </w:rPr>
                  </w:pPr>
                  <w:r>
                    <w:rPr>
                      <w:highlight w:val="none"/>
                    </w:rPr>
                    <w:t>一般固体废物</w:t>
                  </w:r>
                </w:p>
              </w:tc>
              <w:tc>
                <w:tcPr>
                  <w:tcW w:w="527" w:type="pct"/>
                  <w:vAlign w:val="center"/>
                </w:tcPr>
                <w:p w14:paraId="50096AD7">
                  <w:pPr>
                    <w:pStyle w:val="83"/>
                    <w:rPr>
                      <w:rFonts w:hint="default"/>
                      <w:highlight w:val="none"/>
                    </w:rPr>
                  </w:pPr>
                  <w:r>
                    <w:rPr>
                      <w:highlight w:val="none"/>
                    </w:rPr>
                    <w:t>t/a</w:t>
                  </w:r>
                </w:p>
              </w:tc>
              <w:tc>
                <w:tcPr>
                  <w:tcW w:w="1220" w:type="pct"/>
                  <w:vAlign w:val="center"/>
                </w:tcPr>
                <w:p w14:paraId="37F4C43C">
                  <w:pPr>
                    <w:pStyle w:val="83"/>
                    <w:rPr>
                      <w:highlight w:val="none"/>
                    </w:rPr>
                  </w:pPr>
                  <w:r>
                    <w:rPr>
                      <w:highlight w:val="none"/>
                    </w:rPr>
                    <w:t>1218</w:t>
                  </w:r>
                </w:p>
              </w:tc>
              <w:tc>
                <w:tcPr>
                  <w:tcW w:w="1358" w:type="pct"/>
                  <w:vAlign w:val="center"/>
                </w:tcPr>
                <w:p w14:paraId="0CDBEFA8">
                  <w:pPr>
                    <w:pStyle w:val="83"/>
                    <w:rPr>
                      <w:rFonts w:hint="default"/>
                      <w:highlight w:val="none"/>
                    </w:rPr>
                  </w:pPr>
                  <w:r>
                    <w:rPr>
                      <w:highlight w:val="none"/>
                    </w:rPr>
                    <w:t>-</w:t>
                  </w:r>
                </w:p>
              </w:tc>
            </w:tr>
            <w:tr w14:paraId="320897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047" w:type="pct"/>
                  <w:gridSpan w:val="2"/>
                  <w:vMerge w:val="continue"/>
                  <w:vAlign w:val="center"/>
                </w:tcPr>
                <w:p w14:paraId="61AE839A">
                  <w:pPr>
                    <w:pStyle w:val="83"/>
                    <w:rPr>
                      <w:rFonts w:hint="default"/>
                      <w:highlight w:val="none"/>
                    </w:rPr>
                  </w:pPr>
                </w:p>
              </w:tc>
              <w:tc>
                <w:tcPr>
                  <w:tcW w:w="845" w:type="pct"/>
                  <w:vAlign w:val="center"/>
                </w:tcPr>
                <w:p w14:paraId="7EFB962A">
                  <w:pPr>
                    <w:pStyle w:val="83"/>
                    <w:rPr>
                      <w:rFonts w:hint="default"/>
                      <w:highlight w:val="none"/>
                    </w:rPr>
                  </w:pPr>
                  <w:r>
                    <w:rPr>
                      <w:highlight w:val="none"/>
                    </w:rPr>
                    <w:t>生活垃圾</w:t>
                  </w:r>
                </w:p>
              </w:tc>
              <w:tc>
                <w:tcPr>
                  <w:tcW w:w="527" w:type="pct"/>
                  <w:vAlign w:val="center"/>
                </w:tcPr>
                <w:p w14:paraId="14BCC6B1">
                  <w:pPr>
                    <w:pStyle w:val="83"/>
                    <w:rPr>
                      <w:rFonts w:hint="default"/>
                      <w:highlight w:val="none"/>
                    </w:rPr>
                  </w:pPr>
                  <w:r>
                    <w:rPr>
                      <w:highlight w:val="none"/>
                    </w:rPr>
                    <w:t>t/a</w:t>
                  </w:r>
                </w:p>
              </w:tc>
              <w:tc>
                <w:tcPr>
                  <w:tcW w:w="1220" w:type="pct"/>
                  <w:vAlign w:val="center"/>
                </w:tcPr>
                <w:p w14:paraId="6E7FB2E2">
                  <w:pPr>
                    <w:pStyle w:val="83"/>
                    <w:rPr>
                      <w:highlight w:val="none"/>
                    </w:rPr>
                  </w:pPr>
                  <w:r>
                    <w:rPr>
                      <w:highlight w:val="none"/>
                    </w:rPr>
                    <w:t>655.98</w:t>
                  </w:r>
                </w:p>
              </w:tc>
              <w:tc>
                <w:tcPr>
                  <w:tcW w:w="1358" w:type="pct"/>
                  <w:vAlign w:val="center"/>
                </w:tcPr>
                <w:p w14:paraId="2BAD4A50">
                  <w:pPr>
                    <w:pStyle w:val="83"/>
                    <w:rPr>
                      <w:rFonts w:hint="default"/>
                      <w:highlight w:val="none"/>
                    </w:rPr>
                  </w:pPr>
                  <w:r>
                    <w:rPr>
                      <w:highlight w:val="none"/>
                    </w:rPr>
                    <w:t>-</w:t>
                  </w:r>
                </w:p>
              </w:tc>
            </w:tr>
            <w:tr w14:paraId="6E7201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047" w:type="pct"/>
                  <w:gridSpan w:val="2"/>
                  <w:vMerge w:val="continue"/>
                  <w:vAlign w:val="center"/>
                </w:tcPr>
                <w:p w14:paraId="0E9CC1CA">
                  <w:pPr>
                    <w:pStyle w:val="83"/>
                    <w:rPr>
                      <w:rFonts w:hint="default"/>
                      <w:highlight w:val="none"/>
                    </w:rPr>
                  </w:pPr>
                </w:p>
              </w:tc>
              <w:tc>
                <w:tcPr>
                  <w:tcW w:w="845" w:type="pct"/>
                  <w:vAlign w:val="center"/>
                </w:tcPr>
                <w:p w14:paraId="2EC32273">
                  <w:pPr>
                    <w:pStyle w:val="83"/>
                    <w:rPr>
                      <w:rFonts w:hint="default"/>
                      <w:highlight w:val="none"/>
                    </w:rPr>
                  </w:pPr>
                  <w:r>
                    <w:rPr>
                      <w:highlight w:val="none"/>
                    </w:rPr>
                    <w:t>危险废物</w:t>
                  </w:r>
                </w:p>
              </w:tc>
              <w:tc>
                <w:tcPr>
                  <w:tcW w:w="527" w:type="pct"/>
                  <w:vAlign w:val="center"/>
                </w:tcPr>
                <w:p w14:paraId="0F0D54DF">
                  <w:pPr>
                    <w:pStyle w:val="83"/>
                    <w:rPr>
                      <w:rFonts w:hint="default"/>
                      <w:highlight w:val="none"/>
                    </w:rPr>
                  </w:pPr>
                  <w:r>
                    <w:rPr>
                      <w:highlight w:val="none"/>
                    </w:rPr>
                    <w:t>t/a</w:t>
                  </w:r>
                </w:p>
              </w:tc>
              <w:tc>
                <w:tcPr>
                  <w:tcW w:w="1220" w:type="pct"/>
                  <w:vAlign w:val="center"/>
                </w:tcPr>
                <w:p w14:paraId="67A89C7E">
                  <w:pPr>
                    <w:pStyle w:val="83"/>
                    <w:rPr>
                      <w:highlight w:val="none"/>
                    </w:rPr>
                  </w:pPr>
                  <w:r>
                    <w:rPr>
                      <w:highlight w:val="none"/>
                    </w:rPr>
                    <w:t>111.336</w:t>
                  </w:r>
                </w:p>
              </w:tc>
              <w:tc>
                <w:tcPr>
                  <w:tcW w:w="1358" w:type="pct"/>
                  <w:vAlign w:val="center"/>
                </w:tcPr>
                <w:p w14:paraId="27792AF7">
                  <w:pPr>
                    <w:pStyle w:val="83"/>
                    <w:rPr>
                      <w:rFonts w:hint="default"/>
                      <w:highlight w:val="none"/>
                    </w:rPr>
                  </w:pPr>
                  <w:r>
                    <w:rPr>
                      <w:highlight w:val="none"/>
                    </w:rPr>
                    <w:t>-</w:t>
                  </w:r>
                </w:p>
              </w:tc>
            </w:tr>
            <w:tr w14:paraId="6E1377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5000" w:type="pct"/>
                  <w:gridSpan w:val="6"/>
                  <w:vAlign w:val="center"/>
                </w:tcPr>
                <w:p w14:paraId="7C3A4966">
                  <w:pPr>
                    <w:pStyle w:val="83"/>
                    <w:jc w:val="left"/>
                    <w:rPr>
                      <w:sz w:val="18"/>
                      <w:szCs w:val="18"/>
                      <w:highlight w:val="none"/>
                    </w:rPr>
                  </w:pPr>
                  <w:r>
                    <w:rPr>
                      <w:sz w:val="18"/>
                      <w:szCs w:val="18"/>
                      <w:highlight w:val="none"/>
                    </w:rPr>
                    <w:t>备注：挥发性有机物以非甲烷总烃表征。</w:t>
                  </w:r>
                </w:p>
              </w:tc>
            </w:tr>
            <w:bookmarkEnd w:id="6"/>
          </w:tbl>
          <w:p w14:paraId="4FFF1746">
            <w:pPr>
              <w:ind w:firstLine="480"/>
            </w:pPr>
            <w:r>
              <w:rPr>
                <w:rFonts w:hint="eastAsia"/>
              </w:rPr>
              <w:t>综上所述，现有工程污染物排放均符合排污许可证许可排放量限值要求。</w:t>
            </w:r>
          </w:p>
          <w:p w14:paraId="082CC59B">
            <w:pPr>
              <w:pStyle w:val="3"/>
              <w:spacing w:before="120" w:after="0" w:afterLines="0"/>
            </w:pPr>
            <w:r>
              <w:rPr>
                <w:rFonts w:hint="eastAsia"/>
              </w:rPr>
              <w:t>2.6 现有工程环评批复落实情况</w:t>
            </w:r>
          </w:p>
          <w:p w14:paraId="38A5715F">
            <w:pPr>
              <w:ind w:firstLine="480"/>
            </w:pPr>
            <w:r>
              <w:rPr>
                <w:rFonts w:hint="eastAsia"/>
              </w:rPr>
              <w:t>1.纺丝一、二期项目</w:t>
            </w:r>
          </w:p>
          <w:p w14:paraId="3DFB2DD7">
            <w:pPr>
              <w:pStyle w:val="13"/>
            </w:pPr>
            <w:r>
              <w:rPr>
                <w:rFonts w:hint="eastAsia"/>
              </w:rPr>
              <w:t>表2.6-1  现有纺丝一、二期工程环评批复执行情况一览表</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51"/>
              <w:gridCol w:w="4649"/>
            </w:tblGrid>
            <w:tr w14:paraId="689D1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388" w:type="pct"/>
                  <w:vAlign w:val="center"/>
                </w:tcPr>
                <w:p w14:paraId="681A7342">
                  <w:pPr>
                    <w:pStyle w:val="83"/>
                    <w:rPr>
                      <w:rFonts w:hint="default"/>
                    </w:rPr>
                  </w:pPr>
                  <w:r>
                    <w:t>环评及批复要求</w:t>
                  </w:r>
                </w:p>
              </w:tc>
              <w:tc>
                <w:tcPr>
                  <w:tcW w:w="2611" w:type="pct"/>
                  <w:vAlign w:val="center"/>
                </w:tcPr>
                <w:p w14:paraId="59C4A93B">
                  <w:pPr>
                    <w:pStyle w:val="83"/>
                    <w:rPr>
                      <w:rFonts w:hint="default"/>
                    </w:rPr>
                  </w:pPr>
                  <w:r>
                    <w:t>实际执行情况</w:t>
                  </w:r>
                </w:p>
              </w:tc>
            </w:tr>
            <w:tr w14:paraId="2B2DB1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8" w:type="pct"/>
                  <w:vAlign w:val="center"/>
                </w:tcPr>
                <w:p w14:paraId="6DCB28D5">
                  <w:pPr>
                    <w:pStyle w:val="83"/>
                    <w:jc w:val="both"/>
                    <w:rPr>
                      <w:rFonts w:hint="default"/>
                    </w:rPr>
                  </w:pPr>
                  <w:r>
                    <w:t>1.厂区实行雨污分流，生产废水及设备冷却水全部循环使用，不得外排；生活污水经处理达标后纳入工业区污水管网引至松下牛头湾排海；厂区不得新设排污口</w:t>
                  </w:r>
                </w:p>
              </w:tc>
              <w:tc>
                <w:tcPr>
                  <w:tcW w:w="2611" w:type="pct"/>
                  <w:vAlign w:val="center"/>
                </w:tcPr>
                <w:p w14:paraId="25EA5E3B">
                  <w:pPr>
                    <w:pStyle w:val="83"/>
                    <w:jc w:val="both"/>
                    <w:rPr>
                      <w:rFonts w:hint="default"/>
                    </w:rPr>
                  </w:pPr>
                  <w:r>
                    <w:t>厂区生产废水经综合废水处理站处理后回用生产，生活污水经化粪池处理后纳入工业区污水管网由滨海工业区污水处理厂集中处理，尾水由牛头湾排海；反渗透浓水纳入工业区污水管网由滨海工业区污水处理厂集中处理，尾水由牛头湾排海。</w:t>
                  </w:r>
                </w:p>
              </w:tc>
            </w:tr>
            <w:tr w14:paraId="43E67A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8" w:type="pct"/>
                  <w:vAlign w:val="center"/>
                </w:tcPr>
                <w:p w14:paraId="130B2AC4">
                  <w:pPr>
                    <w:pStyle w:val="83"/>
                    <w:jc w:val="both"/>
                    <w:rPr>
                      <w:rFonts w:hint="default"/>
                    </w:rPr>
                  </w:pPr>
                  <w:r>
                    <w:t>2.合理布局生产设备，选用低噪声设备，并对产噪设备采用隔声、消声和减振等综合降噪处理措施，确保厂界噪声达标</w:t>
                  </w:r>
                </w:p>
              </w:tc>
              <w:tc>
                <w:tcPr>
                  <w:tcW w:w="2611" w:type="pct"/>
                  <w:vAlign w:val="center"/>
                </w:tcPr>
                <w:p w14:paraId="2E746F81">
                  <w:pPr>
                    <w:pStyle w:val="83"/>
                    <w:jc w:val="both"/>
                    <w:rPr>
                      <w:rFonts w:hint="default"/>
                    </w:rPr>
                  </w:pPr>
                  <w:r>
                    <w:t>根据企业自行监测结果，厂界昼夜噪声均能满足《工业企业厂界环境噪声排放标准》（GB12348-2008）表1中的3类标准限值要求</w:t>
                  </w:r>
                </w:p>
              </w:tc>
            </w:tr>
            <w:tr w14:paraId="5D0CA1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8" w:type="pct"/>
                  <w:vAlign w:val="center"/>
                </w:tcPr>
                <w:p w14:paraId="7BF99458">
                  <w:pPr>
                    <w:pStyle w:val="83"/>
                    <w:jc w:val="both"/>
                    <w:rPr>
                      <w:rFonts w:hint="default"/>
                    </w:rPr>
                  </w:pPr>
                  <w:r>
                    <w:t>3.单体吸收废气采用喷淋吸收装置处理达标后引至15m高空排放；组件煅烧废气采用催化燃烧装置处理达标后引至15m高空排放；配备密闭生产设备和完善的回收系统，控制联苯-联苯醚的无组织排放；加强对工作场所的通风换气</w:t>
                  </w:r>
                </w:p>
              </w:tc>
              <w:tc>
                <w:tcPr>
                  <w:tcW w:w="2611" w:type="pct"/>
                  <w:vAlign w:val="center"/>
                </w:tcPr>
                <w:p w14:paraId="30BCFB97">
                  <w:pPr>
                    <w:pStyle w:val="83"/>
                    <w:jc w:val="both"/>
                    <w:rPr>
                      <w:rFonts w:hint="default"/>
                    </w:rPr>
                  </w:pPr>
                  <w:r>
                    <w:t>根据企业自行监测结果，单体吸收废气通过单体抽吸装置处理后，废气中非甲烷总烃和颗粒物满足《合成树脂工业污染物排放标准》（GB31572-2015，含2024年修改单）表5的特别排放限值要求；厂界无组织废气非甲烷总烃满足《工业企业挥发性有机物排放标准》（DB35/1782-2018）表3中的浓度限值，颗粒物满足《合成树脂工业污染物排放标准》（GB31572-2015，含2024年修改单）表9中的浓度限值</w:t>
                  </w:r>
                </w:p>
              </w:tc>
            </w:tr>
            <w:tr w14:paraId="43214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8" w:type="pct"/>
                  <w:vAlign w:val="center"/>
                </w:tcPr>
                <w:p w14:paraId="48897256">
                  <w:pPr>
                    <w:pStyle w:val="83"/>
                    <w:jc w:val="both"/>
                    <w:rPr>
                      <w:rFonts w:hint="default"/>
                    </w:rPr>
                  </w:pPr>
                  <w:r>
                    <w:t>4.固体废物应分类收集，妥善处置，防止造成二次污染</w:t>
                  </w:r>
                </w:p>
              </w:tc>
              <w:tc>
                <w:tcPr>
                  <w:tcW w:w="2611" w:type="pct"/>
                  <w:vAlign w:val="center"/>
                </w:tcPr>
                <w:p w14:paraId="5BF43850">
                  <w:pPr>
                    <w:pStyle w:val="83"/>
                    <w:jc w:val="both"/>
                    <w:rPr>
                      <w:rFonts w:hint="default"/>
                    </w:rPr>
                  </w:pPr>
                  <w:r>
                    <w:t>生活垃圾由当地环卫部门统一收运；工业固体废物全部回收利用，符合环评批复要求</w:t>
                  </w:r>
                </w:p>
              </w:tc>
            </w:tr>
            <w:tr w14:paraId="48032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8" w:type="pct"/>
                  <w:vAlign w:val="center"/>
                </w:tcPr>
                <w:p w14:paraId="6E4FE036">
                  <w:pPr>
                    <w:pStyle w:val="83"/>
                    <w:jc w:val="both"/>
                    <w:rPr>
                      <w:rFonts w:hint="default"/>
                    </w:rPr>
                  </w:pPr>
                  <w:r>
                    <w:t>5.加强施工期管理，合理安排施工时间，预防施工噪声、扬尘等对周边环境的影响</w:t>
                  </w:r>
                </w:p>
              </w:tc>
              <w:tc>
                <w:tcPr>
                  <w:tcW w:w="2611" w:type="pct"/>
                  <w:vAlign w:val="center"/>
                </w:tcPr>
                <w:p w14:paraId="095975A6">
                  <w:pPr>
                    <w:pStyle w:val="83"/>
                    <w:jc w:val="both"/>
                    <w:rPr>
                      <w:rFonts w:hint="default"/>
                    </w:rPr>
                  </w:pPr>
                  <w:r>
                    <w:t>项目已通过竣工环境保护验收并投入生产。</w:t>
                  </w:r>
                </w:p>
              </w:tc>
            </w:tr>
            <w:tr w14:paraId="1B34D9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8" w:type="pct"/>
                  <w:vAlign w:val="center"/>
                </w:tcPr>
                <w:p w14:paraId="3C436BAB">
                  <w:pPr>
                    <w:pStyle w:val="83"/>
                    <w:jc w:val="both"/>
                    <w:rPr>
                      <w:rFonts w:hint="default"/>
                    </w:rPr>
                  </w:pPr>
                  <w:r>
                    <w:t>6.建设单位应加强联苯-联苯醚在运输、贮存和使用过程的管理，严格落实报告表中提出的风险管理及减缓风险措施，制定突发性事故应急预案，最大限度降低事故风险</w:t>
                  </w:r>
                </w:p>
              </w:tc>
              <w:tc>
                <w:tcPr>
                  <w:tcW w:w="2611" w:type="pct"/>
                  <w:vAlign w:val="center"/>
                </w:tcPr>
                <w:p w14:paraId="0186609B">
                  <w:pPr>
                    <w:pStyle w:val="83"/>
                    <w:jc w:val="both"/>
                    <w:rPr>
                      <w:rFonts w:hint="default"/>
                    </w:rPr>
                  </w:pPr>
                  <w:r>
                    <w:t>福建永荣锦江股份有限公司重视环境保护工作，建立了环保管理制度；制定了应急预案，成立了应急组织机构，未出现投诉</w:t>
                  </w:r>
                </w:p>
              </w:tc>
            </w:tr>
            <w:tr w14:paraId="3C5CF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8" w:type="pct"/>
                  <w:vAlign w:val="center"/>
                </w:tcPr>
                <w:p w14:paraId="559634DF">
                  <w:pPr>
                    <w:pStyle w:val="83"/>
                    <w:jc w:val="both"/>
                    <w:rPr>
                      <w:rFonts w:hint="default"/>
                    </w:rPr>
                  </w:pPr>
                  <w:r>
                    <w:t>该项目只进行纺丝工序的生产，不得设置聚合、漂染等重污染工序，若项目的性质、规模、工艺等发生改变，应按规定重新办理环保审批手续。建设单位应严格执行环保“三同时”制度，落实有关环保设施，项目建成后应依法及时申请办理环保验收手续</w:t>
                  </w:r>
                </w:p>
              </w:tc>
              <w:tc>
                <w:tcPr>
                  <w:tcW w:w="2611" w:type="pct"/>
                  <w:vAlign w:val="center"/>
                </w:tcPr>
                <w:p w14:paraId="7E772896">
                  <w:pPr>
                    <w:pStyle w:val="83"/>
                    <w:jc w:val="both"/>
                    <w:rPr>
                      <w:rFonts w:hint="default"/>
                    </w:rPr>
                  </w:pPr>
                  <w:r>
                    <w:t>项目不涉及聚合、漂染工序，已通过竣工环境保护验收并投入生产。</w:t>
                  </w:r>
                </w:p>
              </w:tc>
            </w:tr>
          </w:tbl>
          <w:p w14:paraId="553AAF7C">
            <w:pPr>
              <w:ind w:firstLine="480"/>
            </w:pPr>
            <w:r>
              <w:rPr>
                <w:rFonts w:hint="eastAsia"/>
              </w:rPr>
              <w:t>2.纺丝三期项目</w:t>
            </w:r>
          </w:p>
          <w:p w14:paraId="476B0A34">
            <w:pPr>
              <w:pStyle w:val="13"/>
            </w:pPr>
            <w:r>
              <w:rPr>
                <w:rFonts w:hint="eastAsia"/>
              </w:rPr>
              <w:t>表2.6-2  现有纺丝三期工程环评批复执行情况一览表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3791"/>
              <w:gridCol w:w="5109"/>
            </w:tblGrid>
            <w:tr w14:paraId="74ED63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2130" w:type="pct"/>
                  <w:vAlign w:val="center"/>
                </w:tcPr>
                <w:p w14:paraId="707344C7">
                  <w:pPr>
                    <w:pStyle w:val="83"/>
                    <w:rPr>
                      <w:rFonts w:hint="default"/>
                    </w:rPr>
                  </w:pPr>
                  <w:r>
                    <w:t>环评及批复要求</w:t>
                  </w:r>
                </w:p>
              </w:tc>
              <w:tc>
                <w:tcPr>
                  <w:tcW w:w="2870" w:type="pct"/>
                  <w:vAlign w:val="center"/>
                </w:tcPr>
                <w:p w14:paraId="112288F9">
                  <w:pPr>
                    <w:pStyle w:val="83"/>
                    <w:rPr>
                      <w:rFonts w:hint="default"/>
                    </w:rPr>
                  </w:pPr>
                  <w:r>
                    <w:t>实际执行情况</w:t>
                  </w:r>
                </w:p>
              </w:tc>
            </w:tr>
            <w:tr w14:paraId="53C2B8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130" w:type="pct"/>
                  <w:vAlign w:val="center"/>
                </w:tcPr>
                <w:p w14:paraId="52108FFB">
                  <w:pPr>
                    <w:pStyle w:val="83"/>
                    <w:jc w:val="both"/>
                    <w:rPr>
                      <w:rFonts w:hint="default"/>
                    </w:rPr>
                  </w:pPr>
                  <w:r>
                    <w:t>1.按照清洁生产的要求、引进国外先进的生产工艺、技术和设备</w:t>
                  </w:r>
                </w:p>
              </w:tc>
              <w:tc>
                <w:tcPr>
                  <w:tcW w:w="2870" w:type="pct"/>
                  <w:vAlign w:val="center"/>
                </w:tcPr>
                <w:p w14:paraId="60706AEC">
                  <w:pPr>
                    <w:pStyle w:val="83"/>
                    <w:jc w:val="both"/>
                    <w:rPr>
                      <w:rFonts w:hint="default"/>
                    </w:rPr>
                  </w:pPr>
                  <w:r>
                    <w:t>项目引进德国巴格马和企业共同研发的先进生产线</w:t>
                  </w:r>
                </w:p>
              </w:tc>
            </w:tr>
            <w:tr w14:paraId="3A0D60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130" w:type="pct"/>
                  <w:vAlign w:val="center"/>
                </w:tcPr>
                <w:p w14:paraId="70253045">
                  <w:pPr>
                    <w:pStyle w:val="83"/>
                    <w:jc w:val="both"/>
                    <w:rPr>
                      <w:rFonts w:hint="default"/>
                    </w:rPr>
                  </w:pPr>
                  <w:r>
                    <w:t>2.厂区实行雨污分流，生产废水及设备冷却水全部循环使用，不得外排；生活污水经处理达标后用于厂区绿化</w:t>
                  </w:r>
                </w:p>
              </w:tc>
              <w:tc>
                <w:tcPr>
                  <w:tcW w:w="2870" w:type="pct"/>
                  <w:vAlign w:val="center"/>
                </w:tcPr>
                <w:p w14:paraId="5DB9C026">
                  <w:pPr>
                    <w:pStyle w:val="83"/>
                    <w:jc w:val="both"/>
                    <w:rPr>
                      <w:rFonts w:hint="default"/>
                    </w:rPr>
                  </w:pPr>
                  <w:r>
                    <w:t>厂区生产废水经综合废水处理站处理后回用生产，生活污水经化粪池处理后纳入工业区污水管网由滨海工业区污水处理厂集中处理，尾水由牛头湾排海；反渗透浓水纳入工业区污水管网由滨海工业区污水处理厂集中处理，尾水由牛头湾排海。</w:t>
                  </w:r>
                </w:p>
              </w:tc>
            </w:tr>
            <w:tr w14:paraId="719CD4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130" w:type="pct"/>
                  <w:vAlign w:val="center"/>
                </w:tcPr>
                <w:p w14:paraId="2E29A770">
                  <w:pPr>
                    <w:pStyle w:val="83"/>
                    <w:jc w:val="both"/>
                    <w:rPr>
                      <w:rFonts w:hint="default"/>
                    </w:rPr>
                  </w:pPr>
                  <w:r>
                    <w:t>3.本项目不设蒸汽锅炉，纺丝工艺由电热媒锅炉供热。单体吸收废气采用喷淋吸收装置处理达标后引至高空排放，排气筒高度不得低于15m；配备密闭生产设备和完善的回收系统，控制联苯-联苯醚的无组织排放；加强对工作场所的通风换气</w:t>
                  </w:r>
                </w:p>
              </w:tc>
              <w:tc>
                <w:tcPr>
                  <w:tcW w:w="2870" w:type="pct"/>
                  <w:vAlign w:val="center"/>
                </w:tcPr>
                <w:p w14:paraId="0F0944B0">
                  <w:pPr>
                    <w:pStyle w:val="83"/>
                    <w:jc w:val="both"/>
                    <w:rPr>
                      <w:rFonts w:hint="default"/>
                    </w:rPr>
                  </w:pPr>
                  <w:r>
                    <w:t>纺丝三期工程生产线纺丝废气经8套单体回收系统处理后通过6根24m排气筒排放；油剂废气经13套静电除油装置处理后通过2根21m排气筒排放；煅烧废气经1套水喷淋装置处理后通过1根20m排气筒排放。根据企业自行监测结果，废气中非甲烷总烃和颗粒物满足《合成树脂工业污染物排放标准》（GB31572-2015，含2024年修改单）表5的特别排放限值要求；厂界无组织废气非甲烷总烃满足《工业企业挥发性有机物排放标准》（DB35/1782-2018）表3中的浓度限值，颗粒物满足《合成树脂工业污染物排放标准》（GB31572-2015，含2024年修改单）表9中的浓度限值</w:t>
                  </w:r>
                </w:p>
              </w:tc>
            </w:tr>
            <w:tr w14:paraId="25CD71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130" w:type="pct"/>
                  <w:vAlign w:val="center"/>
                </w:tcPr>
                <w:p w14:paraId="28A347C6">
                  <w:pPr>
                    <w:pStyle w:val="83"/>
                    <w:jc w:val="both"/>
                    <w:rPr>
                      <w:rFonts w:hint="default"/>
                    </w:rPr>
                  </w:pPr>
                  <w:r>
                    <w:t>4.合理布局生产设备，选用低噪声设备，并对产噪设备采用隔声、消声和减振等综合降噪处理措施，确保厂界噪声达标</w:t>
                  </w:r>
                </w:p>
              </w:tc>
              <w:tc>
                <w:tcPr>
                  <w:tcW w:w="2870" w:type="pct"/>
                  <w:vAlign w:val="center"/>
                </w:tcPr>
                <w:p w14:paraId="1B053F63">
                  <w:pPr>
                    <w:pStyle w:val="83"/>
                    <w:jc w:val="both"/>
                    <w:rPr>
                      <w:rFonts w:hint="default"/>
                    </w:rPr>
                  </w:pPr>
                  <w:r>
                    <w:t>公司对空压机等采取减震措施、对空压机排气口加装消声器、对厂房空压部分屋顶加装吸音吊顶设施等；</w:t>
                  </w:r>
                </w:p>
                <w:p w14:paraId="335D853E">
                  <w:pPr>
                    <w:pStyle w:val="83"/>
                    <w:jc w:val="both"/>
                    <w:rPr>
                      <w:rFonts w:hint="default"/>
                    </w:rPr>
                  </w:pPr>
                  <w:r>
                    <w:t>根据企业自行监测结果，公司厂界各噪声监测点昼、夜间噪声值均符合《工业企业厂界环境噪声排放标准》（GB12348-2008）表1中3类标准限值的要求</w:t>
                  </w:r>
                </w:p>
              </w:tc>
            </w:tr>
            <w:tr w14:paraId="16D1C5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130" w:type="pct"/>
                  <w:vAlign w:val="center"/>
                </w:tcPr>
                <w:p w14:paraId="55980868">
                  <w:pPr>
                    <w:pStyle w:val="83"/>
                    <w:jc w:val="both"/>
                    <w:rPr>
                      <w:rFonts w:hint="default"/>
                    </w:rPr>
                  </w:pPr>
                  <w:r>
                    <w:t>5.固体废物应分类收集，妥善处置，防止造成二次污染</w:t>
                  </w:r>
                </w:p>
              </w:tc>
              <w:tc>
                <w:tcPr>
                  <w:tcW w:w="2870" w:type="pct"/>
                  <w:vAlign w:val="center"/>
                </w:tcPr>
                <w:p w14:paraId="448754EC">
                  <w:pPr>
                    <w:pStyle w:val="83"/>
                    <w:jc w:val="both"/>
                    <w:rPr>
                      <w:rFonts w:hint="default"/>
                    </w:rPr>
                  </w:pPr>
                  <w:r>
                    <w:t>项目生产过程中产生的锦纶丝固体废物，经收集后暂存于辅料仓库，在厂内综合利用；厂区内设有垃圾临时存放点，有专人定时收集并收集于垃圾收集箱内，由市政清洁车每天定时统一清运</w:t>
                  </w:r>
                </w:p>
              </w:tc>
            </w:tr>
            <w:tr w14:paraId="43D587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130" w:type="pct"/>
                  <w:vAlign w:val="center"/>
                </w:tcPr>
                <w:p w14:paraId="0882D7A7">
                  <w:pPr>
                    <w:pStyle w:val="83"/>
                    <w:jc w:val="both"/>
                    <w:rPr>
                      <w:rFonts w:hint="default"/>
                    </w:rPr>
                  </w:pPr>
                  <w:r>
                    <w:t>6.建设单位应加强联苯-联苯醚在运输、贮存和使用过程的管理，设置事故池，对事故泄漏的联苯-联苯醚起缓冲、收集作用。严格落实报告表中提出的风险管理及减缓风险措施，制定突发性事故应急预案</w:t>
                  </w:r>
                </w:p>
              </w:tc>
              <w:tc>
                <w:tcPr>
                  <w:tcW w:w="2870" w:type="pct"/>
                  <w:vAlign w:val="center"/>
                </w:tcPr>
                <w:p w14:paraId="1E97E269">
                  <w:pPr>
                    <w:pStyle w:val="83"/>
                    <w:jc w:val="both"/>
                    <w:rPr>
                      <w:rFonts w:hint="default"/>
                    </w:rPr>
                  </w:pPr>
                  <w:r>
                    <w:t>公司制定了相关的环保管理制度和应急处置预案，厂区已建成3340m</w:t>
                  </w:r>
                  <w:r>
                    <w:rPr>
                      <w:vertAlign w:val="superscript"/>
                    </w:rPr>
                    <w:t>3</w:t>
                  </w:r>
                  <w:r>
                    <w:t>的事故应急池和200m</w:t>
                  </w:r>
                  <w:r>
                    <w:rPr>
                      <w:vertAlign w:val="superscript"/>
                    </w:rPr>
                    <w:t>3</w:t>
                  </w:r>
                  <w:r>
                    <w:t>的初期雨水池，在建290m</w:t>
                  </w:r>
                  <w:r>
                    <w:rPr>
                      <w:vertAlign w:val="superscript"/>
                    </w:rPr>
                    <w:t>3</w:t>
                  </w:r>
                  <w:r>
                    <w:t>初期雨水池</w:t>
                  </w:r>
                </w:p>
              </w:tc>
            </w:tr>
          </w:tbl>
          <w:p w14:paraId="71B16E92">
            <w:pPr>
              <w:ind w:firstLine="480"/>
            </w:pPr>
            <w:r>
              <w:rPr>
                <w:rFonts w:hint="eastAsia"/>
              </w:rPr>
              <w:t>3.聚合一期项目</w:t>
            </w:r>
          </w:p>
          <w:p w14:paraId="3EEBC136">
            <w:pPr>
              <w:pStyle w:val="13"/>
            </w:pPr>
            <w:r>
              <w:rPr>
                <w:rFonts w:hint="eastAsia"/>
              </w:rPr>
              <w:t>表2.6-3  现有聚合一期工程环评批复执行情况一览表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35"/>
              <w:gridCol w:w="4365"/>
            </w:tblGrid>
            <w:tr w14:paraId="45AD2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548" w:type="pct"/>
                  <w:vAlign w:val="center"/>
                </w:tcPr>
                <w:p w14:paraId="75601D4A">
                  <w:pPr>
                    <w:pStyle w:val="83"/>
                    <w:rPr>
                      <w:rFonts w:hint="default"/>
                    </w:rPr>
                  </w:pPr>
                  <w:r>
                    <w:t>环评及批复要求</w:t>
                  </w:r>
                </w:p>
              </w:tc>
              <w:tc>
                <w:tcPr>
                  <w:tcW w:w="2452" w:type="pct"/>
                  <w:vAlign w:val="center"/>
                </w:tcPr>
                <w:p w14:paraId="03509693">
                  <w:pPr>
                    <w:pStyle w:val="83"/>
                    <w:rPr>
                      <w:rFonts w:hint="default"/>
                    </w:rPr>
                  </w:pPr>
                  <w:r>
                    <w:t>实际执行情况</w:t>
                  </w:r>
                </w:p>
              </w:tc>
            </w:tr>
            <w:tr w14:paraId="1CF77B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8" w:type="pct"/>
                  <w:vAlign w:val="center"/>
                </w:tcPr>
                <w:p w14:paraId="1FCDF40A">
                  <w:pPr>
                    <w:pStyle w:val="83"/>
                    <w:jc w:val="both"/>
                    <w:rPr>
                      <w:rFonts w:hint="default"/>
                    </w:rPr>
                  </w:pPr>
                  <w:r>
                    <w:t>1.厂区排水实行清污分流，生产污水与生活污水必须处理达标后排入滨海工业区污水处理厂；必须配套足够容量的事故缓冲池和消防废水收集池，收集处理事故性废水。污水排放口应按照国家有关规定实施规范化建设，并安装自动监控装置。在滨海工业区污水处理厂投产并接纳该项目污水前，项目不得投入生产</w:t>
                  </w:r>
                </w:p>
              </w:tc>
              <w:tc>
                <w:tcPr>
                  <w:tcW w:w="2452" w:type="pct"/>
                  <w:vAlign w:val="center"/>
                </w:tcPr>
                <w:p w14:paraId="3B17D948">
                  <w:pPr>
                    <w:pStyle w:val="83"/>
                    <w:jc w:val="both"/>
                    <w:rPr>
                      <w:rFonts w:hint="default"/>
                    </w:rPr>
                  </w:pPr>
                  <w:r>
                    <w:t>厂区排水实行清污分流，生产废水经综合废水处理站处理后回用生产，生活污水经化粪池处理后纳入工业区污水管网由滨海工业区污水处理厂集中处理，尾水由牛头湾排海；反渗透浓水纳入工业区污水管网由滨海工业区污水处理厂集中处理，尾水由牛头湾排海。厂区已建3340m</w:t>
                  </w:r>
                  <w:r>
                    <w:rPr>
                      <w:vertAlign w:val="superscript"/>
                    </w:rPr>
                    <w:t>3</w:t>
                  </w:r>
                  <w:r>
                    <w:t>的事故应急池和200m</w:t>
                  </w:r>
                  <w:r>
                    <w:rPr>
                      <w:vertAlign w:val="superscript"/>
                    </w:rPr>
                    <w:t>3</w:t>
                  </w:r>
                  <w:r>
                    <w:t>的初期雨水池。废水总排口安装自动监测装置并与市级环保局联网。</w:t>
                  </w:r>
                </w:p>
              </w:tc>
            </w:tr>
            <w:tr w14:paraId="52D38E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8" w:type="pct"/>
                  <w:vAlign w:val="center"/>
                </w:tcPr>
                <w:p w14:paraId="5D3A1CB0">
                  <w:pPr>
                    <w:pStyle w:val="83"/>
                    <w:jc w:val="both"/>
                    <w:rPr>
                      <w:rFonts w:hint="default"/>
                    </w:rPr>
                  </w:pPr>
                  <w:r>
                    <w:t>2.同意配套1台250万大卡的导热油炉，1台15t/h的燃煤锅炉。必须采取除尘、脱硫措施处理对烟气进行处理，尾气处理达标后引到高空排放，排气筒高度不得低于40m，并须符合机场净空要求。煤车间应采取防尘措施。聚合工艺的己内酰胺废气应收集经水喷淋处理达标后引到厂房屋顶排放。应采取措施减少联苯-联苯醚的无组织排放。按《环评报告书》确定的聚合车间和己内酰胺贮罐两个无组织源为中心，周边100m范围为大气防护距离</w:t>
                  </w:r>
                </w:p>
              </w:tc>
              <w:tc>
                <w:tcPr>
                  <w:tcW w:w="2452" w:type="pct"/>
                  <w:vAlign w:val="center"/>
                </w:tcPr>
                <w:p w14:paraId="196B6508">
                  <w:pPr>
                    <w:pStyle w:val="83"/>
                    <w:jc w:val="both"/>
                    <w:rPr>
                      <w:rFonts w:hint="default"/>
                    </w:rPr>
                  </w:pPr>
                  <w:r>
                    <w:t>企业配套1台42t/h的生物质制气锅炉作为常用锅炉，1台20t/h燃煤蒸汽锅炉及1台25t/h燃气蒸汽锅炉作为备用锅炉。热媒站配套4台600万大卡的燃气导热油炉备用。生物质制气锅炉废气经1套低氮燃烧+多管除尘器+SCR脱硝+干法脱硫+布袋除尘器处理后通过1根40m排气筒排放；燃气锅炉烟气经25m排气筒排放。</w:t>
                  </w:r>
                </w:p>
                <w:p w14:paraId="480F9642">
                  <w:pPr>
                    <w:pStyle w:val="83"/>
                    <w:jc w:val="both"/>
                    <w:rPr>
                      <w:rFonts w:hint="default"/>
                    </w:rPr>
                  </w:pPr>
                  <w:r>
                    <w:t>根据企业自行监测结果，燃气锅炉废气满足《锅炉大气污染物排放标准》（GB13271-2014）表3中特别排放限值。</w:t>
                  </w:r>
                </w:p>
                <w:p w14:paraId="19043E37">
                  <w:pPr>
                    <w:pStyle w:val="83"/>
                    <w:jc w:val="both"/>
                    <w:rPr>
                      <w:rFonts w:hint="default"/>
                    </w:rPr>
                  </w:pPr>
                  <w:r>
                    <w:t>聚合车间与最近的敏感点之间水平距离为460m，符合批复的卫生防护距离要求</w:t>
                  </w:r>
                </w:p>
              </w:tc>
            </w:tr>
            <w:tr w14:paraId="0F9527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8" w:type="pct"/>
                  <w:vAlign w:val="center"/>
                </w:tcPr>
                <w:p w14:paraId="190D0D7A">
                  <w:pPr>
                    <w:pStyle w:val="83"/>
                    <w:jc w:val="both"/>
                    <w:rPr>
                      <w:rFonts w:hint="default"/>
                    </w:rPr>
                  </w:pPr>
                  <w:r>
                    <w:t>3.合理布置高噪声设备，并采取消声、隔声、减振等综合降噪措施，确保厂界噪声达标</w:t>
                  </w:r>
                </w:p>
              </w:tc>
              <w:tc>
                <w:tcPr>
                  <w:tcW w:w="2452" w:type="pct"/>
                  <w:vAlign w:val="center"/>
                </w:tcPr>
                <w:p w14:paraId="24CAB52C">
                  <w:pPr>
                    <w:pStyle w:val="83"/>
                    <w:jc w:val="both"/>
                    <w:rPr>
                      <w:rFonts w:hint="default"/>
                    </w:rPr>
                  </w:pPr>
                  <w:r>
                    <w:t>生产设备采用低噪声设备，厂界噪声各监测点昼、夜间噪声值均符合《工业企业厂界环境噪声排放标准》（GB12348-2008）表1中3类标准限值的要求</w:t>
                  </w:r>
                </w:p>
              </w:tc>
            </w:tr>
            <w:tr w14:paraId="793432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8" w:type="pct"/>
                  <w:vAlign w:val="center"/>
                </w:tcPr>
                <w:p w14:paraId="680B2E7F">
                  <w:pPr>
                    <w:pStyle w:val="83"/>
                    <w:jc w:val="both"/>
                    <w:rPr>
                      <w:rFonts w:hint="default"/>
                    </w:rPr>
                  </w:pPr>
                  <w:r>
                    <w:t>4.生产性固体废物应分类收集，综合利用。危险废物应按照规范收集、暂存，委托有资质的单位处置</w:t>
                  </w:r>
                </w:p>
              </w:tc>
              <w:tc>
                <w:tcPr>
                  <w:tcW w:w="2452" w:type="pct"/>
                  <w:vAlign w:val="center"/>
                </w:tcPr>
                <w:p w14:paraId="1003B49A">
                  <w:pPr>
                    <w:pStyle w:val="83"/>
                    <w:jc w:val="both"/>
                    <w:rPr>
                      <w:rFonts w:hint="default"/>
                    </w:rPr>
                  </w:pPr>
                  <w:r>
                    <w:t>生产中产生的固体废物经分类收集，固废中煤渣经收集后外售回收厂家；其他生产过程中产生的聚合物残渣等危险废物交由福建三明海中环保科技有限公司进行统一处置；生活垃圾由当地环卫部门统一收运；符合环评批复要求</w:t>
                  </w:r>
                </w:p>
              </w:tc>
            </w:tr>
            <w:tr w14:paraId="75AD36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8" w:type="pct"/>
                  <w:vAlign w:val="center"/>
                </w:tcPr>
                <w:p w14:paraId="62727465">
                  <w:pPr>
                    <w:pStyle w:val="83"/>
                    <w:jc w:val="both"/>
                    <w:rPr>
                      <w:rFonts w:hint="default"/>
                    </w:rPr>
                  </w:pPr>
                  <w:r>
                    <w:t>5.公司应建立严格的环保管理制度，配套相应环保管理和检测机构，制定污染事故防范措施和应急处理预案，杜绝污染事故发生</w:t>
                  </w:r>
                </w:p>
              </w:tc>
              <w:tc>
                <w:tcPr>
                  <w:tcW w:w="2452" w:type="pct"/>
                  <w:vAlign w:val="center"/>
                </w:tcPr>
                <w:p w14:paraId="5BE83103">
                  <w:pPr>
                    <w:pStyle w:val="83"/>
                    <w:jc w:val="both"/>
                    <w:rPr>
                      <w:rFonts w:hint="default"/>
                    </w:rPr>
                  </w:pPr>
                  <w:r>
                    <w:t>公司制定环保管理制度和应急处置预案</w:t>
                  </w:r>
                </w:p>
              </w:tc>
            </w:tr>
          </w:tbl>
          <w:p w14:paraId="11157F9B">
            <w:pPr>
              <w:ind w:firstLine="480"/>
            </w:pPr>
            <w:r>
              <w:rPr>
                <w:rFonts w:hint="eastAsia"/>
              </w:rPr>
              <w:t>4.聚合二期项目</w:t>
            </w:r>
          </w:p>
          <w:p w14:paraId="00CD0AF2">
            <w:pPr>
              <w:pStyle w:val="13"/>
            </w:pPr>
            <w:r>
              <w:rPr>
                <w:rFonts w:hint="eastAsia"/>
              </w:rPr>
              <w:t>表2.6-4  现有聚合二期工程环评批复执行情况一览表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955"/>
              <w:gridCol w:w="4945"/>
            </w:tblGrid>
            <w:tr w14:paraId="4FB63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222" w:type="pct"/>
                  <w:vAlign w:val="center"/>
                </w:tcPr>
                <w:p w14:paraId="55298AC7">
                  <w:pPr>
                    <w:pStyle w:val="83"/>
                    <w:rPr>
                      <w:rFonts w:hint="default"/>
                    </w:rPr>
                  </w:pPr>
                  <w:r>
                    <w:t>环评及批复要求</w:t>
                  </w:r>
                </w:p>
              </w:tc>
              <w:tc>
                <w:tcPr>
                  <w:tcW w:w="2778" w:type="pct"/>
                  <w:vAlign w:val="center"/>
                </w:tcPr>
                <w:p w14:paraId="35BDDC38">
                  <w:pPr>
                    <w:pStyle w:val="83"/>
                    <w:rPr>
                      <w:rFonts w:hint="default"/>
                    </w:rPr>
                  </w:pPr>
                  <w:r>
                    <w:t>实际执行情况</w:t>
                  </w:r>
                </w:p>
              </w:tc>
            </w:tr>
            <w:tr w14:paraId="3A335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2" w:type="pct"/>
                  <w:vAlign w:val="center"/>
                </w:tcPr>
                <w:p w14:paraId="1BD60F3B">
                  <w:pPr>
                    <w:pStyle w:val="83"/>
                    <w:jc w:val="both"/>
                    <w:rPr>
                      <w:rFonts w:hint="default"/>
                    </w:rPr>
                  </w:pPr>
                  <w:r>
                    <w:t>1.厂区内应严格实行雨污分流；各工序水封水、冷凝水、萃取水、设备冷却水、锅炉除尘脱硫废水等应循环使用，不得外排；蒸馏解聚生成水、除盐站废水和设备、地面冲洗废水等生产废水及生活污水应集中经预处理达到入网标准后纳入滨海工业区污水处理厂集中处理排放；厂区内应设置规范化排污口，并设置污水事故调节池，以防止污水事故性排放</w:t>
                  </w:r>
                </w:p>
              </w:tc>
              <w:tc>
                <w:tcPr>
                  <w:tcW w:w="2778" w:type="pct"/>
                  <w:vAlign w:val="center"/>
                </w:tcPr>
                <w:p w14:paraId="7E1301A7">
                  <w:pPr>
                    <w:pStyle w:val="83"/>
                    <w:jc w:val="both"/>
                    <w:rPr>
                      <w:rFonts w:hint="default"/>
                    </w:rPr>
                  </w:pPr>
                  <w:r>
                    <w:t>厂区排水实行清污分流、雨污分流，生产废水经综合废水处理站处理后回用生产，生活污水经化粪池处理后纳入工业区污水管网由滨海工业区污水处理厂集中处理，尾水由牛头湾排海；反渗透浓水纳入工业区污水管网由滨海工业区污水处理厂集中处理，尾水由牛头湾排海。厂区已建3340m</w:t>
                  </w:r>
                  <w:r>
                    <w:rPr>
                      <w:vertAlign w:val="superscript"/>
                    </w:rPr>
                    <w:t>3</w:t>
                  </w:r>
                  <w:r>
                    <w:t>的事故应急池和200m</w:t>
                  </w:r>
                  <w:r>
                    <w:rPr>
                      <w:vertAlign w:val="superscript"/>
                    </w:rPr>
                    <w:t>3</w:t>
                  </w:r>
                  <w:r>
                    <w:t>的初期雨水池。废水总排口安装自动监测装置并与市级环保局联网。</w:t>
                  </w:r>
                </w:p>
              </w:tc>
            </w:tr>
            <w:tr w14:paraId="44786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2" w:type="pct"/>
                  <w:vAlign w:val="center"/>
                </w:tcPr>
                <w:p w14:paraId="5FCA9C59">
                  <w:pPr>
                    <w:pStyle w:val="83"/>
                    <w:jc w:val="both"/>
                    <w:rPr>
                      <w:rFonts w:hint="default"/>
                    </w:rPr>
                  </w:pPr>
                  <w:r>
                    <w:t>2.燃煤锅炉和热媒炉应选用含硫量低于0.8%的煤为燃料，并配套建设除尘脱硫设施，确保烟气达标排放；烟气排放应使用仪器项目烟囱，烟囱高度应符合规范和机场净空要求；燃煤锅炉和燃煤导热油炉烟气应安装烟尘和SO2在线监测仪，并与环保部门联网；</w:t>
                  </w:r>
                </w:p>
                <w:p w14:paraId="7ADCE349">
                  <w:pPr>
                    <w:pStyle w:val="83"/>
                    <w:jc w:val="both"/>
                    <w:rPr>
                      <w:rFonts w:hint="default"/>
                    </w:rPr>
                  </w:pPr>
                  <w:r>
                    <w:t>3.聚合、切片干燥废气应集中净化处理达标后高空排放，排气筒高度应分别达到35m和20m；生产设备和管道应采取密闭措施并配套回收装置，控制联苯-联苯醚等污染物的无组织排放；煤场、渣场应进行密闭处理，控制扬尘的无组织排放。</w:t>
                  </w:r>
                </w:p>
                <w:p w14:paraId="07086960">
                  <w:pPr>
                    <w:pStyle w:val="83"/>
                    <w:jc w:val="both"/>
                    <w:rPr>
                      <w:rFonts w:hint="default"/>
                    </w:rPr>
                  </w:pPr>
                  <w:r>
                    <w:t>本项目卫生防护距离为聚合车间外延400m，在此范围内不得建设居民住宅、学校、医院等环境敏感目标</w:t>
                  </w:r>
                </w:p>
              </w:tc>
              <w:tc>
                <w:tcPr>
                  <w:tcW w:w="2778" w:type="pct"/>
                  <w:vAlign w:val="center"/>
                </w:tcPr>
                <w:p w14:paraId="68BF331B">
                  <w:pPr>
                    <w:pStyle w:val="83"/>
                    <w:jc w:val="both"/>
                    <w:rPr>
                      <w:rFonts w:hint="default"/>
                    </w:rPr>
                  </w:pPr>
                  <w:r>
                    <w:t>生物质制气锅炉替代燃煤锅炉工程正在开展竣工环保验收，同时配套1台25t/h燃气蒸汽锅炉作为备用锅炉。热媒站配套4台600万大卡的燃气导热油炉，全部备用。生物质制气锅炉废气经1套低氮燃烧+多管除尘器+SCR脱硝+干法脱硫+布袋除尘器处理后通过1根40m排气筒排放。排放口安装在线监测仪，并与环保部门联网。</w:t>
                  </w:r>
                </w:p>
                <w:p w14:paraId="0A188B99">
                  <w:pPr>
                    <w:pStyle w:val="83"/>
                    <w:jc w:val="both"/>
                    <w:rPr>
                      <w:rFonts w:hint="default"/>
                    </w:rPr>
                  </w:pPr>
                  <w:r>
                    <w:t>工艺废气经汽提塔和冷凝器处理后通过1根36m排气筒排放；生产设备和管道采取了密闭措施并配套了回收装置，控制联苯-联苯醚等污染物的无组织排放；煤场和渣场采取了全封闭措施，有效地控制了扬尘的无组织排放。</w:t>
                  </w:r>
                </w:p>
                <w:p w14:paraId="6AB01890">
                  <w:pPr>
                    <w:pStyle w:val="83"/>
                    <w:jc w:val="both"/>
                    <w:rPr>
                      <w:rFonts w:hint="default"/>
                    </w:rPr>
                  </w:pPr>
                  <w:r>
                    <w:t>根据企业自行监测结果，燃气锅炉废气满足《锅炉大气污染物排放标准》（GB13271-2014）表3中特别排放限值。</w:t>
                  </w:r>
                </w:p>
                <w:p w14:paraId="00AB3E0F">
                  <w:pPr>
                    <w:pStyle w:val="83"/>
                    <w:jc w:val="both"/>
                    <w:rPr>
                      <w:rFonts w:hint="default"/>
                    </w:rPr>
                  </w:pPr>
                  <w:r>
                    <w:t>聚合车间与其最近的敏感点之间水平距离为460m，符合批复的卫生防护距离要求</w:t>
                  </w:r>
                </w:p>
              </w:tc>
            </w:tr>
            <w:tr w14:paraId="4CEC50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2" w:type="pct"/>
                  <w:vAlign w:val="center"/>
                </w:tcPr>
                <w:p w14:paraId="5B373F9E">
                  <w:pPr>
                    <w:pStyle w:val="83"/>
                    <w:jc w:val="both"/>
                    <w:rPr>
                      <w:rFonts w:hint="default"/>
                    </w:rPr>
                  </w:pPr>
                  <w:r>
                    <w:t>4.应合理布局生产车间，并对高噪声设备应采取消声、隔声、减振等综合治理措施，确保厂界噪声达标排放</w:t>
                  </w:r>
                </w:p>
              </w:tc>
              <w:tc>
                <w:tcPr>
                  <w:tcW w:w="2778" w:type="pct"/>
                  <w:vAlign w:val="center"/>
                </w:tcPr>
                <w:p w14:paraId="71906E81">
                  <w:pPr>
                    <w:pStyle w:val="83"/>
                    <w:jc w:val="both"/>
                    <w:rPr>
                      <w:rFonts w:hint="default"/>
                    </w:rPr>
                  </w:pPr>
                  <w:r>
                    <w:t>生产车间布局合理，对高噪声设备采取消声、隔声、减震等综合治理措施，厂界噪声各监测点昼、夜间噪声值均符合《工业企业厂界环境噪声排放标准》《工业企业厂界环境噪声排放标准》（GB12348-2008）表1中3类标准限值的要求</w:t>
                  </w:r>
                </w:p>
              </w:tc>
            </w:tr>
            <w:tr w14:paraId="782FF3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2" w:type="pct"/>
                  <w:vAlign w:val="center"/>
                </w:tcPr>
                <w:p w14:paraId="20D7939D">
                  <w:pPr>
                    <w:pStyle w:val="83"/>
                    <w:jc w:val="both"/>
                    <w:rPr>
                      <w:rFonts w:hint="default"/>
                    </w:rPr>
                  </w:pPr>
                  <w:r>
                    <w:t>5.固体废物应严格按照分类管理、妥善储存和合理处置的原则进行处理；钛白粉残渣、单体过滤残渣、聚合物残渣等属于危险废物，应配备专用收集容器和规范的临时贮存场所，建立危险废物联单制度，并委托有资质的单位处置；炉渣、灰渣应回收进行综合利用，生活垃圾应集中清运处置，严禁固体废弃物随意堆放、倾倒或焚烧</w:t>
                  </w:r>
                </w:p>
              </w:tc>
              <w:tc>
                <w:tcPr>
                  <w:tcW w:w="2778" w:type="pct"/>
                  <w:vAlign w:val="center"/>
                </w:tcPr>
                <w:p w14:paraId="0946B239">
                  <w:pPr>
                    <w:pStyle w:val="83"/>
                    <w:jc w:val="both"/>
                    <w:rPr>
                      <w:rFonts w:hint="default"/>
                    </w:rPr>
                  </w:pPr>
                  <w:r>
                    <w:t>生产中产生的固体废物经分类收集，固废中煤渣经收集后外售回收厂家；其他生产过程中产生的聚合物残渣等交由福建绿洲固体废弃物处置有限公司进行统一处置；生活垃圾由当地环卫部门统一收运；符合环评批复要求</w:t>
                  </w:r>
                </w:p>
              </w:tc>
            </w:tr>
            <w:tr w14:paraId="1DF57A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2" w:type="pct"/>
                  <w:vAlign w:val="center"/>
                </w:tcPr>
                <w:p w14:paraId="629A5158">
                  <w:pPr>
                    <w:pStyle w:val="83"/>
                    <w:jc w:val="both"/>
                    <w:rPr>
                      <w:rFonts w:hint="default"/>
                    </w:rPr>
                  </w:pPr>
                  <w:r>
                    <w:t>6.应强化对化学事故的风险防范意识，严格化学原材料在运输、贮存和生产过程中的安全管理，严守操作规程，杜绝事故发生；同时应严格按照要求配齐消防安全器材、设施和防爆装置，制定详细的事故防范管理措施以及化学事故应急预案</w:t>
                  </w:r>
                </w:p>
              </w:tc>
              <w:tc>
                <w:tcPr>
                  <w:tcW w:w="2778" w:type="pct"/>
                  <w:vAlign w:val="center"/>
                </w:tcPr>
                <w:p w14:paraId="552F9860">
                  <w:pPr>
                    <w:pStyle w:val="83"/>
                    <w:jc w:val="both"/>
                    <w:rPr>
                      <w:rFonts w:hint="default"/>
                    </w:rPr>
                  </w:pPr>
                  <w:r>
                    <w:t>公司安环科定期开设了环保知识培训班，增强我司员工的环保意识，以及规范了相关环保操作规程；制定了突发环境事件应急预案，并报环保部门备案</w:t>
                  </w:r>
                </w:p>
              </w:tc>
            </w:tr>
            <w:tr w14:paraId="07BA7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2" w:type="pct"/>
                  <w:vAlign w:val="center"/>
                </w:tcPr>
                <w:p w14:paraId="6D79F76A">
                  <w:pPr>
                    <w:pStyle w:val="83"/>
                    <w:jc w:val="both"/>
                    <w:rPr>
                      <w:rFonts w:hint="default"/>
                    </w:rPr>
                  </w:pPr>
                  <w:r>
                    <w:t>7.应充分利用场地植树绿化，绿化占地面积应达30%以上</w:t>
                  </w:r>
                </w:p>
              </w:tc>
              <w:tc>
                <w:tcPr>
                  <w:tcW w:w="2778" w:type="pct"/>
                  <w:vAlign w:val="center"/>
                </w:tcPr>
                <w:p w14:paraId="7B15A07B">
                  <w:pPr>
                    <w:pStyle w:val="83"/>
                    <w:jc w:val="both"/>
                    <w:rPr>
                      <w:rFonts w:hint="default"/>
                    </w:rPr>
                  </w:pPr>
                  <w:r>
                    <w:t>企业绿化占地达到30%以上</w:t>
                  </w:r>
                </w:p>
              </w:tc>
            </w:tr>
            <w:tr w14:paraId="54B3D4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2" w:type="pct"/>
                  <w:vAlign w:val="center"/>
                </w:tcPr>
                <w:p w14:paraId="18340CCE">
                  <w:pPr>
                    <w:pStyle w:val="83"/>
                    <w:jc w:val="both"/>
                    <w:rPr>
                      <w:rFonts w:hint="default"/>
                    </w:rPr>
                  </w:pPr>
                  <w:r>
                    <w:t>8.应加强项目施工期间的监督管理，防止水土流失和施工噪声、废水、垃圾、粉尘等污染周边环境</w:t>
                  </w:r>
                </w:p>
              </w:tc>
              <w:tc>
                <w:tcPr>
                  <w:tcW w:w="2778" w:type="pct"/>
                  <w:vAlign w:val="center"/>
                </w:tcPr>
                <w:p w14:paraId="1FDBF788">
                  <w:pPr>
                    <w:pStyle w:val="83"/>
                    <w:jc w:val="both"/>
                    <w:rPr>
                      <w:rFonts w:hint="default"/>
                    </w:rPr>
                  </w:pPr>
                  <w:r>
                    <w:t>项目施工期间未出现水土流失和施工噪声、废水、垃圾、粉尘等污染周边环境的问题，现已正常运行</w:t>
                  </w:r>
                </w:p>
              </w:tc>
            </w:tr>
            <w:tr w14:paraId="410B88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2" w:type="pct"/>
                  <w:vAlign w:val="center"/>
                </w:tcPr>
                <w:p w14:paraId="11F89A3E">
                  <w:pPr>
                    <w:pStyle w:val="83"/>
                    <w:jc w:val="both"/>
                    <w:rPr>
                      <w:rFonts w:hint="default"/>
                    </w:rPr>
                  </w:pPr>
                  <w:r>
                    <w:t>9.应设置企业环保机构，配备专职技术人员，具体负责企业各项环保工作的实施和管理；同时应健全环保规章和环保岗位职责，严格操作规程，配套建设污水处理化验室，以确保环保设施正常运行，污染物稳定达标排放，杜绝事故性排放</w:t>
                  </w:r>
                </w:p>
              </w:tc>
              <w:tc>
                <w:tcPr>
                  <w:tcW w:w="2778" w:type="pct"/>
                  <w:vAlign w:val="center"/>
                </w:tcPr>
                <w:p w14:paraId="0941EC1B">
                  <w:pPr>
                    <w:pStyle w:val="83"/>
                    <w:jc w:val="both"/>
                    <w:rPr>
                      <w:rFonts w:hint="default"/>
                    </w:rPr>
                  </w:pPr>
                  <w:r>
                    <w:t>公司设有专门的环保科室，聘请专业的环保技术人员，全面负责我司的各项环保工作以及日常环保管理。每个车间都有相关的环保工作规章制度，并上墙，严格操作规程。污水处理设施及烟尘处理设施实现在线监控监测，并与环保部门联网，随时可知公司的环保动态情况</w:t>
                  </w:r>
                </w:p>
              </w:tc>
            </w:tr>
          </w:tbl>
          <w:p w14:paraId="727C7A8E">
            <w:pPr>
              <w:ind w:firstLine="480"/>
            </w:pPr>
            <w:r>
              <w:rPr>
                <w:rFonts w:hint="eastAsia"/>
              </w:rPr>
              <w:t>5.纺丝四期项目</w:t>
            </w:r>
          </w:p>
          <w:p w14:paraId="2C76A10F">
            <w:pPr>
              <w:pStyle w:val="13"/>
            </w:pPr>
            <w:r>
              <w:rPr>
                <w:rFonts w:hint="eastAsia"/>
              </w:rPr>
              <w:t>表2.6-5  现有纺丝四期工程环评批复执行情况一览表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4931"/>
            </w:tblGrid>
            <w:tr w14:paraId="560C7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230" w:type="pct"/>
                  <w:vAlign w:val="center"/>
                </w:tcPr>
                <w:p w14:paraId="5E0D7F82">
                  <w:pPr>
                    <w:pStyle w:val="83"/>
                    <w:rPr>
                      <w:rFonts w:hint="default"/>
                    </w:rPr>
                  </w:pPr>
                  <w:r>
                    <w:t>环评及批复要求</w:t>
                  </w:r>
                </w:p>
              </w:tc>
              <w:tc>
                <w:tcPr>
                  <w:tcW w:w="2770" w:type="pct"/>
                  <w:vAlign w:val="center"/>
                </w:tcPr>
                <w:p w14:paraId="46E18DDF">
                  <w:pPr>
                    <w:pStyle w:val="83"/>
                    <w:rPr>
                      <w:rFonts w:hint="default"/>
                    </w:rPr>
                  </w:pPr>
                  <w:r>
                    <w:t>实际执行情况</w:t>
                  </w:r>
                </w:p>
              </w:tc>
            </w:tr>
            <w:tr w14:paraId="4910A6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0" w:type="pct"/>
                  <w:vAlign w:val="center"/>
                </w:tcPr>
                <w:p w14:paraId="3639BD68">
                  <w:pPr>
                    <w:pStyle w:val="83"/>
                    <w:jc w:val="both"/>
                    <w:rPr>
                      <w:rFonts w:hint="default"/>
                    </w:rPr>
                  </w:pPr>
                  <w:r>
                    <w:t>1.厂区内应严格执行雨污分流制；单体废气水喷淋吸收装置产生的废水和其他设备冷却水应循环使用，不得外排；生活污水和少量地面冲洗水应集中经预处理达到《污水综合排放标准》（GB8978-1996）表4中三级标准后纳入牛头湾滨海工业区污水处理厂处理</w:t>
                  </w:r>
                </w:p>
              </w:tc>
              <w:tc>
                <w:tcPr>
                  <w:tcW w:w="2770" w:type="pct"/>
                  <w:vAlign w:val="center"/>
                </w:tcPr>
                <w:p w14:paraId="602406F0">
                  <w:pPr>
                    <w:pStyle w:val="83"/>
                    <w:jc w:val="both"/>
                    <w:rPr>
                      <w:rFonts w:hint="default"/>
                    </w:rPr>
                  </w:pPr>
                  <w:r>
                    <w:t>厂区排水实行雨污分流，生产废水经综合废水处理站处理后回用生产，生活污水经化粪池处理后纳入工业区污水管网由滨海工业区污水处理厂集中处理，尾水由牛头湾排海；反渗透浓水纳入工业区污水管网由滨海工业区污水处理厂集中处理，尾水由牛头湾排海。</w:t>
                  </w:r>
                </w:p>
                <w:p w14:paraId="612AFBF4">
                  <w:pPr>
                    <w:pStyle w:val="83"/>
                    <w:jc w:val="both"/>
                    <w:rPr>
                      <w:rFonts w:hint="default"/>
                    </w:rPr>
                  </w:pPr>
                  <w:r>
                    <w:t>根据最新监测数据，企业污水处理站外排废水（反渗透浓水）满足《合成树脂工业污染物排放标准》（GB 31572-2015，含2024年修改单）及《福建永荣锦江股份有限公司生产废水排放标准协议》中的限值要求（石油类参照执行《污水排入城镇下水道水质标准》（GB/T31962-2015）表1中的B级标准）。</w:t>
                  </w:r>
                </w:p>
              </w:tc>
            </w:tr>
            <w:tr w14:paraId="3DA7D6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0" w:type="pct"/>
                  <w:vAlign w:val="center"/>
                </w:tcPr>
                <w:p w14:paraId="1ED0FEDB">
                  <w:pPr>
                    <w:pStyle w:val="83"/>
                    <w:jc w:val="both"/>
                    <w:rPr>
                      <w:rFonts w:hint="default"/>
                    </w:rPr>
                  </w:pPr>
                  <w:r>
                    <w:t>2.应配备密闭生产设备和完善的回收系统，严格控制联苯-联苯醚的无组织排放；单体吸收废气应采用喷淋吸收装置处理达标后高空排放，排气筒高度应大于15m；组件煅烧废气应采用催化燃烧装置处理达标后高空排放，排气筒高度应大于15m</w:t>
                  </w:r>
                </w:p>
              </w:tc>
              <w:tc>
                <w:tcPr>
                  <w:tcW w:w="2770" w:type="pct"/>
                  <w:vAlign w:val="center"/>
                </w:tcPr>
                <w:p w14:paraId="52CDD66C">
                  <w:pPr>
                    <w:pStyle w:val="83"/>
                    <w:jc w:val="both"/>
                    <w:rPr>
                      <w:rFonts w:hint="default"/>
                    </w:rPr>
                  </w:pPr>
                  <w:r>
                    <w:t>配备了密闭生产设备和完善的回收系统，严格控制联苯-联苯醚的无组织排放；纺丝废气经36套单体回收系统处理后通过8根24m排气筒排放；油剂废气经30套静电除油装置处理后通过2根24m排气筒排放；煅烧废气经2套水喷淋装置处理后通过1根24m排气筒排放；根据企业自行监测数据，废气中非甲烷总烃和颗粒物满足《合成树脂工业污染物排放标准》（GB31572-2015，含2024年修改单）表5的特别排放限值要求</w:t>
                  </w:r>
                </w:p>
              </w:tc>
            </w:tr>
            <w:tr w14:paraId="34279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0" w:type="pct"/>
                  <w:vAlign w:val="center"/>
                </w:tcPr>
                <w:p w14:paraId="6AD47B52">
                  <w:pPr>
                    <w:pStyle w:val="83"/>
                    <w:jc w:val="both"/>
                    <w:rPr>
                      <w:rFonts w:hint="default"/>
                    </w:rPr>
                  </w:pPr>
                  <w:r>
                    <w:t>3.应合理布局生产车间，对纺丝联合机、空压机等高噪声源应采取消声、隔声、减振等综合治理措施，确保厂界噪声达标排放</w:t>
                  </w:r>
                </w:p>
              </w:tc>
              <w:tc>
                <w:tcPr>
                  <w:tcW w:w="2770" w:type="pct"/>
                  <w:vAlign w:val="center"/>
                </w:tcPr>
                <w:p w14:paraId="748BD998">
                  <w:pPr>
                    <w:pStyle w:val="83"/>
                    <w:jc w:val="both"/>
                    <w:rPr>
                      <w:rFonts w:hint="default"/>
                    </w:rPr>
                  </w:pPr>
                  <w:r>
                    <w:t>生产车间布局合理，对高噪声设备采取消声、隔声、减震等综合治理措施，厂界噪声各监测点昼、夜间噪声值均符合《工业企业厂界环境噪声排放标准》（GB12348-2008）表1中3类标准限值的要求</w:t>
                  </w:r>
                </w:p>
              </w:tc>
            </w:tr>
            <w:tr w14:paraId="1B8EB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0" w:type="pct"/>
                  <w:vAlign w:val="center"/>
                </w:tcPr>
                <w:p w14:paraId="6CD14230">
                  <w:pPr>
                    <w:pStyle w:val="83"/>
                    <w:jc w:val="both"/>
                    <w:rPr>
                      <w:rFonts w:hint="default"/>
                    </w:rPr>
                  </w:pPr>
                  <w:r>
                    <w:t>4.应强化对化学事故的风险防范意识，严格化学原材料在运输、贮存和生产过程中的安全管理，严守操作规程，杜绝事故发生，同时应严格按照要求配齐消防安全器材、设施和防爆预警装置，制定详细的事故防范管理措施以及化学事故应急预案</w:t>
                  </w:r>
                </w:p>
              </w:tc>
              <w:tc>
                <w:tcPr>
                  <w:tcW w:w="2770" w:type="pct"/>
                  <w:vAlign w:val="center"/>
                </w:tcPr>
                <w:p w14:paraId="32E52379">
                  <w:pPr>
                    <w:pStyle w:val="83"/>
                    <w:jc w:val="both"/>
                    <w:rPr>
                      <w:rFonts w:hint="default"/>
                    </w:rPr>
                  </w:pPr>
                  <w:r>
                    <w:t>公司安环科定期开设了环保知识培训班，增强我司员工的环保意识，以及规范了相关环保操作规程；制定了突发环境事件应急预案，并报环保部门备案</w:t>
                  </w:r>
                </w:p>
              </w:tc>
            </w:tr>
            <w:tr w14:paraId="3C98D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0" w:type="pct"/>
                  <w:vAlign w:val="center"/>
                </w:tcPr>
                <w:p w14:paraId="4C628E4C">
                  <w:pPr>
                    <w:pStyle w:val="83"/>
                    <w:jc w:val="both"/>
                    <w:rPr>
                      <w:rFonts w:hint="default"/>
                    </w:rPr>
                  </w:pPr>
                  <w:r>
                    <w:t>5.生产过程中产生的固体废弃物应进行综合利用，生活垃圾应统一收集、及时清运；严禁固体废弃物随意堆放或焚烧</w:t>
                  </w:r>
                </w:p>
              </w:tc>
              <w:tc>
                <w:tcPr>
                  <w:tcW w:w="2770" w:type="pct"/>
                  <w:vAlign w:val="center"/>
                </w:tcPr>
                <w:p w14:paraId="7BF9E37B">
                  <w:pPr>
                    <w:pStyle w:val="83"/>
                    <w:jc w:val="both"/>
                    <w:rPr>
                      <w:rFonts w:hint="default"/>
                    </w:rPr>
                  </w:pPr>
                  <w:r>
                    <w:t>项目生产过程产生的锦纶丝固体废物，经收集后暂存于辅料仓库，在厂区内综合利用；生活垃圾由当地环卫部门统一收运；符合环评批复要求</w:t>
                  </w:r>
                </w:p>
              </w:tc>
            </w:tr>
            <w:tr w14:paraId="55B13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0" w:type="pct"/>
                  <w:vAlign w:val="center"/>
                </w:tcPr>
                <w:p w14:paraId="4EC0FDC5">
                  <w:pPr>
                    <w:pStyle w:val="83"/>
                    <w:jc w:val="both"/>
                    <w:rPr>
                      <w:rFonts w:hint="default"/>
                    </w:rPr>
                  </w:pPr>
                  <w:r>
                    <w:t>6.应充分利用场地搞好厂区绿化，绿化面积应大于30%以上</w:t>
                  </w:r>
                </w:p>
              </w:tc>
              <w:tc>
                <w:tcPr>
                  <w:tcW w:w="2770" w:type="pct"/>
                  <w:vAlign w:val="center"/>
                </w:tcPr>
                <w:p w14:paraId="5CD4403D">
                  <w:pPr>
                    <w:pStyle w:val="83"/>
                    <w:jc w:val="both"/>
                    <w:rPr>
                      <w:rFonts w:hint="default"/>
                    </w:rPr>
                  </w:pPr>
                  <w:r>
                    <w:t>企业绿化占地达到30%以上</w:t>
                  </w:r>
                </w:p>
              </w:tc>
            </w:tr>
            <w:tr w14:paraId="014990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30" w:type="pct"/>
                  <w:vAlign w:val="center"/>
                </w:tcPr>
                <w:p w14:paraId="0B931874">
                  <w:pPr>
                    <w:pStyle w:val="83"/>
                    <w:jc w:val="both"/>
                    <w:rPr>
                      <w:rFonts w:hint="default"/>
                    </w:rPr>
                  </w:pPr>
                  <w:r>
                    <w:t>7.应加强项目施工期的管理，并采取综合防治措施，防止施工噪声、废水、垃圾和粉尘等污染周边环境</w:t>
                  </w:r>
                </w:p>
              </w:tc>
              <w:tc>
                <w:tcPr>
                  <w:tcW w:w="2770" w:type="pct"/>
                  <w:vAlign w:val="center"/>
                </w:tcPr>
                <w:p w14:paraId="251DBF88">
                  <w:pPr>
                    <w:pStyle w:val="83"/>
                    <w:jc w:val="both"/>
                    <w:rPr>
                      <w:rFonts w:hint="default"/>
                    </w:rPr>
                  </w:pPr>
                  <w:r>
                    <w:t>项目施工期间未出现水土流失和施工噪声、废水、垃圾、粉尘等污染周边环境的问题，现已正常运行</w:t>
                  </w:r>
                </w:p>
              </w:tc>
            </w:tr>
          </w:tbl>
          <w:p w14:paraId="7E34E07B">
            <w:pPr>
              <w:ind w:firstLine="480"/>
            </w:pPr>
            <w:r>
              <w:rPr>
                <w:rFonts w:hint="eastAsia"/>
              </w:rPr>
              <w:t>6.加弹项目</w:t>
            </w:r>
          </w:p>
          <w:p w14:paraId="4D94C991">
            <w:pPr>
              <w:pStyle w:val="13"/>
            </w:pPr>
            <w:r>
              <w:rPr>
                <w:rFonts w:hint="eastAsia"/>
              </w:rPr>
              <w:t>表2.6-6  现有加弹工程环评批复执行情况一览表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52"/>
              <w:gridCol w:w="4648"/>
            </w:tblGrid>
            <w:tr w14:paraId="310112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389" w:type="pct"/>
                  <w:vAlign w:val="center"/>
                </w:tcPr>
                <w:p w14:paraId="6005A0DB">
                  <w:pPr>
                    <w:pStyle w:val="83"/>
                    <w:rPr>
                      <w:rFonts w:hint="default"/>
                    </w:rPr>
                  </w:pPr>
                  <w:r>
                    <w:t>环评及批复要求</w:t>
                  </w:r>
                </w:p>
              </w:tc>
              <w:tc>
                <w:tcPr>
                  <w:tcW w:w="2611" w:type="pct"/>
                  <w:vAlign w:val="center"/>
                </w:tcPr>
                <w:p w14:paraId="52F8E1F3">
                  <w:pPr>
                    <w:pStyle w:val="83"/>
                    <w:rPr>
                      <w:rFonts w:hint="default"/>
                    </w:rPr>
                  </w:pPr>
                  <w:r>
                    <w:t>实际执行情况</w:t>
                  </w:r>
                </w:p>
              </w:tc>
            </w:tr>
            <w:tr w14:paraId="7225A1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9" w:type="pct"/>
                  <w:vAlign w:val="center"/>
                </w:tcPr>
                <w:p w14:paraId="113B0F0D">
                  <w:pPr>
                    <w:pStyle w:val="83"/>
                    <w:jc w:val="both"/>
                    <w:rPr>
                      <w:rFonts w:hint="default"/>
                    </w:rPr>
                  </w:pPr>
                  <w:r>
                    <w:t>1.废水：厂区内应严格实行雨污分流；设备冷却水应循环使用，不得外排；车间地面冲洗水、水吸收装置废水和生活污水应统一集中，经处理达标后通过市政污水管网纳入滨海污水处理厂统一处理。</w:t>
                  </w:r>
                </w:p>
              </w:tc>
              <w:tc>
                <w:tcPr>
                  <w:tcW w:w="2611" w:type="pct"/>
                  <w:vAlign w:val="center"/>
                </w:tcPr>
                <w:p w14:paraId="21BD31A1">
                  <w:pPr>
                    <w:pStyle w:val="83"/>
                    <w:jc w:val="both"/>
                    <w:rPr>
                      <w:rFonts w:hint="default"/>
                    </w:rPr>
                  </w:pPr>
                  <w:r>
                    <w:t>厂区实行雨污分流，生产废水经综合废水处理站处理后回用生产，生活污水经化粪池处理后纳入工业区污水管网由滨海工业区污水处理厂集中处理，尾水由牛头湾排海；反渗透浓水纳入工业区污水管网由滨海工业区污水处理厂集中处理，尾水由牛头湾排海。</w:t>
                  </w:r>
                </w:p>
              </w:tc>
            </w:tr>
            <w:tr w14:paraId="398E88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9" w:type="pct"/>
                  <w:vAlign w:val="center"/>
                </w:tcPr>
                <w:p w14:paraId="289FD546">
                  <w:pPr>
                    <w:pStyle w:val="83"/>
                    <w:jc w:val="both"/>
                    <w:rPr>
                      <w:rFonts w:hint="default"/>
                    </w:rPr>
                  </w:pPr>
                  <w:r>
                    <w:t>2.废气：加弹过程中产生的有机废气应配套水吸收装置，有机废气集中经净化处理达标后高空排放，排气筒高度应大于15米。</w:t>
                  </w:r>
                </w:p>
              </w:tc>
              <w:tc>
                <w:tcPr>
                  <w:tcW w:w="2611" w:type="pct"/>
                  <w:vAlign w:val="center"/>
                </w:tcPr>
                <w:p w14:paraId="16C5B3C7">
                  <w:pPr>
                    <w:pStyle w:val="83"/>
                    <w:jc w:val="both"/>
                    <w:rPr>
                      <w:rFonts w:hint="default"/>
                    </w:rPr>
                  </w:pPr>
                  <w:r>
                    <w:t>加弹废气经4套静电除油装置处理后通过4根26m排气筒排放，根据企业自行监测数据，废气中非甲烷总烃满足《合成树脂工业污染物排放标准》（GB31572-2015，含2024年修改单）表5的特别排放限值要求</w:t>
                  </w:r>
                </w:p>
              </w:tc>
            </w:tr>
            <w:tr w14:paraId="5A5107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9" w:type="pct"/>
                  <w:vAlign w:val="center"/>
                </w:tcPr>
                <w:p w14:paraId="2C175A9D">
                  <w:pPr>
                    <w:pStyle w:val="83"/>
                    <w:jc w:val="both"/>
                    <w:rPr>
                      <w:rFonts w:hint="default"/>
                    </w:rPr>
                  </w:pPr>
                  <w:r>
                    <w:t>3.噪声：应合理布局生产车间，对冷却塔、空压机等高噪声源应采取消声、隔音、减振等综合治理措施，确保厂界外噪声达标排放。</w:t>
                  </w:r>
                </w:p>
              </w:tc>
              <w:tc>
                <w:tcPr>
                  <w:tcW w:w="2611" w:type="pct"/>
                  <w:vAlign w:val="center"/>
                </w:tcPr>
                <w:p w14:paraId="16FBF0C9">
                  <w:pPr>
                    <w:pStyle w:val="83"/>
                    <w:jc w:val="both"/>
                    <w:rPr>
                      <w:rFonts w:hint="default"/>
                    </w:rPr>
                  </w:pPr>
                  <w:r>
                    <w:t>企业通过合理平面布局，采用噪声小的设备、增加消音器、减振基础、保持设备良好运转状态和增加厂区周围植树绿化程度减少厂界噪声的影响</w:t>
                  </w:r>
                </w:p>
              </w:tc>
            </w:tr>
            <w:tr w14:paraId="53D90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9" w:type="pct"/>
                  <w:vAlign w:val="center"/>
                </w:tcPr>
                <w:p w14:paraId="71A88A7F">
                  <w:pPr>
                    <w:pStyle w:val="83"/>
                    <w:jc w:val="both"/>
                    <w:rPr>
                      <w:rFonts w:hint="default"/>
                    </w:rPr>
                  </w:pPr>
                  <w:r>
                    <w:t>4.固废：生产过程中产生的废丝应回收进行综合利用；生活垃圾统一收集并及时清运；严禁固体废弃物随意堆放、倾倒或焚烧。</w:t>
                  </w:r>
                </w:p>
              </w:tc>
              <w:tc>
                <w:tcPr>
                  <w:tcW w:w="2611" w:type="pct"/>
                  <w:vAlign w:val="center"/>
                </w:tcPr>
                <w:p w14:paraId="69D60DB7">
                  <w:pPr>
                    <w:pStyle w:val="83"/>
                    <w:jc w:val="both"/>
                    <w:rPr>
                      <w:rFonts w:hint="default"/>
                    </w:rPr>
                  </w:pPr>
                  <w:r>
                    <w:t>项目生产过程产生的锦纶丝固体废物，经收集后暂存于辅料仓库，在厂区内综合利用；生活垃圾由当地环卫部门统一收运；符合环评批复要求</w:t>
                  </w:r>
                </w:p>
              </w:tc>
            </w:tr>
            <w:tr w14:paraId="70E0D1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89" w:type="pct"/>
                  <w:vAlign w:val="center"/>
                </w:tcPr>
                <w:p w14:paraId="4917E3D2">
                  <w:pPr>
                    <w:pStyle w:val="83"/>
                    <w:jc w:val="both"/>
                    <w:rPr>
                      <w:rFonts w:hint="default"/>
                    </w:rPr>
                  </w:pPr>
                  <w:r>
                    <w:t>5.其他：应加强项目施工期的管理，并采取综合防治措施，防止施工噪声、废水、垃圾和粉尘等污染周边环境</w:t>
                  </w:r>
                </w:p>
              </w:tc>
              <w:tc>
                <w:tcPr>
                  <w:tcW w:w="2611" w:type="pct"/>
                  <w:vAlign w:val="center"/>
                </w:tcPr>
                <w:p w14:paraId="348BC3BC">
                  <w:pPr>
                    <w:pStyle w:val="83"/>
                    <w:jc w:val="both"/>
                    <w:rPr>
                      <w:rFonts w:hint="default"/>
                    </w:rPr>
                  </w:pPr>
                  <w:r>
                    <w:t>项目施工期间加强了监督管理，未出现水土流失和施工噪声、废水、垃圾、粉尘等污染周边环境的问题。项目从立项至试生产及验收阶段未发生环境投诉事件和环境污染事件。</w:t>
                  </w:r>
                </w:p>
              </w:tc>
            </w:tr>
          </w:tbl>
          <w:p w14:paraId="7BE40CA7">
            <w:pPr>
              <w:ind w:firstLine="480"/>
            </w:pPr>
            <w:r>
              <w:rPr>
                <w:rFonts w:hint="eastAsia"/>
              </w:rPr>
              <w:t>7.聚合三期项目</w:t>
            </w:r>
          </w:p>
          <w:p w14:paraId="76C662B8">
            <w:pPr>
              <w:pStyle w:val="13"/>
            </w:pPr>
            <w:r>
              <w:rPr>
                <w:rFonts w:hint="eastAsia"/>
              </w:rPr>
              <w:t>表2.6-7  现有聚合三期工程环评批复执行情况一览表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28" w:type="dxa"/>
                <w:bottom w:w="0" w:type="dxa"/>
                <w:right w:w="28" w:type="dxa"/>
              </w:tblCellMar>
            </w:tblPr>
            <w:tblGrid>
              <w:gridCol w:w="4395"/>
              <w:gridCol w:w="4505"/>
            </w:tblGrid>
            <w:tr w14:paraId="7EC90B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blHeader/>
              </w:trPr>
              <w:tc>
                <w:tcPr>
                  <w:tcW w:w="2469" w:type="pct"/>
                  <w:tcMar>
                    <w:left w:w="57" w:type="dxa"/>
                    <w:right w:w="57" w:type="dxa"/>
                  </w:tcMar>
                  <w:vAlign w:val="center"/>
                </w:tcPr>
                <w:p w14:paraId="33C61705">
                  <w:pPr>
                    <w:pStyle w:val="83"/>
                    <w:rPr>
                      <w:rFonts w:hint="default"/>
                    </w:rPr>
                  </w:pPr>
                  <w:r>
                    <w:t>环评及批复要求</w:t>
                  </w:r>
                </w:p>
              </w:tc>
              <w:tc>
                <w:tcPr>
                  <w:tcW w:w="2531" w:type="pct"/>
                  <w:tcMar>
                    <w:left w:w="57" w:type="dxa"/>
                    <w:right w:w="57" w:type="dxa"/>
                  </w:tcMar>
                  <w:vAlign w:val="center"/>
                </w:tcPr>
                <w:p w14:paraId="516DDD21">
                  <w:pPr>
                    <w:pStyle w:val="83"/>
                    <w:rPr>
                      <w:rFonts w:hint="default"/>
                    </w:rPr>
                  </w:pPr>
                  <w:r>
                    <w:t>实际执行情况</w:t>
                  </w:r>
                </w:p>
              </w:tc>
            </w:tr>
            <w:tr w14:paraId="664CD1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69" w:type="pct"/>
                  <w:tcMar>
                    <w:left w:w="57" w:type="dxa"/>
                    <w:right w:w="57" w:type="dxa"/>
                  </w:tcMar>
                  <w:vAlign w:val="center"/>
                </w:tcPr>
                <w:p w14:paraId="01C3CB1E">
                  <w:pPr>
                    <w:pStyle w:val="83"/>
                    <w:jc w:val="both"/>
                    <w:rPr>
                      <w:rFonts w:hint="default"/>
                    </w:rPr>
                  </w:pPr>
                  <w:r>
                    <w:t>项目应按照“以新带老”原则，对已建项目存在的环境问题采取整改措施。现有项目一、二期纺丝工程配套的组件搬烧工序产生的有机废气应收集经水喷淋洗涤器淋洗净化后，由高度不低于15m的排气筒引至高空排放，洗涤水经脱附处理后循环使用不外排；锅炉灰渣堆场应进行加盖密闭处理，严格控制灰渣粉尘的无组织排放；加强对一、二、三、四期纺丝工程废气治理设施的运行管理，确保纺丝工程废气稳定达标排放。</w:t>
                  </w:r>
                </w:p>
              </w:tc>
              <w:tc>
                <w:tcPr>
                  <w:tcW w:w="2531" w:type="pct"/>
                  <w:tcMar>
                    <w:left w:w="57" w:type="dxa"/>
                    <w:right w:w="57" w:type="dxa"/>
                  </w:tcMar>
                  <w:vAlign w:val="center"/>
                </w:tcPr>
                <w:p w14:paraId="4F53E349">
                  <w:pPr>
                    <w:pStyle w:val="83"/>
                    <w:jc w:val="both"/>
                    <w:rPr>
                      <w:rFonts w:hint="default"/>
                    </w:rPr>
                  </w:pPr>
                  <w:r>
                    <w:t>①生物质制气锅炉替代燃煤锅炉工程正在开展竣工环保验收。后期区域供热管网建设完成，供热工序改由华能（福建）能源开发有限公司福州分公司集中供热工程进行供热。</w:t>
                  </w:r>
                </w:p>
                <w:p w14:paraId="604359DC">
                  <w:pPr>
                    <w:pStyle w:val="83"/>
                    <w:jc w:val="both"/>
                    <w:rPr>
                      <w:rFonts w:hint="default"/>
                    </w:rPr>
                  </w:pPr>
                  <w:r>
                    <w:t>②一、二期纺丝工程配套的组件煅烧工序产生的有机废气均采用水喷淋洗涤器淋洗净化处理后，废气分别经20m高排气筒排放。</w:t>
                  </w:r>
                </w:p>
                <w:p w14:paraId="12DB44CF">
                  <w:pPr>
                    <w:pStyle w:val="83"/>
                    <w:jc w:val="both"/>
                    <w:rPr>
                      <w:rFonts w:hint="default"/>
                    </w:rPr>
                  </w:pPr>
                  <w:r>
                    <w:t>③灰渣场已加盖处理。</w:t>
                  </w:r>
                </w:p>
                <w:p w14:paraId="00EB84A8">
                  <w:pPr>
                    <w:pStyle w:val="83"/>
                    <w:jc w:val="both"/>
                    <w:rPr>
                      <w:rFonts w:hint="default"/>
                    </w:rPr>
                  </w:pPr>
                  <w:r>
                    <w:t>④根据企业自行监测数据，纺丝工程废气非甲烷总烃和颗粒物满足《合成树脂工业污染物排放标准》（GB31572-2015，含2024年修改单）表5的特别排放限值要求。</w:t>
                  </w:r>
                </w:p>
              </w:tc>
            </w:tr>
            <w:tr w14:paraId="7DEE8C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69" w:type="pct"/>
                  <w:tcMar>
                    <w:left w:w="57" w:type="dxa"/>
                    <w:right w:w="57" w:type="dxa"/>
                  </w:tcMar>
                  <w:vAlign w:val="center"/>
                </w:tcPr>
                <w:p w14:paraId="2BFFF6B9">
                  <w:pPr>
                    <w:pStyle w:val="83"/>
                    <w:jc w:val="both"/>
                    <w:rPr>
                      <w:rFonts w:hint="default"/>
                    </w:rPr>
                  </w:pPr>
                  <w:r>
                    <w:t>项目排水系统应实行“雨污分流、清污分流”，并扩建一座处理能力不低于300m3/d的污水处理站。各类生产工艺废水、设备清洗废水、车间地面冲洗废水等排入厂区污水处理站处理达标后，和经化粪池预处理等生活污水一起接入市政污水管网，纳入滨海工业集中区污水处理厂集中处理。除盐水站浓盐水、软化水站反冲洗水、循环水场排水等清净废水大部分回用，剩余排入厂区污水处理站处理。全厂仅允许设置一个污水排放口， 排放口应实施规范化建设，安装流量、pH、COD、氨氮在线监控装置并与环保部门联网。厂区应设置容积不小于200m3的初期雨水收集池，项目露天装置区和罐区应设置初期雨水收集系统，初期雨水排入污水处理系统处理。厂区污水处理站应配套容积不小于500m</w:t>
                  </w:r>
                  <w:r>
                    <w:rPr>
                      <w:vertAlign w:val="superscript"/>
                    </w:rPr>
                    <w:t>3</w:t>
                  </w:r>
                  <w:r>
                    <w:t>的应急池，厂区应建设有效容积不小于3200m</w:t>
                  </w:r>
                  <w:r>
                    <w:rPr>
                      <w:vertAlign w:val="superscript"/>
                    </w:rPr>
                    <w:t>3</w:t>
                  </w:r>
                  <w:r>
                    <w:t>的事故废水收集池，确保事故废水不排入外环境。落实土壤和地下水污染防治要求，严格控制在储存、装卸、运输、生产和污染处理等过程中各种物料的跑、冒、滴、漏，并按照《报告书》 确定的重点污染防治区、特殊污染防治区、一般污染防治区的要求分区采取防渗措施，并设置地下水监测井。</w:t>
                  </w:r>
                </w:p>
              </w:tc>
              <w:tc>
                <w:tcPr>
                  <w:tcW w:w="2531" w:type="pct"/>
                  <w:tcMar>
                    <w:left w:w="57" w:type="dxa"/>
                    <w:right w:w="57" w:type="dxa"/>
                  </w:tcMar>
                  <w:vAlign w:val="center"/>
                </w:tcPr>
                <w:p w14:paraId="15A8CF55">
                  <w:pPr>
                    <w:pStyle w:val="83"/>
                    <w:jc w:val="both"/>
                    <w:rPr>
                      <w:rFonts w:hint="default"/>
                    </w:rPr>
                  </w:pPr>
                  <w:r>
                    <w:fldChar w:fldCharType="begin"/>
                  </w:r>
                  <w:r>
                    <w:instrText xml:space="preserve"> = 1 \* GB3 </w:instrText>
                  </w:r>
                  <w:r>
                    <w:fldChar w:fldCharType="separate"/>
                  </w:r>
                  <w:r>
                    <w:t>①</w:t>
                  </w:r>
                  <w:r>
                    <w:fldChar w:fldCharType="end"/>
                  </w:r>
                  <w:r>
                    <w:t>厂区实行雨污分流、清污分流，厂内扩建污水站处理能力为300t/d。</w:t>
                  </w:r>
                </w:p>
                <w:p w14:paraId="0826A53B">
                  <w:pPr>
                    <w:pStyle w:val="83"/>
                    <w:jc w:val="both"/>
                    <w:rPr>
                      <w:rFonts w:hint="default"/>
                    </w:rPr>
                  </w:pPr>
                  <w:r>
                    <w:fldChar w:fldCharType="begin"/>
                  </w:r>
                  <w:r>
                    <w:instrText xml:space="preserve"> = 2 \* GB3 </w:instrText>
                  </w:r>
                  <w:r>
                    <w:fldChar w:fldCharType="separate"/>
                  </w:r>
                  <w:r>
                    <w:t>②</w:t>
                  </w:r>
                  <w:r>
                    <w:fldChar w:fldCharType="end"/>
                  </w:r>
                  <w:r>
                    <w:t>已扩建一座300m</w:t>
                  </w:r>
                  <w:r>
                    <w:rPr>
                      <w:vertAlign w:val="superscript"/>
                    </w:rPr>
                    <w:t>3</w:t>
                  </w:r>
                  <w:r>
                    <w:t>/d的污水处理站，各类生产工艺废水、设备清洗废水、车间地面冲洗废水等排入项目配套污水处理站处理后接入中水回用系统处理并回用于生产，反渗透浓水和经化粪池预处理等生活污水一起接入市政污水管网，纳入滨海工业集中区污水处理厂集中处理。除盐水站浓盐水、软化水站反冲洗水、循环水厂排水等清净废水大部分回用，剩余排入厂区污水处理站。</w:t>
                  </w:r>
                </w:p>
                <w:p w14:paraId="4D9D887F">
                  <w:pPr>
                    <w:pStyle w:val="83"/>
                    <w:jc w:val="both"/>
                    <w:rPr>
                      <w:rFonts w:hint="default"/>
                    </w:rPr>
                  </w:pPr>
                  <w:r>
                    <w:fldChar w:fldCharType="begin"/>
                  </w:r>
                  <w:r>
                    <w:instrText xml:space="preserve"> = 3 \* GB3 </w:instrText>
                  </w:r>
                  <w:r>
                    <w:fldChar w:fldCharType="separate"/>
                  </w:r>
                  <w:r>
                    <w:t>③</w:t>
                  </w:r>
                  <w:r>
                    <w:fldChar w:fldCharType="end"/>
                  </w:r>
                  <w:r>
                    <w:t>扩建污水处理厂处理后的废水进入经现有污水站的排放口统一排放，全厂仅在厂界东侧设置1个污水排放口。现有污水站排放口规范化建设，并安装流量、pH、COD、氨氮在线监控装置并与环保部门联网。</w:t>
                  </w:r>
                </w:p>
                <w:p w14:paraId="2F8A5597">
                  <w:pPr>
                    <w:pStyle w:val="83"/>
                    <w:jc w:val="both"/>
                    <w:rPr>
                      <w:rFonts w:hint="default"/>
                    </w:rPr>
                  </w:pPr>
                  <w:r>
                    <w:fldChar w:fldCharType="begin"/>
                  </w:r>
                  <w:r>
                    <w:instrText xml:space="preserve"> = 4 \* GB3 </w:instrText>
                  </w:r>
                  <w:r>
                    <w:fldChar w:fldCharType="separate"/>
                  </w:r>
                  <w:r>
                    <w:t>④</w:t>
                  </w:r>
                  <w:r>
                    <w:fldChar w:fldCharType="end"/>
                  </w:r>
                  <w:r>
                    <w:t>厂内设有200m</w:t>
                  </w:r>
                  <w:r>
                    <w:rPr>
                      <w:vertAlign w:val="superscript"/>
                    </w:rPr>
                    <w:t>3</w:t>
                  </w:r>
                  <w:r>
                    <w:t>的初期雨水池，项目露天装置区和罐区设置初期雨水收集系统，初期雨水排入污水处理系统处理。</w:t>
                  </w:r>
                </w:p>
                <w:p w14:paraId="69025972">
                  <w:pPr>
                    <w:pStyle w:val="83"/>
                    <w:jc w:val="both"/>
                    <w:rPr>
                      <w:rFonts w:hint="default"/>
                    </w:rPr>
                  </w:pPr>
                  <w:r>
                    <w:t>⑤污水站东侧空地建设地埋式500m</w:t>
                  </w:r>
                  <w:r>
                    <w:rPr>
                      <w:vertAlign w:val="superscript"/>
                    </w:rPr>
                    <w:t>3</w:t>
                  </w:r>
                  <w:r>
                    <w:t>缓冲池；扩建项目新增840m</w:t>
                  </w:r>
                  <w:r>
                    <w:rPr>
                      <w:vertAlign w:val="superscript"/>
                    </w:rPr>
                    <w:t>3</w:t>
                  </w:r>
                  <w:r>
                    <w:t>事故应急池，全厂事故应急池容积3340m</w:t>
                  </w:r>
                  <w:r>
                    <w:rPr>
                      <w:vertAlign w:val="superscript"/>
                    </w:rPr>
                    <w:t>3</w:t>
                  </w:r>
                  <w:r>
                    <w:t>。</w:t>
                  </w:r>
                </w:p>
                <w:p w14:paraId="1A2E5138">
                  <w:pPr>
                    <w:pStyle w:val="83"/>
                    <w:jc w:val="both"/>
                    <w:rPr>
                      <w:rFonts w:hint="default"/>
                    </w:rPr>
                  </w:pPr>
                  <w:r>
                    <w:t>⑥企业严格控制储存、装卸、运输、生产和污染处理等过程中各种物料的跑、冒、滴、漏；已按要求进行分区防渗，设2个地下水跟踪监测井。</w:t>
                  </w:r>
                </w:p>
              </w:tc>
            </w:tr>
            <w:tr w14:paraId="472FFD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69" w:type="pct"/>
                  <w:tcMar>
                    <w:left w:w="57" w:type="dxa"/>
                    <w:right w:w="57" w:type="dxa"/>
                  </w:tcMar>
                  <w:vAlign w:val="center"/>
                </w:tcPr>
                <w:p w14:paraId="43A0AFFE">
                  <w:pPr>
                    <w:pStyle w:val="83"/>
                    <w:jc w:val="both"/>
                    <w:rPr>
                      <w:rFonts w:hint="default"/>
                    </w:rPr>
                  </w:pPr>
                  <w:r>
                    <w:t>项目对福建锦江科技有限公司锅炉方案进行技改，保持现有2台（1用1备）燃煤蒸汽锅炉不变，新增1台25t/h燃气蒸汽锅炉作为备用；淘汰现有2台（1用1备）燃煤有机热载体锅炉，增设4台600万大卡/h燃气导热油炉（2用2备）。要求现有燃煤锅炉应配套建设脱硝设施，锅炉烟气经除尘、脱硫、 脱硝处理达标后，由1根40米高排气筒引至高空排放。燃气锅炉和燃气导热油炉采用低氮燃烧技术，锅炉烟气经1根25米高排气筒引至高空排放，导热油炉烟气经2根25米高排气筒引至高空排放。现有燃煤锅炉和新建燃气锅炉的烟气排放口应实施规范化建设，安装烟气流量、烟尘、二氧化硫、氮氧化物在线监控装置并与环保部门联网。</w:t>
                  </w:r>
                </w:p>
              </w:tc>
              <w:tc>
                <w:tcPr>
                  <w:tcW w:w="2531" w:type="pct"/>
                  <w:tcMar>
                    <w:left w:w="57" w:type="dxa"/>
                    <w:right w:w="57" w:type="dxa"/>
                  </w:tcMar>
                  <w:vAlign w:val="center"/>
                </w:tcPr>
                <w:p w14:paraId="068C8C1A">
                  <w:pPr>
                    <w:pStyle w:val="83"/>
                    <w:jc w:val="both"/>
                    <w:rPr>
                      <w:rFonts w:hint="default"/>
                    </w:rPr>
                  </w:pPr>
                  <w:r>
                    <w:fldChar w:fldCharType="begin"/>
                  </w:r>
                  <w:r>
                    <w:instrText xml:space="preserve"> = 1 \* GB3 </w:instrText>
                  </w:r>
                  <w:r>
                    <w:fldChar w:fldCharType="separate"/>
                  </w:r>
                  <w:r>
                    <w:t>①</w:t>
                  </w:r>
                  <w:r>
                    <w:fldChar w:fldCharType="end"/>
                  </w:r>
                  <w:r>
                    <w:t>生物质制气锅炉替代燃煤锅炉工程正在开展竣工环保验收，1台20t/h的燃煤蒸汽锅炉、1台25t/h的燃气锅炉及4台600万大卡/h燃气导热油炉作为备用。</w:t>
                  </w:r>
                </w:p>
                <w:p w14:paraId="58E77957">
                  <w:pPr>
                    <w:pStyle w:val="83"/>
                    <w:jc w:val="both"/>
                    <w:rPr>
                      <w:rFonts w:hint="default"/>
                    </w:rPr>
                  </w:pPr>
                  <w:r>
                    <w:fldChar w:fldCharType="begin"/>
                  </w:r>
                  <w:r>
                    <w:instrText xml:space="preserve"> = 2 \* GB3 </w:instrText>
                  </w:r>
                  <w:r>
                    <w:fldChar w:fldCharType="separate"/>
                  </w:r>
                  <w:r>
                    <w:t>②</w:t>
                  </w:r>
                  <w:r>
                    <w:fldChar w:fldCharType="end"/>
                  </w:r>
                  <w:r>
                    <w:t>生物质制气锅炉烟气采用低氮燃烧+多管除尘器+SCR脱硝+干法脱硫+布袋除尘器处理，经40m烟囱排放。</w:t>
                  </w:r>
                </w:p>
                <w:p w14:paraId="4326EBC7">
                  <w:pPr>
                    <w:pStyle w:val="83"/>
                    <w:jc w:val="both"/>
                    <w:rPr>
                      <w:rFonts w:hint="default"/>
                    </w:rPr>
                  </w:pPr>
                  <w:r>
                    <w:fldChar w:fldCharType="begin"/>
                  </w:r>
                  <w:r>
                    <w:instrText xml:space="preserve"> = 3 \* GB3 </w:instrText>
                  </w:r>
                  <w:r>
                    <w:fldChar w:fldCharType="separate"/>
                  </w:r>
                  <w:r>
                    <w:t>③</w:t>
                  </w:r>
                  <w:r>
                    <w:fldChar w:fldCharType="end"/>
                  </w:r>
                  <w:r>
                    <w:t>燃气锅炉烟气经25m排气筒排放，并设在线监测装置；已建设的2台燃气导热油炉烟气经25m排气筒排放。</w:t>
                  </w:r>
                </w:p>
              </w:tc>
            </w:tr>
            <w:tr w14:paraId="79B762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69" w:type="pct"/>
                  <w:tcMar>
                    <w:left w:w="57" w:type="dxa"/>
                    <w:right w:w="57" w:type="dxa"/>
                  </w:tcMar>
                  <w:vAlign w:val="center"/>
                </w:tcPr>
                <w:p w14:paraId="1725602D">
                  <w:pPr>
                    <w:pStyle w:val="83"/>
                    <w:jc w:val="both"/>
                    <w:rPr>
                      <w:rFonts w:hint="default"/>
                    </w:rPr>
                  </w:pPr>
                  <w:r>
                    <w:t>规范设置各类工艺废气的收集、处理、排放系统，并严格控制聚合、切片、罐区等工艺废气的无组织排放。聚合工艺废气经填料塔冷凝水洗涤+冷凝器冷凝+沉浸槽处理、切片废气经配套单体抽吸设备+水喷淋塔洗涤处理后，共同经1根36米高排气筒引至高空排放。污水处理站UASB罐应加盖密闭，臭气经收集除臭处理后，由1根15米高排气筒引至高空排放。《报告书》确定的本项目卫生防护距离为聚合车间边界外200m、罐区边界外100m、污水处理站边界外100m，防护距离范围位于福建锦江科技有限公司厂区范围内</w:t>
                  </w:r>
                </w:p>
              </w:tc>
              <w:tc>
                <w:tcPr>
                  <w:tcW w:w="2531" w:type="pct"/>
                  <w:tcMar>
                    <w:left w:w="57" w:type="dxa"/>
                    <w:right w:w="57" w:type="dxa"/>
                  </w:tcMar>
                  <w:vAlign w:val="center"/>
                </w:tcPr>
                <w:p w14:paraId="0FE75A25">
                  <w:pPr>
                    <w:pStyle w:val="83"/>
                    <w:jc w:val="both"/>
                    <w:rPr>
                      <w:rFonts w:hint="default"/>
                    </w:rPr>
                  </w:pPr>
                  <w:r>
                    <w:fldChar w:fldCharType="begin"/>
                  </w:r>
                  <w:r>
                    <w:instrText xml:space="preserve"> = 1 \* GB3 </w:instrText>
                  </w:r>
                  <w:r>
                    <w:fldChar w:fldCharType="separate"/>
                  </w:r>
                  <w:r>
                    <w:t>①</w:t>
                  </w:r>
                  <w:r>
                    <w:fldChar w:fldCharType="end"/>
                  </w:r>
                  <w:r>
                    <w:t>企业按要求设置各类工艺废气的收集、处理、排放系统，并严格控制聚合、切片、罐区等工艺废气的无组织排放。</w:t>
                  </w:r>
                </w:p>
                <w:p w14:paraId="3979EEF8">
                  <w:pPr>
                    <w:pStyle w:val="83"/>
                    <w:jc w:val="both"/>
                    <w:rPr>
                      <w:rFonts w:hint="default"/>
                    </w:rPr>
                  </w:pPr>
                  <w:r>
                    <w:t>②聚合工艺废气采用填料塔冷凝水洗涤+冷凝器冷凝+沉浸槽处理、切片废气采用配套单体抽吸设备+水喷淋塔洗涤处理后，共同经1根36米高排气筒引至高空排放。</w:t>
                  </w:r>
                </w:p>
                <w:p w14:paraId="15D17C69">
                  <w:pPr>
                    <w:pStyle w:val="83"/>
                    <w:jc w:val="both"/>
                    <w:rPr>
                      <w:rFonts w:hint="default"/>
                    </w:rPr>
                  </w:pPr>
                  <w:r>
                    <w:t>③污水处理站臭气经收集处理后，由1根25米高排气筒引至高空排放。</w:t>
                  </w:r>
                </w:p>
                <w:p w14:paraId="209E733B">
                  <w:pPr>
                    <w:pStyle w:val="83"/>
                    <w:jc w:val="both"/>
                    <w:rPr>
                      <w:rFonts w:hint="default"/>
                    </w:rPr>
                  </w:pPr>
                  <w:r>
                    <w:t>④确定的卫生防护距离范围内为企业厂区范围，无其他环境敏感区。</w:t>
                  </w:r>
                </w:p>
              </w:tc>
            </w:tr>
            <w:tr w14:paraId="4A78DB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69" w:type="pct"/>
                  <w:tcMar>
                    <w:left w:w="57" w:type="dxa"/>
                    <w:right w:w="57" w:type="dxa"/>
                  </w:tcMar>
                  <w:vAlign w:val="center"/>
                </w:tcPr>
                <w:p w14:paraId="0B5AABF7">
                  <w:pPr>
                    <w:pStyle w:val="83"/>
                    <w:jc w:val="both"/>
                    <w:rPr>
                      <w:rFonts w:hint="default"/>
                    </w:rPr>
                  </w:pPr>
                  <w:r>
                    <w:t>选用低噪声设备，合理布局高噪声源，并采取有效的隔声、消声和减振等降噪措施，项目厂界噪声执行《工业企业厂界环境噪声排放标准》（GB12348-2008）的3类标准。</w:t>
                  </w:r>
                </w:p>
              </w:tc>
              <w:tc>
                <w:tcPr>
                  <w:tcW w:w="2531" w:type="pct"/>
                  <w:tcMar>
                    <w:left w:w="57" w:type="dxa"/>
                    <w:right w:w="57" w:type="dxa"/>
                  </w:tcMar>
                  <w:vAlign w:val="center"/>
                </w:tcPr>
                <w:p w14:paraId="3083C712">
                  <w:pPr>
                    <w:pStyle w:val="83"/>
                    <w:jc w:val="both"/>
                    <w:rPr>
                      <w:rFonts w:hint="default"/>
                    </w:rPr>
                  </w:pPr>
                  <w:r>
                    <w:t>项目已选用低噪声设备，合理布局高噪声源，并采取有效的隔声、消声和减振等降噪措施；根据企业例行监测数据，项目厂界噪声排放低于《工业企业厂界环境噪声排放标准》（GB12348-2008）表1的3类标准限值。</w:t>
                  </w:r>
                </w:p>
              </w:tc>
            </w:tr>
            <w:tr w14:paraId="60FCA8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69" w:type="pct"/>
                  <w:tcMar>
                    <w:left w:w="57" w:type="dxa"/>
                    <w:right w:w="57" w:type="dxa"/>
                  </w:tcMar>
                  <w:vAlign w:val="center"/>
                </w:tcPr>
                <w:p w14:paraId="19784F93">
                  <w:pPr>
                    <w:pStyle w:val="83"/>
                    <w:jc w:val="both"/>
                    <w:rPr>
                      <w:rFonts w:hint="default"/>
                    </w:rPr>
                  </w:pPr>
                  <w:r>
                    <w:t>规范设置一般工业固体废物和危险废物分类暂存场所。锅炉灰渣、脱硫石膏、废切片等一般工业固废外售综合利用；废催化剂由厂家回收利用，过滤残渣、废离子交换树脂、废机 油、废有机溶剂、废活性炭、废酸等其他危险废物委托有资质单位处置，并建立危险废物管理台账，严格按规定做好危险废物的收集和转移工作，杜绝二次污染。生活垃圾定点堆放，委托环卫部门及时清运。</w:t>
                  </w:r>
                </w:p>
              </w:tc>
              <w:tc>
                <w:tcPr>
                  <w:tcW w:w="2531" w:type="pct"/>
                  <w:tcMar>
                    <w:left w:w="57" w:type="dxa"/>
                    <w:right w:w="57" w:type="dxa"/>
                  </w:tcMar>
                  <w:vAlign w:val="center"/>
                </w:tcPr>
                <w:p w14:paraId="379189AD">
                  <w:pPr>
                    <w:pStyle w:val="83"/>
                    <w:jc w:val="both"/>
                    <w:rPr>
                      <w:rFonts w:hint="default"/>
                    </w:rPr>
                  </w:pPr>
                  <w:r>
                    <w:t>固体废物分类收集、综合利用，进行了合理处理处置。依托现有危险废物暂存间暂存危险废物。</w:t>
                  </w:r>
                </w:p>
                <w:p w14:paraId="655B926E">
                  <w:pPr>
                    <w:pStyle w:val="83"/>
                    <w:jc w:val="both"/>
                    <w:rPr>
                      <w:rFonts w:hint="default"/>
                    </w:rPr>
                  </w:pPr>
                  <w:r>
                    <w:fldChar w:fldCharType="begin"/>
                  </w:r>
                  <w:r>
                    <w:instrText xml:space="preserve"> = 1 \* GB3 </w:instrText>
                  </w:r>
                  <w:r>
                    <w:fldChar w:fldCharType="separate"/>
                  </w:r>
                  <w:r>
                    <w:t>①</w:t>
                  </w:r>
                  <w:r>
                    <w:fldChar w:fldCharType="end"/>
                  </w:r>
                  <w:r>
                    <w:t>现有燃煤锅炉灰渣、废切片等一般工业固废外售综合利用；由于脱硫措施由双碱脱硫变更为液碱脱硫，无脱硫石膏产生。后续生物质制气锅炉产生的灰渣开展危废鉴定，根据鉴定结果确定处置方式，鉴定前按危险废物管理。</w:t>
                  </w:r>
                </w:p>
                <w:p w14:paraId="050D64F9">
                  <w:pPr>
                    <w:pStyle w:val="83"/>
                    <w:jc w:val="both"/>
                    <w:rPr>
                      <w:rFonts w:hint="default"/>
                    </w:rPr>
                  </w:pPr>
                  <w:r>
                    <w:fldChar w:fldCharType="begin"/>
                  </w:r>
                  <w:r>
                    <w:instrText xml:space="preserve"> = 2 \* GB3 </w:instrText>
                  </w:r>
                  <w:r>
                    <w:fldChar w:fldCharType="separate"/>
                  </w:r>
                  <w:r>
                    <w:t>②</w:t>
                  </w:r>
                  <w:r>
                    <w:fldChar w:fldCharType="end"/>
                  </w:r>
                  <w:r>
                    <w:t>过滤残渣、废催化剂、废离子交换树脂、废机油、废有机溶剂、废酸等其他危险废物委托福建三明海中环保科技有限责任公司处置，并建立危险废物管理台账，严格按规定做好危险废物的收集和转移工作。</w:t>
                  </w:r>
                </w:p>
                <w:p w14:paraId="6DE76438">
                  <w:pPr>
                    <w:pStyle w:val="83"/>
                    <w:jc w:val="both"/>
                    <w:rPr>
                      <w:rFonts w:hint="default"/>
                    </w:rPr>
                  </w:pPr>
                  <w:r>
                    <w:fldChar w:fldCharType="begin"/>
                  </w:r>
                  <w:r>
                    <w:instrText xml:space="preserve"> = 3 \* GB3 </w:instrText>
                  </w:r>
                  <w:r>
                    <w:fldChar w:fldCharType="separate"/>
                  </w:r>
                  <w:r>
                    <w:t>③</w:t>
                  </w:r>
                  <w:r>
                    <w:fldChar w:fldCharType="end"/>
                  </w:r>
                  <w:r>
                    <w:t>生活垃圾定点堆放，委托环卫部门及时清运。</w:t>
                  </w:r>
                </w:p>
              </w:tc>
            </w:tr>
            <w:tr w14:paraId="5CA95E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69" w:type="pct"/>
                  <w:tcMar>
                    <w:left w:w="57" w:type="dxa"/>
                    <w:right w:w="57" w:type="dxa"/>
                  </w:tcMar>
                  <w:vAlign w:val="center"/>
                </w:tcPr>
                <w:p w14:paraId="57D0E0BE">
                  <w:pPr>
                    <w:pStyle w:val="83"/>
                    <w:jc w:val="both"/>
                    <w:rPr>
                      <w:rFonts w:hint="default"/>
                    </w:rPr>
                  </w:pPr>
                  <w:r>
                    <w:t>建立严格的环保管理制度，设立相应环保管理和检测机构，配套专职环保管理人员，加强危险化学品的贮存、使用的全过程管理，以及环保设施的运行管理与维护。应根据社会稳定风险评估结论落实防控措施，修编完善环境风险事故应急预案报环保行政主管部门备案，定期开展事故环境风险应急演练，并与长乐空港工业集中区和长乐区政府建立应急联动机制，确保厂区周边环境安全。</w:t>
                  </w:r>
                </w:p>
              </w:tc>
              <w:tc>
                <w:tcPr>
                  <w:tcW w:w="2531" w:type="pct"/>
                  <w:tcMar>
                    <w:left w:w="57" w:type="dxa"/>
                    <w:right w:w="57" w:type="dxa"/>
                  </w:tcMar>
                  <w:vAlign w:val="center"/>
                </w:tcPr>
                <w:p w14:paraId="034ACC44">
                  <w:pPr>
                    <w:pStyle w:val="83"/>
                    <w:jc w:val="both"/>
                    <w:rPr>
                      <w:rFonts w:hint="default"/>
                    </w:rPr>
                  </w:pPr>
                  <w:r>
                    <w:fldChar w:fldCharType="begin"/>
                  </w:r>
                  <w:r>
                    <w:instrText xml:space="preserve"> = 1 \* GB3 </w:instrText>
                  </w:r>
                  <w:r>
                    <w:fldChar w:fldCharType="separate"/>
                  </w:r>
                  <w:r>
                    <w:t>①</w:t>
                  </w:r>
                  <w:r>
                    <w:fldChar w:fldCharType="end"/>
                  </w:r>
                  <w:r>
                    <w:t>企业设立独立的安环部门，配套专职环保管理人员，并建立严格的环保管理制度。</w:t>
                  </w:r>
                </w:p>
                <w:p w14:paraId="678B0E1D">
                  <w:pPr>
                    <w:pStyle w:val="83"/>
                    <w:jc w:val="both"/>
                    <w:rPr>
                      <w:rFonts w:hint="default"/>
                    </w:rPr>
                  </w:pPr>
                  <w:r>
                    <w:fldChar w:fldCharType="begin"/>
                  </w:r>
                  <w:r>
                    <w:instrText xml:space="preserve"> = 2 \* GB3 </w:instrText>
                  </w:r>
                  <w:r>
                    <w:fldChar w:fldCharType="separate"/>
                  </w:r>
                  <w:r>
                    <w:t>②</w:t>
                  </w:r>
                  <w:r>
                    <w:fldChar w:fldCharType="end"/>
                  </w:r>
                  <w:r>
                    <w:t>2026年已修编企业突发环境事件应急预案，备案编号为350112-2026-014-H；企业一年开展一次环境风险应急演练，并与长乐空港工业集中区和长乐区政府建立应急联动机制。</w:t>
                  </w:r>
                </w:p>
              </w:tc>
            </w:tr>
            <w:tr w14:paraId="58674F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2469" w:type="pct"/>
                  <w:tcMar>
                    <w:left w:w="57" w:type="dxa"/>
                    <w:right w:w="57" w:type="dxa"/>
                  </w:tcMar>
                  <w:vAlign w:val="center"/>
                </w:tcPr>
                <w:p w14:paraId="6894ADA8">
                  <w:pPr>
                    <w:pStyle w:val="83"/>
                    <w:jc w:val="both"/>
                    <w:rPr>
                      <w:rFonts w:hint="default"/>
                    </w:rPr>
                  </w:pPr>
                  <w:r>
                    <w:t>加强施工管理，施工过程应落实《报告书》提出的污染防治和水土流失防治措施，减轻施工噪声、粉尘、污水等对环境的影响。加大风险监测和监控力度，落实《报告书》中施工期、运营期的环境保护监测和管理计划，发现问题及时整改和报告。</w:t>
                  </w:r>
                </w:p>
              </w:tc>
              <w:tc>
                <w:tcPr>
                  <w:tcW w:w="2531" w:type="pct"/>
                  <w:tcMar>
                    <w:left w:w="57" w:type="dxa"/>
                    <w:right w:w="57" w:type="dxa"/>
                  </w:tcMar>
                  <w:vAlign w:val="center"/>
                </w:tcPr>
                <w:p w14:paraId="2AD6EA83">
                  <w:pPr>
                    <w:pStyle w:val="83"/>
                    <w:jc w:val="both"/>
                    <w:rPr>
                      <w:rFonts w:hint="default"/>
                    </w:rPr>
                  </w:pPr>
                  <w:r>
                    <w:fldChar w:fldCharType="begin"/>
                  </w:r>
                  <w:r>
                    <w:instrText xml:space="preserve"> = 1 \* GB3 </w:instrText>
                  </w:r>
                  <w:r>
                    <w:fldChar w:fldCharType="separate"/>
                  </w:r>
                  <w:r>
                    <w:t>①</w:t>
                  </w:r>
                  <w:r>
                    <w:fldChar w:fldCharType="end"/>
                  </w:r>
                  <w:r>
                    <w:t>经核查：施工期间废水、废气、噪声、固废均采取有效的处理与处置措施，符合环评及批复要求，未对周边环境造成不良影响。</w:t>
                  </w:r>
                </w:p>
                <w:p w14:paraId="11EF6D53">
                  <w:pPr>
                    <w:pStyle w:val="83"/>
                    <w:jc w:val="both"/>
                    <w:rPr>
                      <w:rFonts w:hint="default"/>
                    </w:rPr>
                  </w:pPr>
                  <w:r>
                    <w:fldChar w:fldCharType="begin"/>
                  </w:r>
                  <w:r>
                    <w:instrText xml:space="preserve"> = 2 \* GB3 </w:instrText>
                  </w:r>
                  <w:r>
                    <w:fldChar w:fldCharType="separate"/>
                  </w:r>
                  <w:r>
                    <w:t>②</w:t>
                  </w:r>
                  <w:r>
                    <w:fldChar w:fldCharType="end"/>
                  </w:r>
                  <w:r>
                    <w:t>公司已制定环境风险管理制度，成立突发环境事件应急指挥中心，创建应急救援小组，配置应急处置物资；配置灭火器、消防栓、消防水池等必需应急物资装备，制定了《柴油储罐泄漏现场处置预案》《氢氧化钠储罐泄漏现场处置预案》《热媒泄漏现场处置预案》《废水事故性排放现场处置预案》《废气事故性排放现场处置预案》《危险废物泄漏现场处置预案》《己内酰胺泄漏现场处置预案》等。</w:t>
                  </w:r>
                </w:p>
                <w:p w14:paraId="2941B271">
                  <w:pPr>
                    <w:pStyle w:val="83"/>
                    <w:jc w:val="both"/>
                    <w:rPr>
                      <w:rFonts w:hint="default"/>
                    </w:rPr>
                  </w:pPr>
                  <w:r>
                    <w:t>③企业已制定环境监测制度和监测计划，委托有资质的第三方检测机构开展水、气、噪声、地下水等项目例行监测工作。</w:t>
                  </w:r>
                </w:p>
              </w:tc>
            </w:tr>
          </w:tbl>
          <w:p w14:paraId="0E6B4328">
            <w:pPr>
              <w:ind w:firstLine="480"/>
            </w:pPr>
            <w:r>
              <w:rPr>
                <w:rFonts w:hint="eastAsia"/>
              </w:rPr>
              <w:t>8.纺丝五期项目</w:t>
            </w:r>
          </w:p>
          <w:p w14:paraId="43FC172B">
            <w:pPr>
              <w:pStyle w:val="13"/>
            </w:pPr>
            <w:r>
              <w:rPr>
                <w:rFonts w:hint="eastAsia"/>
              </w:rPr>
              <w:t>表2.6-8  现有纺丝五期工程环评批复执行情况一览表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361"/>
              <w:gridCol w:w="4539"/>
            </w:tblGrid>
            <w:tr w14:paraId="05202E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50" w:type="pct"/>
                  <w:vAlign w:val="center"/>
                </w:tcPr>
                <w:p w14:paraId="3911AAF5">
                  <w:pPr>
                    <w:pStyle w:val="83"/>
                    <w:rPr>
                      <w:rFonts w:hint="default"/>
                    </w:rPr>
                  </w:pPr>
                  <w:r>
                    <w:t>环评及批复要求</w:t>
                  </w:r>
                </w:p>
              </w:tc>
              <w:tc>
                <w:tcPr>
                  <w:tcW w:w="2550" w:type="pct"/>
                  <w:vAlign w:val="center"/>
                </w:tcPr>
                <w:p w14:paraId="75D846C7">
                  <w:pPr>
                    <w:pStyle w:val="83"/>
                    <w:rPr>
                      <w:rFonts w:hint="default"/>
                    </w:rPr>
                  </w:pPr>
                  <w:r>
                    <w:t>实际执行情况</w:t>
                  </w:r>
                </w:p>
              </w:tc>
            </w:tr>
            <w:tr w14:paraId="2963D0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50" w:type="pct"/>
                  <w:vAlign w:val="center"/>
                </w:tcPr>
                <w:p w14:paraId="3EB67825">
                  <w:pPr>
                    <w:pStyle w:val="83"/>
                    <w:jc w:val="both"/>
                    <w:rPr>
                      <w:rFonts w:hint="default"/>
                    </w:rPr>
                  </w:pPr>
                  <w:r>
                    <w:t>厂区内应严格实行雨污分流；生活污水和生产废水应经有效处理达标后排放市政污水管网，并纳入滨海污水处理厂集中处理。</w:t>
                  </w:r>
                </w:p>
              </w:tc>
              <w:tc>
                <w:tcPr>
                  <w:tcW w:w="2550" w:type="pct"/>
                  <w:vAlign w:val="center"/>
                </w:tcPr>
                <w:p w14:paraId="792C090A">
                  <w:pPr>
                    <w:pStyle w:val="83"/>
                    <w:jc w:val="both"/>
                    <w:rPr>
                      <w:rFonts w:hint="default"/>
                    </w:rPr>
                  </w:pPr>
                  <w:r>
                    <w:t>厂区实行雨污分流，生产废水经综合废水处理站处理后回用生产，生活污水经化粪池处理后纳入工业区污水管网由滨海工业区污水处理厂集中处理，尾水由牛头湾排海；反渗透浓水纳入工业区污水管网由滨海工业区污水处理厂集中处理，尾水由牛头湾排海。</w:t>
                  </w:r>
                </w:p>
              </w:tc>
            </w:tr>
            <w:tr w14:paraId="1438C7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50" w:type="pct"/>
                  <w:vAlign w:val="center"/>
                </w:tcPr>
                <w:p w14:paraId="75438350">
                  <w:pPr>
                    <w:pStyle w:val="83"/>
                    <w:jc w:val="both"/>
                    <w:rPr>
                      <w:rFonts w:hint="default"/>
                    </w:rPr>
                  </w:pPr>
                  <w:r>
                    <w:t>生产过程中的单体抽吸废气、上油工序的油剂废气、组件煅烧的焖烧废气等应集中经净化处理达标后排放。</w:t>
                  </w:r>
                </w:p>
              </w:tc>
              <w:tc>
                <w:tcPr>
                  <w:tcW w:w="2550" w:type="pct"/>
                  <w:vAlign w:val="center"/>
                </w:tcPr>
                <w:p w14:paraId="3A117DB6">
                  <w:pPr>
                    <w:pStyle w:val="83"/>
                    <w:jc w:val="both"/>
                    <w:rPr>
                      <w:rFonts w:hint="default"/>
                    </w:rPr>
                  </w:pPr>
                  <w:r>
                    <w:t>本项目单体抽吸废气经10套单体抽吸系统吸收处理后通过10根24m高排气筒达标排放；</w:t>
                  </w:r>
                </w:p>
                <w:p w14:paraId="4C108D74">
                  <w:pPr>
                    <w:pStyle w:val="83"/>
                    <w:jc w:val="both"/>
                    <w:rPr>
                      <w:rFonts w:hint="default"/>
                    </w:rPr>
                  </w:pPr>
                  <w:r>
                    <w:t>油剂废气经2套高压静电式油烟净化器处理系统处理后通过2根26m高排气筒达标排放；</w:t>
                  </w:r>
                </w:p>
                <w:p w14:paraId="320F68EB">
                  <w:pPr>
                    <w:pStyle w:val="83"/>
                    <w:jc w:val="both"/>
                    <w:rPr>
                      <w:rFonts w:hint="default"/>
                    </w:rPr>
                  </w:pPr>
                  <w:r>
                    <w:t>煅烧废气经2套水喷淋装置处理后通过1根24m高排气筒达标排放。</w:t>
                  </w:r>
                </w:p>
              </w:tc>
            </w:tr>
            <w:tr w14:paraId="30BC5A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50" w:type="pct"/>
                  <w:vAlign w:val="center"/>
                </w:tcPr>
                <w:p w14:paraId="61511C8D">
                  <w:pPr>
                    <w:pStyle w:val="83"/>
                    <w:jc w:val="both"/>
                    <w:rPr>
                      <w:rFonts w:hint="default"/>
                    </w:rPr>
                  </w:pPr>
                  <w:r>
                    <w:t>应合理布局生产车间，对高噪声源应采取消声、隔音、减震等综合治理措施，确保厂界外噪声达标排放。</w:t>
                  </w:r>
                </w:p>
              </w:tc>
              <w:tc>
                <w:tcPr>
                  <w:tcW w:w="2550" w:type="pct"/>
                  <w:vAlign w:val="center"/>
                </w:tcPr>
                <w:p w14:paraId="7FC12BDB">
                  <w:pPr>
                    <w:pStyle w:val="83"/>
                    <w:jc w:val="both"/>
                    <w:rPr>
                      <w:rFonts w:hint="default"/>
                    </w:rPr>
                  </w:pPr>
                  <w:r>
                    <w:t>本项目风机、水泵及超声波清洗机等各设备已采取了隔声、减振等措施，确保了厂界噪声达标排放</w:t>
                  </w:r>
                </w:p>
              </w:tc>
            </w:tr>
            <w:tr w14:paraId="732E9C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50" w:type="pct"/>
                  <w:vAlign w:val="center"/>
                </w:tcPr>
                <w:p w14:paraId="44DD8197">
                  <w:pPr>
                    <w:pStyle w:val="83"/>
                    <w:jc w:val="both"/>
                    <w:rPr>
                      <w:rFonts w:hint="default"/>
                    </w:rPr>
                  </w:pPr>
                  <w:r>
                    <w:t>生产过程所产生的一般固废应回收进行综合利用；废油剂属危险废物，应按规范委托有资质单位妥善处理；生活垃圾应统一收集并及时清运；严禁固体废弃物随意堆放、倾倒或焚烧。</w:t>
                  </w:r>
                </w:p>
              </w:tc>
              <w:tc>
                <w:tcPr>
                  <w:tcW w:w="2550" w:type="pct"/>
                  <w:vAlign w:val="center"/>
                </w:tcPr>
                <w:p w14:paraId="00C14BA3">
                  <w:pPr>
                    <w:pStyle w:val="83"/>
                    <w:jc w:val="both"/>
                    <w:rPr>
                      <w:rFonts w:hint="default"/>
                    </w:rPr>
                  </w:pPr>
                  <w:r>
                    <w:t>项目产生的生活垃圾由专人定时收集并归集于垃圾收集箱内，再由环卫部门统一清运；</w:t>
                  </w:r>
                </w:p>
                <w:p w14:paraId="127F4E29">
                  <w:pPr>
                    <w:pStyle w:val="83"/>
                    <w:jc w:val="both"/>
                    <w:rPr>
                      <w:rFonts w:hint="default"/>
                    </w:rPr>
                  </w:pPr>
                  <w:r>
                    <w:t>废锦纶丝收集后由公司现有工程进行加工利用；废包装材料委托环卫部门清运；</w:t>
                  </w:r>
                </w:p>
                <w:p w14:paraId="38E6393D">
                  <w:pPr>
                    <w:pStyle w:val="83"/>
                    <w:jc w:val="both"/>
                    <w:rPr>
                      <w:rFonts w:hint="default"/>
                    </w:rPr>
                  </w:pPr>
                  <w:r>
                    <w:t>危险废物暂存于企业危废暂存间中，定期交由福建三明海中环保科技有限责任公司处置。</w:t>
                  </w:r>
                </w:p>
              </w:tc>
            </w:tr>
            <w:tr w14:paraId="46CD6B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450" w:type="pct"/>
                  <w:vAlign w:val="center"/>
                </w:tcPr>
                <w:p w14:paraId="5E474ECB">
                  <w:pPr>
                    <w:pStyle w:val="83"/>
                    <w:jc w:val="both"/>
                    <w:rPr>
                      <w:rFonts w:hint="default"/>
                    </w:rPr>
                  </w:pPr>
                  <w:r>
                    <w:t>应加强项目施工期的管理，并采取综合防治措施，防止施工噪声、废水、垃圾和粉尘等污染周边环境。</w:t>
                  </w:r>
                </w:p>
              </w:tc>
              <w:tc>
                <w:tcPr>
                  <w:tcW w:w="2550" w:type="pct"/>
                  <w:vAlign w:val="center"/>
                </w:tcPr>
                <w:p w14:paraId="70A6B728">
                  <w:pPr>
                    <w:pStyle w:val="83"/>
                    <w:jc w:val="both"/>
                    <w:rPr>
                      <w:rFonts w:hint="default"/>
                    </w:rPr>
                  </w:pPr>
                  <w:r>
                    <w:t>经核查：施工期间废水、废气、噪声、固废均采取有效的处理与处置措施，符合环评及批复要求，未对周边环境造成不良影响</w:t>
                  </w:r>
                </w:p>
              </w:tc>
            </w:tr>
          </w:tbl>
          <w:p w14:paraId="51A4AB8F">
            <w:pPr>
              <w:ind w:firstLine="480"/>
            </w:pPr>
            <w:r>
              <w:rPr>
                <w:rFonts w:hint="eastAsia"/>
              </w:rPr>
              <w:t>9.再生切片项目</w:t>
            </w:r>
          </w:p>
          <w:p w14:paraId="35567FE4">
            <w:pPr>
              <w:pStyle w:val="13"/>
            </w:pPr>
            <w:r>
              <w:rPr>
                <w:rFonts w:hint="eastAsia"/>
              </w:rPr>
              <w:t>表2.6-9  现有再生切片工程环评批复执行情况一览表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534"/>
              <w:gridCol w:w="4366"/>
            </w:tblGrid>
            <w:tr w14:paraId="628601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47" w:type="pct"/>
                  <w:vAlign w:val="center"/>
                </w:tcPr>
                <w:p w14:paraId="527519BB">
                  <w:pPr>
                    <w:pStyle w:val="83"/>
                    <w:rPr>
                      <w:rFonts w:hint="default"/>
                    </w:rPr>
                  </w:pPr>
                  <w:r>
                    <w:t>环评及批复要求</w:t>
                  </w:r>
                </w:p>
              </w:tc>
              <w:tc>
                <w:tcPr>
                  <w:tcW w:w="2452" w:type="pct"/>
                  <w:vAlign w:val="center"/>
                </w:tcPr>
                <w:p w14:paraId="7168F4D8">
                  <w:pPr>
                    <w:pStyle w:val="83"/>
                    <w:rPr>
                      <w:rFonts w:hint="default"/>
                    </w:rPr>
                  </w:pPr>
                  <w:r>
                    <w:t>实际执行情况</w:t>
                  </w:r>
                </w:p>
              </w:tc>
            </w:tr>
            <w:tr w14:paraId="72270F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47" w:type="pct"/>
                  <w:vAlign w:val="center"/>
                </w:tcPr>
                <w:p w14:paraId="49F3544D">
                  <w:pPr>
                    <w:pStyle w:val="83"/>
                    <w:jc w:val="both"/>
                    <w:rPr>
                      <w:rFonts w:hint="default"/>
                    </w:rPr>
                  </w:pPr>
                  <w:r>
                    <w:t>厂区内应严格实行雨污分流；车间清洗废水、烟气净化系统喷淋废水、切粒冷却水、转鼓冷却水和组件清洗废水进入厂区现有综合废水处理站进行处理并回用于生产，综合废水处理站产生的反渗透浓水应达标经市政污水管网进入滨海工业区污水处理厂统一处理；生活污水应经有效处理达标后排放市政污水管网，并纳入滨海污水处理厂集中处理。</w:t>
                  </w:r>
                </w:p>
              </w:tc>
              <w:tc>
                <w:tcPr>
                  <w:tcW w:w="2452" w:type="pct"/>
                  <w:vAlign w:val="center"/>
                </w:tcPr>
                <w:p w14:paraId="16F5E38B">
                  <w:pPr>
                    <w:pStyle w:val="83"/>
                    <w:jc w:val="both"/>
                    <w:rPr>
                      <w:rFonts w:hint="default"/>
                    </w:rPr>
                  </w:pPr>
                  <w:r>
                    <w:t>厂区实行雨污分流，生产废水经综合废水处理站处理后回用生产，生活污水经化粪池处理后纳入工业区污水管网由滨海工业区污水处理厂集中处理，尾水由牛头湾排海；反渗透浓水纳入工业区污水管网由滨海工业区污水处理厂集中处理，尾水由牛头湾排海。</w:t>
                  </w:r>
                </w:p>
              </w:tc>
            </w:tr>
            <w:tr w14:paraId="75DB6B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47" w:type="pct"/>
                  <w:vAlign w:val="center"/>
                </w:tcPr>
                <w:p w14:paraId="5F8E8B6B">
                  <w:pPr>
                    <w:pStyle w:val="83"/>
                    <w:jc w:val="both"/>
                    <w:rPr>
                      <w:rFonts w:hint="default"/>
                    </w:rPr>
                  </w:pPr>
                  <w:r>
                    <w:t>熔融工序产生的熔融废气和注塑工序产生的注塑废气应集中经净化处理达标后排放。</w:t>
                  </w:r>
                </w:p>
              </w:tc>
              <w:tc>
                <w:tcPr>
                  <w:tcW w:w="2452" w:type="pct"/>
                  <w:vAlign w:val="center"/>
                </w:tcPr>
                <w:p w14:paraId="7A87671A">
                  <w:pPr>
                    <w:pStyle w:val="83"/>
                    <w:jc w:val="both"/>
                    <w:rPr>
                      <w:rFonts w:hint="default"/>
                    </w:rPr>
                  </w:pPr>
                  <w:r>
                    <w:t>本项目熔融废气收集后经烟气净化处理系统（喷淋塔+静电除尘+活性炭吸附）处理后经1根15m高排气筒达标排放；</w:t>
                  </w:r>
                </w:p>
                <w:p w14:paraId="378B4B7A">
                  <w:pPr>
                    <w:pStyle w:val="83"/>
                    <w:jc w:val="both"/>
                    <w:rPr>
                      <w:rFonts w:hint="default"/>
                    </w:rPr>
                  </w:pPr>
                  <w:r>
                    <w:t>项目取消注塑工序。</w:t>
                  </w:r>
                </w:p>
              </w:tc>
            </w:tr>
            <w:tr w14:paraId="3B8843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47" w:type="pct"/>
                  <w:vAlign w:val="center"/>
                </w:tcPr>
                <w:p w14:paraId="7DA6A27E">
                  <w:pPr>
                    <w:pStyle w:val="83"/>
                    <w:jc w:val="both"/>
                    <w:rPr>
                      <w:rFonts w:hint="default"/>
                    </w:rPr>
                  </w:pPr>
                  <w:r>
                    <w:t>应合理布局生产车间，对高噪声源应采取消声、隔音、减震等综合治理措施，确保厂界外噪声达标排放。</w:t>
                  </w:r>
                </w:p>
              </w:tc>
              <w:tc>
                <w:tcPr>
                  <w:tcW w:w="2452" w:type="pct"/>
                  <w:vAlign w:val="center"/>
                </w:tcPr>
                <w:p w14:paraId="7CB4B4C7">
                  <w:pPr>
                    <w:pStyle w:val="83"/>
                    <w:jc w:val="both"/>
                    <w:rPr>
                      <w:rFonts w:hint="default"/>
                    </w:rPr>
                  </w:pPr>
                  <w:r>
                    <w:t>本项目筛分设备、风机、水泵及超声波清洗机等各设备已采取了隔声、减振等措施，确保了厂界噪声达标排放</w:t>
                  </w:r>
                </w:p>
              </w:tc>
            </w:tr>
            <w:tr w14:paraId="16E262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47" w:type="pct"/>
                  <w:vAlign w:val="center"/>
                </w:tcPr>
                <w:p w14:paraId="75A4E09A">
                  <w:pPr>
                    <w:pStyle w:val="83"/>
                    <w:jc w:val="both"/>
                    <w:rPr>
                      <w:rFonts w:hint="default"/>
                    </w:rPr>
                  </w:pPr>
                  <w:r>
                    <w:t>生产过程所产生的一般固废应回收进行综合利用；废油剂和废活性炭属危险废物，应按规范委托有资质单位妥善处理；生活垃圾应统一收集并及时清运；严禁固体废弃物随意堆放、倾倒或焚烧。</w:t>
                  </w:r>
                </w:p>
              </w:tc>
              <w:tc>
                <w:tcPr>
                  <w:tcW w:w="2452" w:type="pct"/>
                  <w:vAlign w:val="center"/>
                </w:tcPr>
                <w:p w14:paraId="51496DC7">
                  <w:pPr>
                    <w:pStyle w:val="83"/>
                    <w:jc w:val="both"/>
                    <w:rPr>
                      <w:rFonts w:hint="default"/>
                    </w:rPr>
                  </w:pPr>
                  <w:r>
                    <w:t>项目产生的生活垃圾由专人定时收集并归集于垃圾收集箱内，再由环卫部门统一清运；</w:t>
                  </w:r>
                </w:p>
                <w:p w14:paraId="0905529F">
                  <w:pPr>
                    <w:pStyle w:val="83"/>
                    <w:jc w:val="both"/>
                    <w:rPr>
                      <w:rFonts w:hint="default"/>
                    </w:rPr>
                  </w:pPr>
                  <w:r>
                    <w:t>废包装材料委托环卫部门清运；</w:t>
                  </w:r>
                </w:p>
                <w:p w14:paraId="2C3F63BF">
                  <w:pPr>
                    <w:pStyle w:val="83"/>
                    <w:jc w:val="both"/>
                    <w:rPr>
                      <w:rFonts w:hint="default"/>
                    </w:rPr>
                  </w:pPr>
                  <w:r>
                    <w:t>危险废物暂存于企业已建的危废暂存间中，定期交由福建三明海中环保科技有限责任公司处置。</w:t>
                  </w:r>
                </w:p>
              </w:tc>
            </w:tr>
            <w:tr w14:paraId="1D04F8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47" w:type="pct"/>
                  <w:vAlign w:val="center"/>
                </w:tcPr>
                <w:p w14:paraId="05F889C4">
                  <w:pPr>
                    <w:pStyle w:val="83"/>
                    <w:jc w:val="both"/>
                    <w:rPr>
                      <w:rFonts w:hint="default"/>
                    </w:rPr>
                  </w:pPr>
                  <w:r>
                    <w:t>应加强环境风险管理，落实《报告表》提出的环境风险防范措施。</w:t>
                  </w:r>
                </w:p>
              </w:tc>
              <w:tc>
                <w:tcPr>
                  <w:tcW w:w="2452" w:type="pct"/>
                  <w:vAlign w:val="center"/>
                </w:tcPr>
                <w:p w14:paraId="2AC9DBE0">
                  <w:pPr>
                    <w:pStyle w:val="83"/>
                    <w:jc w:val="both"/>
                    <w:rPr>
                      <w:rFonts w:hint="default"/>
                    </w:rPr>
                  </w:pPr>
                  <w:r>
                    <w:t>2026年已修编企业突发环境事件应急预案，备案编号为350112-2026-014-H；企业一年开展一次环境风险应急演练，并与长乐空港工业集中区和长乐区政府建立应急联动机制。厂区已建3340m</w:t>
                  </w:r>
                  <w:r>
                    <w:rPr>
                      <w:vertAlign w:val="superscript"/>
                    </w:rPr>
                    <w:t>3</w:t>
                  </w:r>
                  <w:r>
                    <w:t>的事故应急池和200m</w:t>
                  </w:r>
                  <w:r>
                    <w:rPr>
                      <w:vertAlign w:val="superscript"/>
                    </w:rPr>
                    <w:t>3</w:t>
                  </w:r>
                  <w:r>
                    <w:t>的初期雨水池。</w:t>
                  </w:r>
                </w:p>
              </w:tc>
            </w:tr>
          </w:tbl>
          <w:p w14:paraId="62C3845E">
            <w:pPr>
              <w:ind w:firstLine="480"/>
            </w:pPr>
            <w:r>
              <w:rPr>
                <w:rFonts w:hint="eastAsia"/>
              </w:rPr>
              <w:t>综上所述，现有项目符合环保要求。</w:t>
            </w:r>
          </w:p>
          <w:p w14:paraId="01B9ED5C">
            <w:pPr>
              <w:pStyle w:val="3"/>
              <w:spacing w:before="120" w:after="0" w:afterLines="0"/>
            </w:pPr>
            <w:r>
              <w:rPr>
                <w:rFonts w:hint="eastAsia"/>
              </w:rPr>
              <w:t>2.7 现有工程存在的主要环境问题</w:t>
            </w:r>
          </w:p>
          <w:p w14:paraId="54D3826A">
            <w:pPr>
              <w:ind w:firstLine="480"/>
            </w:pPr>
            <w:r>
              <w:rPr>
                <w:rFonts w:hint="eastAsia"/>
              </w:rPr>
              <w:t>根据现场检查，企业实际运行正常，环保机构设置、环境管理制度、环保设施运行及维护情况完整健全，原有工程项目环保手续履行完善，建设期间和生产阶段未发生扰民和污染事故，项目地环境质量较好，污染物排放满足相应的执行标准，一般固体废物及危险废物管理储存处置设施完善。</w:t>
            </w:r>
          </w:p>
          <w:p w14:paraId="513F0BDA">
            <w:pPr>
              <w:ind w:firstLine="480"/>
              <w:rPr>
                <w:snapToGrid w:val="0"/>
              </w:rPr>
            </w:pPr>
            <w:r>
              <w:rPr>
                <w:rFonts w:hint="eastAsia"/>
              </w:rPr>
              <w:t>根据《关于全面推进锅炉污染整治促进清洁低碳转型的意见》（闽环规〔2023〕1号）要求：“到2025年底，全省范围内每小级、退出。”企业现已拆除燃煤锅炉，建设1套42t/h生物质制气锅炉替代，企业应尽快完成生物质制气锅炉降耗减碳改造项目竣工环保验收，保证锅炉正常供热。</w:t>
            </w:r>
          </w:p>
        </w:tc>
      </w:tr>
    </w:tbl>
    <w:p w14:paraId="49EDDCAB">
      <w:pPr>
        <w:pStyle w:val="14"/>
        <w:ind w:firstLine="600"/>
        <w:jc w:val="center"/>
        <w:outlineLvl w:val="0"/>
        <w:rPr>
          <w:rFonts w:hint="eastAsia" w:ascii="黑体" w:hAnsi="黑体" w:eastAsia="黑体"/>
          <w:snapToGrid w:val="0"/>
          <w:sz w:val="30"/>
          <w:szCs w:val="30"/>
        </w:rPr>
        <w:sectPr>
          <w:pgSz w:w="11907" w:h="16840"/>
          <w:pgMar w:top="1701" w:right="1531" w:bottom="2127" w:left="1531" w:header="851" w:footer="1077" w:gutter="0"/>
          <w:pgBorders>
            <w:top w:val="none" w:sz="0" w:space="0"/>
            <w:left w:val="none" w:sz="0" w:space="0"/>
            <w:bottom w:val="none" w:sz="0" w:space="0"/>
            <w:right w:val="none" w:sz="0" w:space="0"/>
          </w:pgBorders>
          <w:cols w:space="720" w:num="1"/>
          <w:docGrid w:linePitch="312" w:charSpace="0"/>
        </w:sectPr>
      </w:pPr>
    </w:p>
    <w:p w14:paraId="45377A0A">
      <w:pPr>
        <w:pStyle w:val="14"/>
        <w:spacing w:before="0" w:beforeAutospacing="0" w:after="0" w:afterAutospacing="0"/>
        <w:ind w:firstLine="0" w:firstLineChars="0"/>
        <w:jc w:val="center"/>
        <w:outlineLvl w:val="0"/>
        <w:rPr>
          <w:rFonts w:hint="eastAsia" w:ascii="黑体" w:hAnsi="黑体" w:eastAsia="黑体"/>
          <w:snapToGrid w:val="0"/>
          <w:sz w:val="30"/>
          <w:szCs w:val="30"/>
        </w:rPr>
      </w:pPr>
      <w:r>
        <w:rPr>
          <w:rFonts w:hint="eastAsia" w:ascii="黑体" w:hAnsi="黑体" w:eastAsia="黑体"/>
          <w:snapToGrid w:val="0"/>
          <w:sz w:val="30"/>
          <w:szCs w:val="30"/>
        </w:rPr>
        <w:t>三、区域环境质量现状、环境保护目标及评价标准</w:t>
      </w:r>
    </w:p>
    <w:tbl>
      <w:tblPr>
        <w:tblStyle w:val="17"/>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57" w:type="dxa"/>
          <w:left w:w="57" w:type="dxa"/>
          <w:bottom w:w="57" w:type="dxa"/>
          <w:right w:w="57" w:type="dxa"/>
        </w:tblCellMar>
      </w:tblPr>
      <w:tblGrid>
        <w:gridCol w:w="622"/>
        <w:gridCol w:w="8335"/>
      </w:tblGrid>
      <w:tr w14:paraId="674868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912" w:hRule="atLeast"/>
          <w:jc w:val="center"/>
        </w:trPr>
        <w:tc>
          <w:tcPr>
            <w:tcW w:w="347" w:type="pct"/>
            <w:vAlign w:val="center"/>
          </w:tcPr>
          <w:p w14:paraId="7C51BD60">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区域</w:t>
            </w:r>
          </w:p>
          <w:p w14:paraId="66DB13B8">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环境</w:t>
            </w:r>
          </w:p>
          <w:p w14:paraId="7D905FD1">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质量</w:t>
            </w:r>
          </w:p>
          <w:p w14:paraId="26B8DD4C">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现状</w:t>
            </w:r>
          </w:p>
        </w:tc>
        <w:tc>
          <w:tcPr>
            <w:tcW w:w="4652" w:type="pct"/>
          </w:tcPr>
          <w:p w14:paraId="1D0E7691">
            <w:pPr>
              <w:pStyle w:val="3"/>
              <w:spacing w:before="120" w:after="0" w:afterLines="0"/>
            </w:pPr>
            <w:r>
              <w:rPr>
                <w:rFonts w:hint="eastAsia"/>
              </w:rPr>
              <w:t>3.1 环境质量现状</w:t>
            </w:r>
          </w:p>
          <w:p w14:paraId="4EE756DE">
            <w:pPr>
              <w:pStyle w:val="4"/>
              <w:spacing w:before="120" w:after="0" w:afterLines="0"/>
            </w:pPr>
            <w:r>
              <w:rPr>
                <w:rFonts w:hint="eastAsia"/>
              </w:rPr>
              <w:t>3.1.1 大气环境质量现状</w:t>
            </w:r>
          </w:p>
          <w:p w14:paraId="1BFC5359">
            <w:pPr>
              <w:pStyle w:val="5"/>
            </w:pPr>
            <w:r>
              <w:rPr>
                <w:rFonts w:hint="eastAsia"/>
              </w:rPr>
              <w:t>3.1.1.1 环境空气质量功能区划</w:t>
            </w:r>
          </w:p>
          <w:p w14:paraId="3A1648DC">
            <w:pPr>
              <w:ind w:firstLine="480"/>
            </w:pPr>
            <w:r>
              <w:rPr>
                <w:rFonts w:hint="eastAsia"/>
              </w:rPr>
              <w:t>本项目位于福州市长乐区，根据福州市人民政府榕政综〔2014〕30号文件正式批准实施《福州市环境空气质量功能区划》的规定，项目所在区域环境空气功能规划为二类区，环境空气质量执行《环境空气质量标准》（GB3095）二级标准。</w:t>
            </w:r>
          </w:p>
          <w:p w14:paraId="03F5FD5D">
            <w:pPr>
              <w:pStyle w:val="5"/>
            </w:pPr>
            <w:r>
              <w:rPr>
                <w:rFonts w:hint="eastAsia"/>
              </w:rPr>
              <w:t>3.1.1.2 区域达标性分析</w:t>
            </w:r>
          </w:p>
          <w:p w14:paraId="0F05794F">
            <w:pPr>
              <w:ind w:firstLine="480"/>
            </w:pPr>
            <w:r>
              <w:rPr>
                <w:rFonts w:hint="eastAsia"/>
              </w:rPr>
              <w:t>根据福州市长乐生态环境局发布的2025年1—12月福州市长乐区环境质量通报报表，长乐区2025年连续1年的大气常规因子监测数据见表3.1-1。</w:t>
            </w:r>
          </w:p>
          <w:p w14:paraId="600B78BB">
            <w:pPr>
              <w:pStyle w:val="13"/>
            </w:pPr>
            <w:r>
              <w:rPr>
                <w:rFonts w:hint="eastAsia"/>
              </w:rPr>
              <w:t>表3.1-1  环境空气质量状况一览表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1174"/>
              <w:gridCol w:w="1174"/>
              <w:gridCol w:w="1174"/>
              <w:gridCol w:w="1174"/>
              <w:gridCol w:w="1174"/>
              <w:gridCol w:w="1177"/>
            </w:tblGrid>
            <w:tr w14:paraId="136FD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33237E25">
                  <w:pPr>
                    <w:pStyle w:val="83"/>
                    <w:rPr>
                      <w:rFonts w:hint="default"/>
                    </w:rPr>
                  </w:pPr>
                  <w:r>
                    <w:t>监测时间</w:t>
                  </w:r>
                </w:p>
              </w:tc>
              <w:tc>
                <w:tcPr>
                  <w:tcW w:w="714" w:type="pct"/>
                  <w:vAlign w:val="center"/>
                </w:tcPr>
                <w:p w14:paraId="73AB0D9B">
                  <w:pPr>
                    <w:pStyle w:val="83"/>
                    <w:rPr>
                      <w:rFonts w:hint="default"/>
                    </w:rPr>
                  </w:pPr>
                  <w:r>
                    <w:t>SO</w:t>
                  </w:r>
                  <w:r>
                    <w:rPr>
                      <w:vertAlign w:val="subscript"/>
                    </w:rPr>
                    <w:t>2</w:t>
                  </w:r>
                </w:p>
                <w:p w14:paraId="0435EE0C">
                  <w:pPr>
                    <w:pStyle w:val="83"/>
                    <w:rPr>
                      <w:rFonts w:hint="default"/>
                    </w:rPr>
                  </w:pPr>
                  <w:r>
                    <w:t>mg/m</w:t>
                  </w:r>
                  <w:r>
                    <w:rPr>
                      <w:vertAlign w:val="superscript"/>
                    </w:rPr>
                    <w:t>3</w:t>
                  </w:r>
                </w:p>
              </w:tc>
              <w:tc>
                <w:tcPr>
                  <w:tcW w:w="714" w:type="pct"/>
                  <w:vAlign w:val="center"/>
                </w:tcPr>
                <w:p w14:paraId="23F9E3DB">
                  <w:pPr>
                    <w:pStyle w:val="83"/>
                    <w:rPr>
                      <w:rFonts w:hint="default"/>
                    </w:rPr>
                  </w:pPr>
                  <w:r>
                    <w:t>NO</w:t>
                  </w:r>
                  <w:r>
                    <w:rPr>
                      <w:vertAlign w:val="subscript"/>
                    </w:rPr>
                    <w:t>2</w:t>
                  </w:r>
                </w:p>
                <w:p w14:paraId="44A70374">
                  <w:pPr>
                    <w:pStyle w:val="83"/>
                    <w:rPr>
                      <w:rFonts w:hint="default"/>
                    </w:rPr>
                  </w:pPr>
                  <w:r>
                    <w:t>mg/m</w:t>
                  </w:r>
                  <w:r>
                    <w:rPr>
                      <w:vertAlign w:val="superscript"/>
                    </w:rPr>
                    <w:t>3</w:t>
                  </w:r>
                </w:p>
              </w:tc>
              <w:tc>
                <w:tcPr>
                  <w:tcW w:w="714" w:type="pct"/>
                  <w:vAlign w:val="center"/>
                </w:tcPr>
                <w:p w14:paraId="563C4A23">
                  <w:pPr>
                    <w:pStyle w:val="83"/>
                    <w:rPr>
                      <w:rFonts w:hint="default"/>
                    </w:rPr>
                  </w:pPr>
                  <w:r>
                    <w:t>PM</w:t>
                  </w:r>
                  <w:r>
                    <w:rPr>
                      <w:vertAlign w:val="subscript"/>
                    </w:rPr>
                    <w:t>10</w:t>
                  </w:r>
                </w:p>
                <w:p w14:paraId="61F5081D">
                  <w:pPr>
                    <w:pStyle w:val="83"/>
                    <w:rPr>
                      <w:rFonts w:hint="default"/>
                    </w:rPr>
                  </w:pPr>
                  <w:r>
                    <w:t>mg/m</w:t>
                  </w:r>
                  <w:r>
                    <w:rPr>
                      <w:vertAlign w:val="superscript"/>
                    </w:rPr>
                    <w:t>3</w:t>
                  </w:r>
                </w:p>
              </w:tc>
              <w:tc>
                <w:tcPr>
                  <w:tcW w:w="714" w:type="pct"/>
                  <w:vAlign w:val="center"/>
                </w:tcPr>
                <w:p w14:paraId="104533DA">
                  <w:pPr>
                    <w:pStyle w:val="83"/>
                    <w:rPr>
                      <w:rFonts w:hint="default"/>
                    </w:rPr>
                  </w:pPr>
                  <w:r>
                    <w:t>PM</w:t>
                  </w:r>
                  <w:r>
                    <w:rPr>
                      <w:vertAlign w:val="subscript"/>
                    </w:rPr>
                    <w:t>2.5</w:t>
                  </w:r>
                </w:p>
                <w:p w14:paraId="49E2FA93">
                  <w:pPr>
                    <w:pStyle w:val="83"/>
                    <w:rPr>
                      <w:rFonts w:hint="default"/>
                    </w:rPr>
                  </w:pPr>
                  <w:r>
                    <w:t>mg/m</w:t>
                  </w:r>
                  <w:r>
                    <w:rPr>
                      <w:vertAlign w:val="superscript"/>
                    </w:rPr>
                    <w:t>3</w:t>
                  </w:r>
                </w:p>
              </w:tc>
              <w:tc>
                <w:tcPr>
                  <w:tcW w:w="714" w:type="pct"/>
                  <w:vAlign w:val="center"/>
                </w:tcPr>
                <w:p w14:paraId="23B3C514">
                  <w:pPr>
                    <w:pStyle w:val="83"/>
                    <w:rPr>
                      <w:rFonts w:hint="default"/>
                    </w:rPr>
                  </w:pPr>
                  <w:r>
                    <w:t>CO</w:t>
                  </w:r>
                </w:p>
                <w:p w14:paraId="429C446A">
                  <w:pPr>
                    <w:pStyle w:val="83"/>
                    <w:rPr>
                      <w:rFonts w:hint="default"/>
                    </w:rPr>
                  </w:pPr>
                  <w:r>
                    <w:t>mg/m</w:t>
                  </w:r>
                  <w:r>
                    <w:rPr>
                      <w:vertAlign w:val="superscript"/>
                    </w:rPr>
                    <w:t>3</w:t>
                  </w:r>
                </w:p>
              </w:tc>
              <w:tc>
                <w:tcPr>
                  <w:tcW w:w="716" w:type="pct"/>
                  <w:vAlign w:val="center"/>
                </w:tcPr>
                <w:p w14:paraId="7FF98087">
                  <w:pPr>
                    <w:pStyle w:val="83"/>
                    <w:rPr>
                      <w:rFonts w:hint="default"/>
                    </w:rPr>
                  </w:pPr>
                  <w:r>
                    <w:t>O</w:t>
                  </w:r>
                  <w:r>
                    <w:rPr>
                      <w:vertAlign w:val="subscript"/>
                    </w:rPr>
                    <w:t>3</w:t>
                  </w:r>
                </w:p>
                <w:p w14:paraId="21C4BC12">
                  <w:pPr>
                    <w:pStyle w:val="83"/>
                    <w:rPr>
                      <w:rFonts w:hint="default"/>
                    </w:rPr>
                  </w:pPr>
                  <w:r>
                    <w:t>mg/m</w:t>
                  </w:r>
                  <w:r>
                    <w:rPr>
                      <w:vertAlign w:val="superscript"/>
                    </w:rPr>
                    <w:t>3</w:t>
                  </w:r>
                </w:p>
              </w:tc>
            </w:tr>
            <w:tr w14:paraId="377BB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439660E1">
                  <w:pPr>
                    <w:pStyle w:val="83"/>
                    <w:rPr>
                      <w:rFonts w:hint="default"/>
                    </w:rPr>
                  </w:pPr>
                  <w:r>
                    <w:t>2025.1</w:t>
                  </w:r>
                </w:p>
              </w:tc>
              <w:tc>
                <w:tcPr>
                  <w:tcW w:w="714" w:type="pct"/>
                  <w:vAlign w:val="center"/>
                </w:tcPr>
                <w:p w14:paraId="7B0F61D7">
                  <w:pPr>
                    <w:pStyle w:val="83"/>
                    <w:rPr>
                      <w:rFonts w:hint="default"/>
                    </w:rPr>
                  </w:pPr>
                  <w:r>
                    <w:t>0.002</w:t>
                  </w:r>
                </w:p>
              </w:tc>
              <w:tc>
                <w:tcPr>
                  <w:tcW w:w="714" w:type="pct"/>
                  <w:vAlign w:val="center"/>
                </w:tcPr>
                <w:p w14:paraId="18296799">
                  <w:pPr>
                    <w:pStyle w:val="83"/>
                    <w:rPr>
                      <w:rFonts w:hint="default"/>
                    </w:rPr>
                  </w:pPr>
                  <w:r>
                    <w:t>0.013</w:t>
                  </w:r>
                </w:p>
              </w:tc>
              <w:tc>
                <w:tcPr>
                  <w:tcW w:w="714" w:type="pct"/>
                  <w:vAlign w:val="center"/>
                </w:tcPr>
                <w:p w14:paraId="0778210B">
                  <w:pPr>
                    <w:pStyle w:val="83"/>
                    <w:rPr>
                      <w:rFonts w:hint="default"/>
                    </w:rPr>
                  </w:pPr>
                  <w:r>
                    <w:t>0.045</w:t>
                  </w:r>
                </w:p>
              </w:tc>
              <w:tc>
                <w:tcPr>
                  <w:tcW w:w="714" w:type="pct"/>
                  <w:vAlign w:val="center"/>
                </w:tcPr>
                <w:p w14:paraId="269848E9">
                  <w:pPr>
                    <w:pStyle w:val="83"/>
                    <w:rPr>
                      <w:rFonts w:hint="default"/>
                    </w:rPr>
                  </w:pPr>
                  <w:r>
                    <w:t>0.026</w:t>
                  </w:r>
                </w:p>
              </w:tc>
              <w:tc>
                <w:tcPr>
                  <w:tcW w:w="714" w:type="pct"/>
                  <w:vAlign w:val="center"/>
                </w:tcPr>
                <w:p w14:paraId="3B31E90A">
                  <w:pPr>
                    <w:pStyle w:val="83"/>
                    <w:rPr>
                      <w:rFonts w:hint="default"/>
                    </w:rPr>
                  </w:pPr>
                  <w:r>
                    <w:t>0.4</w:t>
                  </w:r>
                </w:p>
              </w:tc>
              <w:tc>
                <w:tcPr>
                  <w:tcW w:w="716" w:type="pct"/>
                  <w:vAlign w:val="center"/>
                </w:tcPr>
                <w:p w14:paraId="04C5E8AC">
                  <w:pPr>
                    <w:pStyle w:val="83"/>
                    <w:rPr>
                      <w:rFonts w:hint="default"/>
                    </w:rPr>
                  </w:pPr>
                  <w:r>
                    <w:t>0.102</w:t>
                  </w:r>
                </w:p>
              </w:tc>
            </w:tr>
            <w:tr w14:paraId="09FCFF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216550B2">
                  <w:pPr>
                    <w:pStyle w:val="83"/>
                    <w:rPr>
                      <w:rFonts w:hint="default"/>
                    </w:rPr>
                  </w:pPr>
                  <w:r>
                    <w:t>2025.2</w:t>
                  </w:r>
                </w:p>
              </w:tc>
              <w:tc>
                <w:tcPr>
                  <w:tcW w:w="714" w:type="pct"/>
                  <w:vAlign w:val="center"/>
                </w:tcPr>
                <w:p w14:paraId="46D590F5">
                  <w:pPr>
                    <w:pStyle w:val="83"/>
                    <w:rPr>
                      <w:rFonts w:hint="default"/>
                    </w:rPr>
                  </w:pPr>
                  <w:r>
                    <w:t>0.002</w:t>
                  </w:r>
                </w:p>
              </w:tc>
              <w:tc>
                <w:tcPr>
                  <w:tcW w:w="714" w:type="pct"/>
                  <w:vAlign w:val="center"/>
                </w:tcPr>
                <w:p w14:paraId="0A26EE1C">
                  <w:pPr>
                    <w:pStyle w:val="83"/>
                    <w:rPr>
                      <w:rFonts w:hint="default"/>
                    </w:rPr>
                  </w:pPr>
                  <w:r>
                    <w:t>0.012</w:t>
                  </w:r>
                </w:p>
              </w:tc>
              <w:tc>
                <w:tcPr>
                  <w:tcW w:w="714" w:type="pct"/>
                  <w:vAlign w:val="center"/>
                </w:tcPr>
                <w:p w14:paraId="12895941">
                  <w:pPr>
                    <w:pStyle w:val="83"/>
                    <w:rPr>
                      <w:rFonts w:hint="default"/>
                    </w:rPr>
                  </w:pPr>
                  <w:r>
                    <w:t>0.039</w:t>
                  </w:r>
                </w:p>
              </w:tc>
              <w:tc>
                <w:tcPr>
                  <w:tcW w:w="714" w:type="pct"/>
                  <w:vAlign w:val="center"/>
                </w:tcPr>
                <w:p w14:paraId="3A31C51E">
                  <w:pPr>
                    <w:pStyle w:val="83"/>
                    <w:rPr>
                      <w:rFonts w:hint="default"/>
                    </w:rPr>
                  </w:pPr>
                  <w:r>
                    <w:t>0.025</w:t>
                  </w:r>
                </w:p>
              </w:tc>
              <w:tc>
                <w:tcPr>
                  <w:tcW w:w="714" w:type="pct"/>
                  <w:vAlign w:val="center"/>
                </w:tcPr>
                <w:p w14:paraId="2263D3B6">
                  <w:pPr>
                    <w:pStyle w:val="83"/>
                    <w:rPr>
                      <w:rFonts w:hint="default"/>
                    </w:rPr>
                  </w:pPr>
                  <w:r>
                    <w:t>0.5</w:t>
                  </w:r>
                </w:p>
              </w:tc>
              <w:tc>
                <w:tcPr>
                  <w:tcW w:w="716" w:type="pct"/>
                  <w:vAlign w:val="center"/>
                </w:tcPr>
                <w:p w14:paraId="6ABDAF5A">
                  <w:pPr>
                    <w:pStyle w:val="83"/>
                    <w:rPr>
                      <w:rFonts w:hint="default"/>
                    </w:rPr>
                  </w:pPr>
                  <w:r>
                    <w:t>0.065</w:t>
                  </w:r>
                </w:p>
              </w:tc>
            </w:tr>
            <w:tr w14:paraId="2CBF38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49DF58AE">
                  <w:pPr>
                    <w:pStyle w:val="83"/>
                    <w:rPr>
                      <w:rFonts w:hint="default"/>
                    </w:rPr>
                  </w:pPr>
                  <w:r>
                    <w:t>2025.3</w:t>
                  </w:r>
                </w:p>
              </w:tc>
              <w:tc>
                <w:tcPr>
                  <w:tcW w:w="714" w:type="pct"/>
                  <w:vAlign w:val="center"/>
                </w:tcPr>
                <w:p w14:paraId="1859D684">
                  <w:pPr>
                    <w:pStyle w:val="83"/>
                    <w:rPr>
                      <w:rFonts w:hint="default"/>
                    </w:rPr>
                  </w:pPr>
                  <w:r>
                    <w:t>0.003</w:t>
                  </w:r>
                </w:p>
              </w:tc>
              <w:tc>
                <w:tcPr>
                  <w:tcW w:w="714" w:type="pct"/>
                  <w:vAlign w:val="center"/>
                </w:tcPr>
                <w:p w14:paraId="49874E7C">
                  <w:pPr>
                    <w:pStyle w:val="83"/>
                    <w:rPr>
                      <w:rFonts w:hint="default"/>
                    </w:rPr>
                  </w:pPr>
                  <w:r>
                    <w:t>0.016</w:t>
                  </w:r>
                </w:p>
              </w:tc>
              <w:tc>
                <w:tcPr>
                  <w:tcW w:w="714" w:type="pct"/>
                  <w:vAlign w:val="center"/>
                </w:tcPr>
                <w:p w14:paraId="66DABE4A">
                  <w:pPr>
                    <w:pStyle w:val="83"/>
                    <w:rPr>
                      <w:rFonts w:hint="default"/>
                    </w:rPr>
                  </w:pPr>
                  <w:r>
                    <w:t>0.028</w:t>
                  </w:r>
                </w:p>
              </w:tc>
              <w:tc>
                <w:tcPr>
                  <w:tcW w:w="714" w:type="pct"/>
                  <w:vAlign w:val="center"/>
                </w:tcPr>
                <w:p w14:paraId="70C31584">
                  <w:pPr>
                    <w:pStyle w:val="83"/>
                    <w:rPr>
                      <w:rFonts w:hint="default"/>
                    </w:rPr>
                  </w:pPr>
                  <w:r>
                    <w:t>0.016</w:t>
                  </w:r>
                </w:p>
              </w:tc>
              <w:tc>
                <w:tcPr>
                  <w:tcW w:w="714" w:type="pct"/>
                  <w:vAlign w:val="center"/>
                </w:tcPr>
                <w:p w14:paraId="071D53BB">
                  <w:pPr>
                    <w:pStyle w:val="83"/>
                    <w:rPr>
                      <w:rFonts w:hint="default"/>
                    </w:rPr>
                  </w:pPr>
                  <w:r>
                    <w:t>0.4</w:t>
                  </w:r>
                </w:p>
              </w:tc>
              <w:tc>
                <w:tcPr>
                  <w:tcW w:w="716" w:type="pct"/>
                  <w:vAlign w:val="center"/>
                </w:tcPr>
                <w:p w14:paraId="0B21DA45">
                  <w:pPr>
                    <w:pStyle w:val="83"/>
                    <w:rPr>
                      <w:rFonts w:hint="default"/>
                    </w:rPr>
                  </w:pPr>
                  <w:r>
                    <w:t>0.089</w:t>
                  </w:r>
                </w:p>
              </w:tc>
            </w:tr>
            <w:tr w14:paraId="12C2C0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3EE45948">
                  <w:pPr>
                    <w:pStyle w:val="83"/>
                    <w:rPr>
                      <w:rFonts w:hint="default"/>
                    </w:rPr>
                  </w:pPr>
                  <w:r>
                    <w:t>2025.4</w:t>
                  </w:r>
                </w:p>
              </w:tc>
              <w:tc>
                <w:tcPr>
                  <w:tcW w:w="714" w:type="pct"/>
                  <w:vAlign w:val="center"/>
                </w:tcPr>
                <w:p w14:paraId="5941F506">
                  <w:pPr>
                    <w:pStyle w:val="83"/>
                    <w:rPr>
                      <w:rFonts w:hint="default"/>
                    </w:rPr>
                  </w:pPr>
                  <w:r>
                    <w:t>0.003</w:t>
                  </w:r>
                </w:p>
              </w:tc>
              <w:tc>
                <w:tcPr>
                  <w:tcW w:w="714" w:type="pct"/>
                  <w:vAlign w:val="center"/>
                </w:tcPr>
                <w:p w14:paraId="5261C729">
                  <w:pPr>
                    <w:pStyle w:val="83"/>
                    <w:rPr>
                      <w:rFonts w:hint="default"/>
                    </w:rPr>
                  </w:pPr>
                  <w:r>
                    <w:t>0.012</w:t>
                  </w:r>
                </w:p>
              </w:tc>
              <w:tc>
                <w:tcPr>
                  <w:tcW w:w="714" w:type="pct"/>
                  <w:vAlign w:val="center"/>
                </w:tcPr>
                <w:p w14:paraId="0C2263E3">
                  <w:pPr>
                    <w:pStyle w:val="83"/>
                    <w:rPr>
                      <w:rFonts w:hint="default"/>
                    </w:rPr>
                  </w:pPr>
                  <w:r>
                    <w:t>0.046</w:t>
                  </w:r>
                </w:p>
              </w:tc>
              <w:tc>
                <w:tcPr>
                  <w:tcW w:w="714" w:type="pct"/>
                  <w:vAlign w:val="center"/>
                </w:tcPr>
                <w:p w14:paraId="1E5EB5D6">
                  <w:pPr>
                    <w:pStyle w:val="83"/>
                    <w:rPr>
                      <w:rFonts w:hint="default"/>
                    </w:rPr>
                  </w:pPr>
                  <w:r>
                    <w:t>0.020</w:t>
                  </w:r>
                </w:p>
              </w:tc>
              <w:tc>
                <w:tcPr>
                  <w:tcW w:w="714" w:type="pct"/>
                  <w:vAlign w:val="center"/>
                </w:tcPr>
                <w:p w14:paraId="32729953">
                  <w:pPr>
                    <w:pStyle w:val="83"/>
                    <w:rPr>
                      <w:rFonts w:hint="default"/>
                    </w:rPr>
                  </w:pPr>
                  <w:r>
                    <w:t>0.3</w:t>
                  </w:r>
                </w:p>
              </w:tc>
              <w:tc>
                <w:tcPr>
                  <w:tcW w:w="716" w:type="pct"/>
                  <w:vAlign w:val="center"/>
                </w:tcPr>
                <w:p w14:paraId="7170E309">
                  <w:pPr>
                    <w:pStyle w:val="83"/>
                    <w:rPr>
                      <w:rFonts w:hint="default"/>
                    </w:rPr>
                  </w:pPr>
                  <w:r>
                    <w:t>0.118</w:t>
                  </w:r>
                </w:p>
              </w:tc>
            </w:tr>
            <w:tr w14:paraId="086928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54717E66">
                  <w:pPr>
                    <w:pStyle w:val="83"/>
                    <w:rPr>
                      <w:rFonts w:hint="default"/>
                    </w:rPr>
                  </w:pPr>
                  <w:r>
                    <w:t>2025.5</w:t>
                  </w:r>
                </w:p>
              </w:tc>
              <w:tc>
                <w:tcPr>
                  <w:tcW w:w="714" w:type="pct"/>
                  <w:vAlign w:val="center"/>
                </w:tcPr>
                <w:p w14:paraId="210AF183">
                  <w:pPr>
                    <w:pStyle w:val="83"/>
                    <w:rPr>
                      <w:rFonts w:hint="default"/>
                    </w:rPr>
                  </w:pPr>
                  <w:r>
                    <w:t>0.004</w:t>
                  </w:r>
                </w:p>
              </w:tc>
              <w:tc>
                <w:tcPr>
                  <w:tcW w:w="714" w:type="pct"/>
                  <w:vAlign w:val="center"/>
                </w:tcPr>
                <w:p w14:paraId="3BDFFBFE">
                  <w:pPr>
                    <w:pStyle w:val="83"/>
                    <w:rPr>
                      <w:rFonts w:hint="default"/>
                    </w:rPr>
                  </w:pPr>
                  <w:r>
                    <w:t>0.010</w:t>
                  </w:r>
                </w:p>
              </w:tc>
              <w:tc>
                <w:tcPr>
                  <w:tcW w:w="714" w:type="pct"/>
                  <w:vAlign w:val="center"/>
                </w:tcPr>
                <w:p w14:paraId="1AD30B1A">
                  <w:pPr>
                    <w:pStyle w:val="83"/>
                    <w:rPr>
                      <w:rFonts w:hint="default"/>
                    </w:rPr>
                  </w:pPr>
                  <w:r>
                    <w:t>0.027</w:t>
                  </w:r>
                </w:p>
              </w:tc>
              <w:tc>
                <w:tcPr>
                  <w:tcW w:w="714" w:type="pct"/>
                  <w:vAlign w:val="center"/>
                </w:tcPr>
                <w:p w14:paraId="2D5DB764">
                  <w:pPr>
                    <w:pStyle w:val="83"/>
                    <w:rPr>
                      <w:rFonts w:hint="default"/>
                    </w:rPr>
                  </w:pPr>
                  <w:r>
                    <w:t>0.015</w:t>
                  </w:r>
                </w:p>
              </w:tc>
              <w:tc>
                <w:tcPr>
                  <w:tcW w:w="714" w:type="pct"/>
                  <w:vAlign w:val="center"/>
                </w:tcPr>
                <w:p w14:paraId="7F515416">
                  <w:pPr>
                    <w:pStyle w:val="83"/>
                    <w:rPr>
                      <w:rFonts w:hint="default"/>
                    </w:rPr>
                  </w:pPr>
                  <w:r>
                    <w:t>0.5</w:t>
                  </w:r>
                </w:p>
              </w:tc>
              <w:tc>
                <w:tcPr>
                  <w:tcW w:w="716" w:type="pct"/>
                  <w:vAlign w:val="center"/>
                </w:tcPr>
                <w:p w14:paraId="6E13CB3F">
                  <w:pPr>
                    <w:pStyle w:val="83"/>
                    <w:rPr>
                      <w:rFonts w:hint="default"/>
                    </w:rPr>
                  </w:pPr>
                  <w:r>
                    <w:t>0.144</w:t>
                  </w:r>
                </w:p>
              </w:tc>
            </w:tr>
            <w:tr w14:paraId="54E25C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4541814B">
                  <w:pPr>
                    <w:pStyle w:val="83"/>
                    <w:rPr>
                      <w:rFonts w:hint="default"/>
                    </w:rPr>
                  </w:pPr>
                  <w:r>
                    <w:t>2025.6</w:t>
                  </w:r>
                </w:p>
              </w:tc>
              <w:tc>
                <w:tcPr>
                  <w:tcW w:w="714" w:type="pct"/>
                  <w:vAlign w:val="center"/>
                </w:tcPr>
                <w:p w14:paraId="7D09F8F4">
                  <w:pPr>
                    <w:pStyle w:val="83"/>
                    <w:rPr>
                      <w:rFonts w:hint="default"/>
                    </w:rPr>
                  </w:pPr>
                  <w:r>
                    <w:t>0.004</w:t>
                  </w:r>
                </w:p>
              </w:tc>
              <w:tc>
                <w:tcPr>
                  <w:tcW w:w="714" w:type="pct"/>
                  <w:vAlign w:val="center"/>
                </w:tcPr>
                <w:p w14:paraId="02A09943">
                  <w:pPr>
                    <w:pStyle w:val="83"/>
                    <w:rPr>
                      <w:rFonts w:hint="default"/>
                    </w:rPr>
                  </w:pPr>
                  <w:r>
                    <w:t>0.007</w:t>
                  </w:r>
                </w:p>
              </w:tc>
              <w:tc>
                <w:tcPr>
                  <w:tcW w:w="714" w:type="pct"/>
                  <w:vAlign w:val="center"/>
                </w:tcPr>
                <w:p w14:paraId="6624531D">
                  <w:pPr>
                    <w:pStyle w:val="83"/>
                    <w:rPr>
                      <w:rFonts w:hint="default"/>
                    </w:rPr>
                  </w:pPr>
                  <w:r>
                    <w:t>0.018</w:t>
                  </w:r>
                </w:p>
              </w:tc>
              <w:tc>
                <w:tcPr>
                  <w:tcW w:w="714" w:type="pct"/>
                  <w:vAlign w:val="center"/>
                </w:tcPr>
                <w:p w14:paraId="1A956D16">
                  <w:pPr>
                    <w:pStyle w:val="83"/>
                    <w:rPr>
                      <w:rFonts w:hint="default"/>
                    </w:rPr>
                  </w:pPr>
                  <w:r>
                    <w:t>0.010</w:t>
                  </w:r>
                </w:p>
              </w:tc>
              <w:tc>
                <w:tcPr>
                  <w:tcW w:w="714" w:type="pct"/>
                  <w:vAlign w:val="center"/>
                </w:tcPr>
                <w:p w14:paraId="71869E89">
                  <w:pPr>
                    <w:pStyle w:val="83"/>
                    <w:rPr>
                      <w:rFonts w:hint="default"/>
                    </w:rPr>
                  </w:pPr>
                  <w:r>
                    <w:t>0.4</w:t>
                  </w:r>
                </w:p>
              </w:tc>
              <w:tc>
                <w:tcPr>
                  <w:tcW w:w="716" w:type="pct"/>
                  <w:vAlign w:val="center"/>
                </w:tcPr>
                <w:p w14:paraId="547CDACA">
                  <w:pPr>
                    <w:pStyle w:val="83"/>
                    <w:rPr>
                      <w:rFonts w:hint="default"/>
                    </w:rPr>
                  </w:pPr>
                  <w:r>
                    <w:t>0.126</w:t>
                  </w:r>
                </w:p>
              </w:tc>
            </w:tr>
            <w:tr w14:paraId="5AFA9F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0AFC363E">
                  <w:pPr>
                    <w:pStyle w:val="83"/>
                    <w:rPr>
                      <w:rFonts w:hint="default"/>
                    </w:rPr>
                  </w:pPr>
                  <w:r>
                    <w:t>2025.7</w:t>
                  </w:r>
                </w:p>
              </w:tc>
              <w:tc>
                <w:tcPr>
                  <w:tcW w:w="714" w:type="pct"/>
                  <w:vAlign w:val="center"/>
                </w:tcPr>
                <w:p w14:paraId="08B99F73">
                  <w:pPr>
                    <w:pStyle w:val="83"/>
                    <w:rPr>
                      <w:rFonts w:hint="default"/>
                    </w:rPr>
                  </w:pPr>
                  <w:r>
                    <w:t>0.003</w:t>
                  </w:r>
                </w:p>
              </w:tc>
              <w:tc>
                <w:tcPr>
                  <w:tcW w:w="714" w:type="pct"/>
                  <w:vAlign w:val="center"/>
                </w:tcPr>
                <w:p w14:paraId="5426B7B9">
                  <w:pPr>
                    <w:pStyle w:val="83"/>
                    <w:rPr>
                      <w:rFonts w:hint="default"/>
                    </w:rPr>
                  </w:pPr>
                  <w:r>
                    <w:t>0.006</w:t>
                  </w:r>
                </w:p>
              </w:tc>
              <w:tc>
                <w:tcPr>
                  <w:tcW w:w="714" w:type="pct"/>
                  <w:vAlign w:val="center"/>
                </w:tcPr>
                <w:p w14:paraId="6C630FD8">
                  <w:pPr>
                    <w:pStyle w:val="83"/>
                    <w:rPr>
                      <w:rFonts w:hint="default"/>
                    </w:rPr>
                  </w:pPr>
                  <w:r>
                    <w:t>0.019</w:t>
                  </w:r>
                </w:p>
              </w:tc>
              <w:tc>
                <w:tcPr>
                  <w:tcW w:w="714" w:type="pct"/>
                  <w:vAlign w:val="center"/>
                </w:tcPr>
                <w:p w14:paraId="2F63B0EE">
                  <w:pPr>
                    <w:pStyle w:val="83"/>
                    <w:rPr>
                      <w:rFonts w:hint="default"/>
                    </w:rPr>
                  </w:pPr>
                  <w:r>
                    <w:t>0.009</w:t>
                  </w:r>
                </w:p>
              </w:tc>
              <w:tc>
                <w:tcPr>
                  <w:tcW w:w="714" w:type="pct"/>
                  <w:vAlign w:val="center"/>
                </w:tcPr>
                <w:p w14:paraId="1E875DD3">
                  <w:pPr>
                    <w:pStyle w:val="83"/>
                    <w:rPr>
                      <w:rFonts w:hint="default"/>
                    </w:rPr>
                  </w:pPr>
                  <w:r>
                    <w:t>0.4</w:t>
                  </w:r>
                </w:p>
              </w:tc>
              <w:tc>
                <w:tcPr>
                  <w:tcW w:w="716" w:type="pct"/>
                  <w:vAlign w:val="center"/>
                </w:tcPr>
                <w:p w14:paraId="4A272671">
                  <w:pPr>
                    <w:pStyle w:val="83"/>
                    <w:rPr>
                      <w:rFonts w:hint="default"/>
                    </w:rPr>
                  </w:pPr>
                  <w:r>
                    <w:t>0.116</w:t>
                  </w:r>
                </w:p>
              </w:tc>
            </w:tr>
            <w:tr w14:paraId="1E22C7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5BB7AC46">
                  <w:pPr>
                    <w:pStyle w:val="83"/>
                    <w:rPr>
                      <w:rFonts w:hint="default"/>
                    </w:rPr>
                  </w:pPr>
                  <w:r>
                    <w:t>2025.8</w:t>
                  </w:r>
                </w:p>
              </w:tc>
              <w:tc>
                <w:tcPr>
                  <w:tcW w:w="714" w:type="pct"/>
                  <w:vAlign w:val="center"/>
                </w:tcPr>
                <w:p w14:paraId="3058D9DD">
                  <w:pPr>
                    <w:pStyle w:val="83"/>
                    <w:rPr>
                      <w:rFonts w:hint="default"/>
                    </w:rPr>
                  </w:pPr>
                  <w:r>
                    <w:t>0.004</w:t>
                  </w:r>
                </w:p>
              </w:tc>
              <w:tc>
                <w:tcPr>
                  <w:tcW w:w="714" w:type="pct"/>
                  <w:vAlign w:val="center"/>
                </w:tcPr>
                <w:p w14:paraId="5BAAC45B">
                  <w:pPr>
                    <w:pStyle w:val="83"/>
                    <w:rPr>
                      <w:rFonts w:hint="default"/>
                    </w:rPr>
                  </w:pPr>
                  <w:r>
                    <w:t>0.006</w:t>
                  </w:r>
                </w:p>
              </w:tc>
              <w:tc>
                <w:tcPr>
                  <w:tcW w:w="714" w:type="pct"/>
                  <w:vAlign w:val="center"/>
                </w:tcPr>
                <w:p w14:paraId="413BC56E">
                  <w:pPr>
                    <w:pStyle w:val="83"/>
                    <w:rPr>
                      <w:rFonts w:hint="default"/>
                    </w:rPr>
                  </w:pPr>
                  <w:r>
                    <w:t>0.020</w:t>
                  </w:r>
                </w:p>
              </w:tc>
              <w:tc>
                <w:tcPr>
                  <w:tcW w:w="714" w:type="pct"/>
                  <w:vAlign w:val="center"/>
                </w:tcPr>
                <w:p w14:paraId="2D11D5CB">
                  <w:pPr>
                    <w:pStyle w:val="83"/>
                    <w:rPr>
                      <w:rFonts w:hint="default"/>
                    </w:rPr>
                  </w:pPr>
                  <w:r>
                    <w:t>0.008</w:t>
                  </w:r>
                </w:p>
              </w:tc>
              <w:tc>
                <w:tcPr>
                  <w:tcW w:w="714" w:type="pct"/>
                  <w:vAlign w:val="center"/>
                </w:tcPr>
                <w:p w14:paraId="20439581">
                  <w:pPr>
                    <w:pStyle w:val="83"/>
                    <w:rPr>
                      <w:rFonts w:hint="default"/>
                    </w:rPr>
                  </w:pPr>
                  <w:r>
                    <w:t>0.4</w:t>
                  </w:r>
                </w:p>
              </w:tc>
              <w:tc>
                <w:tcPr>
                  <w:tcW w:w="716" w:type="pct"/>
                  <w:vAlign w:val="center"/>
                </w:tcPr>
                <w:p w14:paraId="5BCB37A6">
                  <w:pPr>
                    <w:pStyle w:val="83"/>
                    <w:rPr>
                      <w:rFonts w:hint="default"/>
                    </w:rPr>
                  </w:pPr>
                  <w:r>
                    <w:t>0.117</w:t>
                  </w:r>
                </w:p>
              </w:tc>
            </w:tr>
            <w:tr w14:paraId="161969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374F3E4D">
                  <w:pPr>
                    <w:pStyle w:val="83"/>
                    <w:rPr>
                      <w:rFonts w:hint="default"/>
                    </w:rPr>
                  </w:pPr>
                  <w:r>
                    <w:t>2025.9</w:t>
                  </w:r>
                </w:p>
              </w:tc>
              <w:tc>
                <w:tcPr>
                  <w:tcW w:w="714" w:type="pct"/>
                  <w:vAlign w:val="center"/>
                </w:tcPr>
                <w:p w14:paraId="7615D906">
                  <w:pPr>
                    <w:pStyle w:val="83"/>
                    <w:rPr>
                      <w:rFonts w:hint="default"/>
                    </w:rPr>
                  </w:pPr>
                  <w:r>
                    <w:t>0.004</w:t>
                  </w:r>
                </w:p>
              </w:tc>
              <w:tc>
                <w:tcPr>
                  <w:tcW w:w="714" w:type="pct"/>
                  <w:vAlign w:val="center"/>
                </w:tcPr>
                <w:p w14:paraId="3F33BF34">
                  <w:pPr>
                    <w:pStyle w:val="83"/>
                    <w:rPr>
                      <w:rFonts w:hint="default"/>
                    </w:rPr>
                  </w:pPr>
                  <w:r>
                    <w:t>0.006</w:t>
                  </w:r>
                </w:p>
              </w:tc>
              <w:tc>
                <w:tcPr>
                  <w:tcW w:w="714" w:type="pct"/>
                  <w:vAlign w:val="center"/>
                </w:tcPr>
                <w:p w14:paraId="3F3B09D4">
                  <w:pPr>
                    <w:pStyle w:val="83"/>
                    <w:rPr>
                      <w:rFonts w:hint="default"/>
                    </w:rPr>
                  </w:pPr>
                  <w:r>
                    <w:t>0.019</w:t>
                  </w:r>
                </w:p>
              </w:tc>
              <w:tc>
                <w:tcPr>
                  <w:tcW w:w="714" w:type="pct"/>
                  <w:vAlign w:val="center"/>
                </w:tcPr>
                <w:p w14:paraId="56F4DEFC">
                  <w:pPr>
                    <w:pStyle w:val="83"/>
                    <w:rPr>
                      <w:rFonts w:hint="default"/>
                    </w:rPr>
                  </w:pPr>
                  <w:r>
                    <w:t>0.009</w:t>
                  </w:r>
                </w:p>
              </w:tc>
              <w:tc>
                <w:tcPr>
                  <w:tcW w:w="714" w:type="pct"/>
                  <w:vAlign w:val="center"/>
                </w:tcPr>
                <w:p w14:paraId="0B1B42A4">
                  <w:pPr>
                    <w:pStyle w:val="83"/>
                    <w:rPr>
                      <w:rFonts w:hint="default"/>
                    </w:rPr>
                  </w:pPr>
                  <w:r>
                    <w:t>0.5</w:t>
                  </w:r>
                </w:p>
              </w:tc>
              <w:tc>
                <w:tcPr>
                  <w:tcW w:w="716" w:type="pct"/>
                  <w:vAlign w:val="center"/>
                </w:tcPr>
                <w:p w14:paraId="2FD83FEE">
                  <w:pPr>
                    <w:pStyle w:val="83"/>
                    <w:rPr>
                      <w:rFonts w:hint="default"/>
                    </w:rPr>
                  </w:pPr>
                  <w:r>
                    <w:t>0.123</w:t>
                  </w:r>
                </w:p>
              </w:tc>
            </w:tr>
            <w:tr w14:paraId="681C4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67F8C281">
                  <w:pPr>
                    <w:pStyle w:val="83"/>
                    <w:rPr>
                      <w:rFonts w:hint="default"/>
                    </w:rPr>
                  </w:pPr>
                  <w:r>
                    <w:t>2025.10</w:t>
                  </w:r>
                </w:p>
              </w:tc>
              <w:tc>
                <w:tcPr>
                  <w:tcW w:w="714" w:type="pct"/>
                  <w:vAlign w:val="center"/>
                </w:tcPr>
                <w:p w14:paraId="4D4ABDD5">
                  <w:pPr>
                    <w:pStyle w:val="83"/>
                    <w:rPr>
                      <w:rFonts w:hint="default"/>
                    </w:rPr>
                  </w:pPr>
                  <w:r>
                    <w:t>0.005</w:t>
                  </w:r>
                </w:p>
              </w:tc>
              <w:tc>
                <w:tcPr>
                  <w:tcW w:w="714" w:type="pct"/>
                  <w:vAlign w:val="center"/>
                </w:tcPr>
                <w:p w14:paraId="47616E98">
                  <w:pPr>
                    <w:pStyle w:val="83"/>
                    <w:rPr>
                      <w:rFonts w:hint="default"/>
                    </w:rPr>
                  </w:pPr>
                  <w:r>
                    <w:t>0.008</w:t>
                  </w:r>
                </w:p>
              </w:tc>
              <w:tc>
                <w:tcPr>
                  <w:tcW w:w="714" w:type="pct"/>
                  <w:vAlign w:val="center"/>
                </w:tcPr>
                <w:p w14:paraId="7FDC8B5E">
                  <w:pPr>
                    <w:pStyle w:val="83"/>
                    <w:rPr>
                      <w:rFonts w:hint="default"/>
                    </w:rPr>
                  </w:pPr>
                  <w:r>
                    <w:t>0.021</w:t>
                  </w:r>
                </w:p>
              </w:tc>
              <w:tc>
                <w:tcPr>
                  <w:tcW w:w="714" w:type="pct"/>
                  <w:vAlign w:val="center"/>
                </w:tcPr>
                <w:p w14:paraId="4ADB804C">
                  <w:pPr>
                    <w:pStyle w:val="83"/>
                    <w:rPr>
                      <w:rFonts w:hint="default"/>
                    </w:rPr>
                  </w:pPr>
                  <w:r>
                    <w:t>0.011</w:t>
                  </w:r>
                </w:p>
              </w:tc>
              <w:tc>
                <w:tcPr>
                  <w:tcW w:w="714" w:type="pct"/>
                  <w:vAlign w:val="center"/>
                </w:tcPr>
                <w:p w14:paraId="61D5B3DB">
                  <w:pPr>
                    <w:pStyle w:val="83"/>
                    <w:rPr>
                      <w:rFonts w:hint="default"/>
                    </w:rPr>
                  </w:pPr>
                  <w:r>
                    <w:t>0.6</w:t>
                  </w:r>
                </w:p>
              </w:tc>
              <w:tc>
                <w:tcPr>
                  <w:tcW w:w="716" w:type="pct"/>
                  <w:vAlign w:val="center"/>
                </w:tcPr>
                <w:p w14:paraId="5E61C700">
                  <w:pPr>
                    <w:pStyle w:val="83"/>
                    <w:rPr>
                      <w:rFonts w:hint="default"/>
                    </w:rPr>
                  </w:pPr>
                  <w:r>
                    <w:t>0.114</w:t>
                  </w:r>
                </w:p>
              </w:tc>
            </w:tr>
            <w:tr w14:paraId="77C087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1EFCACE5">
                  <w:pPr>
                    <w:pStyle w:val="83"/>
                    <w:rPr>
                      <w:rFonts w:hint="default"/>
                    </w:rPr>
                  </w:pPr>
                  <w:r>
                    <w:t>2025.11</w:t>
                  </w:r>
                </w:p>
              </w:tc>
              <w:tc>
                <w:tcPr>
                  <w:tcW w:w="714" w:type="pct"/>
                  <w:vAlign w:val="center"/>
                </w:tcPr>
                <w:p w14:paraId="5E818F5A">
                  <w:pPr>
                    <w:pStyle w:val="83"/>
                    <w:rPr>
                      <w:rFonts w:hint="default"/>
                    </w:rPr>
                  </w:pPr>
                  <w:r>
                    <w:t>0.006</w:t>
                  </w:r>
                </w:p>
              </w:tc>
              <w:tc>
                <w:tcPr>
                  <w:tcW w:w="714" w:type="pct"/>
                  <w:vAlign w:val="center"/>
                </w:tcPr>
                <w:p w14:paraId="2B655872">
                  <w:pPr>
                    <w:pStyle w:val="83"/>
                    <w:rPr>
                      <w:rFonts w:hint="default"/>
                    </w:rPr>
                  </w:pPr>
                  <w:r>
                    <w:t>0.012</w:t>
                  </w:r>
                </w:p>
              </w:tc>
              <w:tc>
                <w:tcPr>
                  <w:tcW w:w="714" w:type="pct"/>
                  <w:vAlign w:val="center"/>
                </w:tcPr>
                <w:p w14:paraId="69FEE4B4">
                  <w:pPr>
                    <w:pStyle w:val="83"/>
                    <w:rPr>
                      <w:rFonts w:hint="default"/>
                    </w:rPr>
                  </w:pPr>
                  <w:r>
                    <w:t>0.035</w:t>
                  </w:r>
                </w:p>
              </w:tc>
              <w:tc>
                <w:tcPr>
                  <w:tcW w:w="714" w:type="pct"/>
                  <w:vAlign w:val="center"/>
                </w:tcPr>
                <w:p w14:paraId="7298BEAE">
                  <w:pPr>
                    <w:pStyle w:val="83"/>
                    <w:rPr>
                      <w:rFonts w:hint="default"/>
                    </w:rPr>
                  </w:pPr>
                  <w:r>
                    <w:t>0.016</w:t>
                  </w:r>
                </w:p>
              </w:tc>
              <w:tc>
                <w:tcPr>
                  <w:tcW w:w="714" w:type="pct"/>
                  <w:vAlign w:val="center"/>
                </w:tcPr>
                <w:p w14:paraId="68D80BA0">
                  <w:pPr>
                    <w:pStyle w:val="83"/>
                    <w:rPr>
                      <w:rFonts w:hint="default"/>
                    </w:rPr>
                  </w:pPr>
                  <w:r>
                    <w:t>0.6</w:t>
                  </w:r>
                </w:p>
              </w:tc>
              <w:tc>
                <w:tcPr>
                  <w:tcW w:w="716" w:type="pct"/>
                  <w:vAlign w:val="center"/>
                </w:tcPr>
                <w:p w14:paraId="4342E10D">
                  <w:pPr>
                    <w:pStyle w:val="83"/>
                    <w:rPr>
                      <w:rFonts w:hint="default"/>
                    </w:rPr>
                  </w:pPr>
                  <w:r>
                    <w:t>0.130</w:t>
                  </w:r>
                </w:p>
              </w:tc>
            </w:tr>
            <w:tr w14:paraId="4C5DE8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300B4F41">
                  <w:pPr>
                    <w:pStyle w:val="83"/>
                    <w:rPr>
                      <w:rFonts w:hint="default"/>
                    </w:rPr>
                  </w:pPr>
                  <w:r>
                    <w:t>2025.12</w:t>
                  </w:r>
                </w:p>
              </w:tc>
              <w:tc>
                <w:tcPr>
                  <w:tcW w:w="714" w:type="pct"/>
                  <w:vAlign w:val="center"/>
                </w:tcPr>
                <w:p w14:paraId="3CEC389F">
                  <w:pPr>
                    <w:pStyle w:val="83"/>
                    <w:rPr>
                      <w:rFonts w:hint="default"/>
                    </w:rPr>
                  </w:pPr>
                  <w:r>
                    <w:t>0.005</w:t>
                  </w:r>
                </w:p>
              </w:tc>
              <w:tc>
                <w:tcPr>
                  <w:tcW w:w="714" w:type="pct"/>
                  <w:vAlign w:val="center"/>
                </w:tcPr>
                <w:p w14:paraId="4D44F497">
                  <w:pPr>
                    <w:pStyle w:val="83"/>
                    <w:rPr>
                      <w:rFonts w:hint="default"/>
                    </w:rPr>
                  </w:pPr>
                  <w:r>
                    <w:t>0.018</w:t>
                  </w:r>
                </w:p>
              </w:tc>
              <w:tc>
                <w:tcPr>
                  <w:tcW w:w="714" w:type="pct"/>
                  <w:vAlign w:val="center"/>
                </w:tcPr>
                <w:p w14:paraId="696833F9">
                  <w:pPr>
                    <w:pStyle w:val="83"/>
                    <w:rPr>
                      <w:rFonts w:hint="default"/>
                    </w:rPr>
                  </w:pPr>
                  <w:r>
                    <w:t>0.036</w:t>
                  </w:r>
                </w:p>
              </w:tc>
              <w:tc>
                <w:tcPr>
                  <w:tcW w:w="714" w:type="pct"/>
                  <w:vAlign w:val="center"/>
                </w:tcPr>
                <w:p w14:paraId="5D9EBF9B">
                  <w:pPr>
                    <w:pStyle w:val="83"/>
                    <w:rPr>
                      <w:rFonts w:hint="default"/>
                    </w:rPr>
                  </w:pPr>
                  <w:r>
                    <w:t>0.021</w:t>
                  </w:r>
                </w:p>
              </w:tc>
              <w:tc>
                <w:tcPr>
                  <w:tcW w:w="714" w:type="pct"/>
                  <w:vAlign w:val="center"/>
                </w:tcPr>
                <w:p w14:paraId="2E298995">
                  <w:pPr>
                    <w:pStyle w:val="83"/>
                    <w:rPr>
                      <w:rFonts w:hint="default"/>
                    </w:rPr>
                  </w:pPr>
                  <w:r>
                    <w:t>0.8</w:t>
                  </w:r>
                </w:p>
              </w:tc>
              <w:tc>
                <w:tcPr>
                  <w:tcW w:w="716" w:type="pct"/>
                  <w:vAlign w:val="center"/>
                </w:tcPr>
                <w:p w14:paraId="0A8FDEAA">
                  <w:pPr>
                    <w:pStyle w:val="83"/>
                    <w:rPr>
                      <w:rFonts w:hint="default"/>
                    </w:rPr>
                  </w:pPr>
                  <w:r>
                    <w:t>0.124</w:t>
                  </w:r>
                </w:p>
              </w:tc>
            </w:tr>
            <w:tr w14:paraId="3BA5C2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49B95139">
                  <w:pPr>
                    <w:pStyle w:val="83"/>
                    <w:rPr>
                      <w:rFonts w:hint="default"/>
                    </w:rPr>
                  </w:pPr>
                  <w:r>
                    <w:t>年平均</w:t>
                  </w:r>
                </w:p>
              </w:tc>
              <w:tc>
                <w:tcPr>
                  <w:tcW w:w="1174" w:type="dxa"/>
                  <w:vAlign w:val="center"/>
                </w:tcPr>
                <w:p w14:paraId="656DD37E">
                  <w:pPr>
                    <w:pStyle w:val="83"/>
                    <w:rPr>
                      <w:rFonts w:hint="default"/>
                    </w:rPr>
                  </w:pPr>
                  <w:r>
                    <w:t>0.004</w:t>
                  </w:r>
                </w:p>
              </w:tc>
              <w:tc>
                <w:tcPr>
                  <w:tcW w:w="1174" w:type="dxa"/>
                  <w:vAlign w:val="center"/>
                </w:tcPr>
                <w:p w14:paraId="4157762B">
                  <w:pPr>
                    <w:pStyle w:val="83"/>
                    <w:rPr>
                      <w:rFonts w:hint="default"/>
                    </w:rPr>
                  </w:pPr>
                  <w:r>
                    <w:t>0.011</w:t>
                  </w:r>
                </w:p>
              </w:tc>
              <w:tc>
                <w:tcPr>
                  <w:tcW w:w="1174" w:type="dxa"/>
                  <w:vAlign w:val="center"/>
                </w:tcPr>
                <w:p w14:paraId="535D30F4">
                  <w:pPr>
                    <w:pStyle w:val="83"/>
                    <w:rPr>
                      <w:rFonts w:hint="default"/>
                    </w:rPr>
                  </w:pPr>
                  <w:r>
                    <w:t>0.029</w:t>
                  </w:r>
                </w:p>
              </w:tc>
              <w:tc>
                <w:tcPr>
                  <w:tcW w:w="1174" w:type="dxa"/>
                  <w:vAlign w:val="center"/>
                </w:tcPr>
                <w:p w14:paraId="392BD89B">
                  <w:pPr>
                    <w:pStyle w:val="83"/>
                    <w:rPr>
                      <w:rFonts w:hint="default"/>
                    </w:rPr>
                  </w:pPr>
                  <w:r>
                    <w:t>0.016</w:t>
                  </w:r>
                </w:p>
              </w:tc>
              <w:tc>
                <w:tcPr>
                  <w:tcW w:w="1174" w:type="dxa"/>
                  <w:vAlign w:val="center"/>
                </w:tcPr>
                <w:p w14:paraId="62219596">
                  <w:pPr>
                    <w:pStyle w:val="83"/>
                    <w:rPr>
                      <w:rFonts w:hint="default"/>
                    </w:rPr>
                  </w:pPr>
                  <w:r>
                    <w:t>0.5</w:t>
                  </w:r>
                </w:p>
              </w:tc>
              <w:tc>
                <w:tcPr>
                  <w:tcW w:w="1177" w:type="dxa"/>
                  <w:vAlign w:val="center"/>
                </w:tcPr>
                <w:p w14:paraId="3D748F2F">
                  <w:pPr>
                    <w:pStyle w:val="83"/>
                    <w:rPr>
                      <w:rFonts w:hint="default"/>
                    </w:rPr>
                  </w:pPr>
                  <w:r>
                    <w:t>0.085</w:t>
                  </w:r>
                </w:p>
              </w:tc>
            </w:tr>
            <w:tr w14:paraId="2043A7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613421E4">
                  <w:pPr>
                    <w:pStyle w:val="83"/>
                    <w:rPr>
                      <w:rFonts w:hint="default"/>
                    </w:rPr>
                  </w:pPr>
                  <w:r>
                    <w:t>国家二级标准</w:t>
                  </w:r>
                </w:p>
              </w:tc>
              <w:tc>
                <w:tcPr>
                  <w:tcW w:w="714" w:type="pct"/>
                  <w:vAlign w:val="center"/>
                </w:tcPr>
                <w:p w14:paraId="28050437">
                  <w:pPr>
                    <w:pStyle w:val="83"/>
                    <w:rPr>
                      <w:rFonts w:hint="default"/>
                    </w:rPr>
                  </w:pPr>
                  <w:r>
                    <w:t>0.06</w:t>
                  </w:r>
                </w:p>
              </w:tc>
              <w:tc>
                <w:tcPr>
                  <w:tcW w:w="714" w:type="pct"/>
                  <w:vAlign w:val="center"/>
                </w:tcPr>
                <w:p w14:paraId="637F8A65">
                  <w:pPr>
                    <w:pStyle w:val="83"/>
                    <w:rPr>
                      <w:rFonts w:hint="default"/>
                    </w:rPr>
                  </w:pPr>
                  <w:r>
                    <w:t>0.04</w:t>
                  </w:r>
                </w:p>
              </w:tc>
              <w:tc>
                <w:tcPr>
                  <w:tcW w:w="714" w:type="pct"/>
                  <w:vAlign w:val="center"/>
                </w:tcPr>
                <w:p w14:paraId="2EED2B6B">
                  <w:pPr>
                    <w:pStyle w:val="83"/>
                    <w:rPr>
                      <w:rFonts w:hint="default"/>
                    </w:rPr>
                  </w:pPr>
                  <w:r>
                    <w:t>0.060</w:t>
                  </w:r>
                </w:p>
              </w:tc>
              <w:tc>
                <w:tcPr>
                  <w:tcW w:w="714" w:type="pct"/>
                  <w:vAlign w:val="center"/>
                </w:tcPr>
                <w:p w14:paraId="5BA782D5">
                  <w:pPr>
                    <w:pStyle w:val="83"/>
                    <w:rPr>
                      <w:rFonts w:hint="default"/>
                    </w:rPr>
                  </w:pPr>
                  <w:r>
                    <w:t>0.03</w:t>
                  </w:r>
                </w:p>
              </w:tc>
              <w:tc>
                <w:tcPr>
                  <w:tcW w:w="714" w:type="pct"/>
                  <w:vAlign w:val="center"/>
                </w:tcPr>
                <w:p w14:paraId="445312D9">
                  <w:pPr>
                    <w:pStyle w:val="83"/>
                    <w:rPr>
                      <w:rFonts w:hint="default"/>
                    </w:rPr>
                  </w:pPr>
                  <w:r>
                    <w:t>4.0</w:t>
                  </w:r>
                </w:p>
              </w:tc>
              <w:tc>
                <w:tcPr>
                  <w:tcW w:w="716" w:type="pct"/>
                  <w:vAlign w:val="center"/>
                </w:tcPr>
                <w:p w14:paraId="4206F722">
                  <w:pPr>
                    <w:pStyle w:val="83"/>
                    <w:rPr>
                      <w:rFonts w:hint="default"/>
                    </w:rPr>
                  </w:pPr>
                  <w:r>
                    <w:t>0.160</w:t>
                  </w:r>
                </w:p>
              </w:tc>
            </w:tr>
            <w:tr w14:paraId="5A57D5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5E720CD1">
                  <w:pPr>
                    <w:pStyle w:val="83"/>
                    <w:rPr>
                      <w:rFonts w:hint="default"/>
                    </w:rPr>
                  </w:pPr>
                  <w:r>
                    <w:t>达标情况</w:t>
                  </w:r>
                </w:p>
              </w:tc>
              <w:tc>
                <w:tcPr>
                  <w:tcW w:w="4286" w:type="pct"/>
                  <w:gridSpan w:val="6"/>
                  <w:vAlign w:val="center"/>
                </w:tcPr>
                <w:p w14:paraId="58629E18">
                  <w:pPr>
                    <w:pStyle w:val="83"/>
                    <w:rPr>
                      <w:rFonts w:hint="default"/>
                    </w:rPr>
                  </w:pPr>
                  <w:r>
                    <w:t>达标</w:t>
                  </w:r>
                </w:p>
              </w:tc>
            </w:tr>
            <w:tr w14:paraId="778C5E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7"/>
                  <w:vAlign w:val="center"/>
                </w:tcPr>
                <w:p w14:paraId="76A01D2E">
                  <w:pPr>
                    <w:pStyle w:val="83"/>
                    <w:jc w:val="left"/>
                    <w:rPr>
                      <w:rFonts w:hint="default"/>
                    </w:rPr>
                  </w:pPr>
                  <w:r>
                    <w:t>注：CO为日均值第95百分位数，O</w:t>
                  </w:r>
                  <w:r>
                    <w:rPr>
                      <w:sz w:val="18"/>
                      <w:szCs w:val="18"/>
                      <w:vertAlign w:val="subscript"/>
                    </w:rPr>
                    <w:t>3</w:t>
                  </w:r>
                  <w:r>
                    <w:t>为日最大8小时值第90百分位数</w:t>
                  </w:r>
                </w:p>
              </w:tc>
            </w:tr>
          </w:tbl>
          <w:p w14:paraId="5F1FB5D3">
            <w:pPr>
              <w:ind w:firstLine="480"/>
            </w:pPr>
            <w:r>
              <w:rPr>
                <w:rFonts w:hint="eastAsia"/>
              </w:rPr>
              <w:t>由表3.1-1可知，长乐区2025年1~12月份空气环境中SO</w:t>
            </w:r>
            <w:r>
              <w:rPr>
                <w:rFonts w:hint="eastAsia"/>
                <w:vertAlign w:val="subscript"/>
              </w:rPr>
              <w:t>2</w:t>
            </w:r>
            <w:r>
              <w:rPr>
                <w:rFonts w:hint="eastAsia"/>
              </w:rPr>
              <w:t>、NO</w:t>
            </w:r>
            <w:r>
              <w:rPr>
                <w:rFonts w:hint="eastAsia"/>
                <w:vertAlign w:val="subscript"/>
              </w:rPr>
              <w:t>2</w:t>
            </w:r>
            <w:r>
              <w:rPr>
                <w:rFonts w:hint="eastAsia"/>
              </w:rPr>
              <w:t>、PM</w:t>
            </w:r>
            <w:r>
              <w:rPr>
                <w:rFonts w:hint="eastAsia"/>
                <w:vertAlign w:val="subscript"/>
              </w:rPr>
              <w:t>10</w:t>
            </w:r>
            <w:r>
              <w:rPr>
                <w:rFonts w:hint="eastAsia"/>
              </w:rPr>
              <w:t>和PM</w:t>
            </w:r>
            <w:r>
              <w:rPr>
                <w:rFonts w:hint="eastAsia"/>
                <w:vertAlign w:val="subscript"/>
              </w:rPr>
              <w:t>2.5</w:t>
            </w:r>
            <w:r>
              <w:rPr>
                <w:rFonts w:hint="eastAsia"/>
              </w:rPr>
              <w:t>年平均值均未超过《环境空气质量标准》（GB3095-2026）中的过渡阶段二级标准限值，CO日均值第95百分位数和O</w:t>
            </w:r>
            <w:r>
              <w:rPr>
                <w:rFonts w:hint="eastAsia"/>
                <w:vertAlign w:val="subscript"/>
              </w:rPr>
              <w:t>3</w:t>
            </w:r>
            <w:r>
              <w:rPr>
                <w:rFonts w:hint="eastAsia"/>
              </w:rPr>
              <w:t>日最大8小时值第90百分位数均未超过《环境空气质量标准》（GB3095-2026）中的过渡阶段二级标准限值，因此长乐区环境空气质量属于达标区。</w:t>
            </w:r>
          </w:p>
          <w:p w14:paraId="5E8F3764">
            <w:pPr>
              <w:pStyle w:val="4"/>
              <w:spacing w:before="120" w:after="0" w:afterLines="0"/>
            </w:pPr>
            <w:r>
              <w:rPr>
                <w:rFonts w:hint="eastAsia"/>
              </w:rPr>
              <w:t>3.1.2 水环境质量现状</w:t>
            </w:r>
          </w:p>
          <w:p w14:paraId="374CEC11">
            <w:pPr>
              <w:ind w:firstLine="480"/>
            </w:pPr>
            <w:r>
              <w:rPr>
                <w:rFonts w:hint="eastAsia"/>
              </w:rPr>
              <w:t>本项目生活污水和生产废水经厂区现有预处理设施处理后通过市政污水管网纳入滨海工业区污水处理厂集中处理后排入牛头湾海域。</w:t>
            </w:r>
          </w:p>
          <w:p w14:paraId="1D0921DE">
            <w:pPr>
              <w:pStyle w:val="5"/>
            </w:pPr>
            <w:r>
              <w:rPr>
                <w:rFonts w:hint="eastAsia"/>
              </w:rPr>
              <w:t>3.1.2.1 海域环境现状</w:t>
            </w:r>
          </w:p>
          <w:p w14:paraId="02650563">
            <w:pPr>
              <w:ind w:firstLine="480"/>
            </w:pPr>
            <w:r>
              <w:rPr>
                <w:rFonts w:hint="eastAsia"/>
              </w:rPr>
              <w:t>根据福建省生态环境厅公布的2025年福建省近岸海域235个国省控监测数据，2025年牛头湾海域的水质监测数据见表3.1-2，海域监测点位见图3.1-1。</w:t>
            </w:r>
          </w:p>
          <w:p w14:paraId="788C623B">
            <w:pPr>
              <w:pStyle w:val="13"/>
            </w:pPr>
            <w:r>
              <w:rPr>
                <w:rFonts w:hint="eastAsia"/>
              </w:rPr>
              <w:t>表3.1-2  2025年牛头湾海域水质监测结果</w:t>
            </w:r>
          </w:p>
          <w:tbl>
            <w:tblPr>
              <w:tblStyle w:val="17"/>
              <w:tblW w:w="4995" w:type="pct"/>
              <w:jc w:val="center"/>
              <w:tblLayout w:type="autofit"/>
              <w:tblCellMar>
                <w:top w:w="0" w:type="dxa"/>
                <w:left w:w="108" w:type="dxa"/>
                <w:bottom w:w="0" w:type="dxa"/>
                <w:right w:w="108" w:type="dxa"/>
              </w:tblCellMar>
            </w:tblPr>
            <w:tblGrid>
              <w:gridCol w:w="501"/>
              <w:gridCol w:w="1114"/>
              <w:gridCol w:w="1069"/>
              <w:gridCol w:w="971"/>
              <w:gridCol w:w="954"/>
              <w:gridCol w:w="871"/>
              <w:gridCol w:w="899"/>
              <w:gridCol w:w="885"/>
              <w:gridCol w:w="949"/>
            </w:tblGrid>
            <w:tr w14:paraId="2897AAF2">
              <w:tblPrEx>
                <w:tblCellMar>
                  <w:top w:w="0" w:type="dxa"/>
                  <w:left w:w="108" w:type="dxa"/>
                  <w:bottom w:w="0" w:type="dxa"/>
                  <w:right w:w="108" w:type="dxa"/>
                </w:tblCellMar>
              </w:tblPrEx>
              <w:trPr>
                <w:trHeight w:val="340" w:hRule="atLeast"/>
                <w:jc w:val="center"/>
              </w:trPr>
              <w:tc>
                <w:tcPr>
                  <w:tcW w:w="305" w:type="pct"/>
                  <w:tcBorders>
                    <w:top w:val="single" w:color="000000" w:sz="12" w:space="0"/>
                    <w:left w:val="nil"/>
                    <w:bottom w:val="single" w:color="000000" w:sz="8" w:space="0"/>
                    <w:right w:val="single" w:color="000000" w:sz="8" w:space="0"/>
                  </w:tcBorders>
                  <w:vAlign w:val="center"/>
                </w:tcPr>
                <w:p w14:paraId="3CA16547">
                  <w:pPr>
                    <w:pStyle w:val="83"/>
                    <w:rPr>
                      <w:rFonts w:hint="default"/>
                    </w:rPr>
                  </w:pPr>
                  <w:r>
                    <w:t>水季</w:t>
                  </w:r>
                </w:p>
              </w:tc>
              <w:tc>
                <w:tcPr>
                  <w:tcW w:w="678" w:type="pct"/>
                  <w:tcBorders>
                    <w:top w:val="single" w:color="000000" w:sz="12" w:space="0"/>
                    <w:left w:val="single" w:color="000000" w:sz="8" w:space="0"/>
                    <w:bottom w:val="single" w:color="000000" w:sz="8" w:space="0"/>
                    <w:right w:val="single" w:color="000000" w:sz="8" w:space="0"/>
                  </w:tcBorders>
                  <w:vAlign w:val="center"/>
                </w:tcPr>
                <w:p w14:paraId="16B7184E">
                  <w:pPr>
                    <w:pStyle w:val="83"/>
                    <w:rPr>
                      <w:rFonts w:hint="default"/>
                    </w:rPr>
                  </w:pPr>
                  <w:r>
                    <w:t>位置</w:t>
                  </w:r>
                </w:p>
              </w:tc>
              <w:tc>
                <w:tcPr>
                  <w:tcW w:w="650" w:type="pct"/>
                  <w:tcBorders>
                    <w:top w:val="single" w:color="000000" w:sz="12" w:space="0"/>
                    <w:left w:val="single" w:color="000000" w:sz="8" w:space="0"/>
                    <w:bottom w:val="single" w:color="000000" w:sz="8" w:space="0"/>
                    <w:right w:val="single" w:color="000000" w:sz="8" w:space="0"/>
                  </w:tcBorders>
                  <w:vAlign w:val="center"/>
                </w:tcPr>
                <w:p w14:paraId="092C3511">
                  <w:pPr>
                    <w:pStyle w:val="83"/>
                    <w:rPr>
                      <w:rFonts w:hint="default"/>
                    </w:rPr>
                  </w:pPr>
                  <w:r>
                    <w:t>监测时间</w:t>
                  </w:r>
                </w:p>
              </w:tc>
              <w:tc>
                <w:tcPr>
                  <w:tcW w:w="591" w:type="pct"/>
                  <w:tcBorders>
                    <w:top w:val="single" w:color="000000" w:sz="12" w:space="0"/>
                    <w:left w:val="single" w:color="000000" w:sz="8" w:space="0"/>
                    <w:bottom w:val="single" w:color="000000" w:sz="8" w:space="0"/>
                    <w:right w:val="single" w:color="000000" w:sz="8" w:space="0"/>
                  </w:tcBorders>
                  <w:vAlign w:val="center"/>
                </w:tcPr>
                <w:p w14:paraId="7FFC80A6">
                  <w:pPr>
                    <w:pStyle w:val="83"/>
                    <w:rPr>
                      <w:rFonts w:hint="default"/>
                    </w:rPr>
                  </w:pPr>
                  <w:r>
                    <w:t>pH</w:t>
                  </w:r>
                </w:p>
              </w:tc>
              <w:tc>
                <w:tcPr>
                  <w:tcW w:w="581" w:type="pct"/>
                  <w:tcBorders>
                    <w:top w:val="single" w:color="000000" w:sz="12" w:space="0"/>
                    <w:left w:val="single" w:color="000000" w:sz="8" w:space="0"/>
                    <w:bottom w:val="single" w:color="000000" w:sz="8" w:space="0"/>
                    <w:right w:val="single" w:color="000000" w:sz="8" w:space="0"/>
                  </w:tcBorders>
                  <w:vAlign w:val="center"/>
                </w:tcPr>
                <w:p w14:paraId="14E05858">
                  <w:pPr>
                    <w:pStyle w:val="83"/>
                    <w:rPr>
                      <w:rFonts w:hint="default"/>
                    </w:rPr>
                  </w:pPr>
                  <w:r>
                    <w:t>溶解氧</w:t>
                  </w:r>
                </w:p>
              </w:tc>
              <w:tc>
                <w:tcPr>
                  <w:tcW w:w="530" w:type="pct"/>
                  <w:tcBorders>
                    <w:top w:val="single" w:color="000000" w:sz="12" w:space="0"/>
                    <w:left w:val="single" w:color="000000" w:sz="8" w:space="0"/>
                    <w:bottom w:val="single" w:color="000000" w:sz="8" w:space="0"/>
                    <w:right w:val="single" w:color="000000" w:sz="8" w:space="0"/>
                  </w:tcBorders>
                  <w:vAlign w:val="center"/>
                </w:tcPr>
                <w:p w14:paraId="7DA9DB24">
                  <w:pPr>
                    <w:pStyle w:val="83"/>
                    <w:rPr>
                      <w:rFonts w:hint="default"/>
                    </w:rPr>
                  </w:pPr>
                  <w:r>
                    <w:t>化学需氧量</w:t>
                  </w:r>
                </w:p>
              </w:tc>
              <w:tc>
                <w:tcPr>
                  <w:tcW w:w="547" w:type="pct"/>
                  <w:tcBorders>
                    <w:top w:val="single" w:color="000000" w:sz="12" w:space="0"/>
                    <w:left w:val="single" w:color="000000" w:sz="8" w:space="0"/>
                    <w:bottom w:val="single" w:color="000000" w:sz="8" w:space="0"/>
                    <w:right w:val="single" w:color="000000" w:sz="8" w:space="0"/>
                  </w:tcBorders>
                  <w:vAlign w:val="center"/>
                </w:tcPr>
                <w:p w14:paraId="7848F69A">
                  <w:pPr>
                    <w:pStyle w:val="83"/>
                    <w:rPr>
                      <w:rFonts w:hint="default"/>
                    </w:rPr>
                  </w:pPr>
                  <w:r>
                    <w:t>无机氮</w:t>
                  </w:r>
                </w:p>
              </w:tc>
              <w:tc>
                <w:tcPr>
                  <w:tcW w:w="539" w:type="pct"/>
                  <w:tcBorders>
                    <w:top w:val="single" w:color="000000" w:sz="12" w:space="0"/>
                    <w:left w:val="single" w:color="000000" w:sz="8" w:space="0"/>
                    <w:bottom w:val="single" w:color="000000" w:sz="8" w:space="0"/>
                    <w:right w:val="single" w:color="000000" w:sz="8" w:space="0"/>
                  </w:tcBorders>
                  <w:vAlign w:val="center"/>
                </w:tcPr>
                <w:p w14:paraId="22295BF9">
                  <w:pPr>
                    <w:pStyle w:val="83"/>
                    <w:rPr>
                      <w:rFonts w:hint="default"/>
                    </w:rPr>
                  </w:pPr>
                  <w:r>
                    <w:t>活性磷酸盐</w:t>
                  </w:r>
                </w:p>
              </w:tc>
              <w:tc>
                <w:tcPr>
                  <w:tcW w:w="574" w:type="pct"/>
                  <w:tcBorders>
                    <w:top w:val="single" w:color="000000" w:sz="12" w:space="0"/>
                    <w:left w:val="single" w:color="000000" w:sz="8" w:space="0"/>
                    <w:bottom w:val="single" w:color="000000" w:sz="8" w:space="0"/>
                    <w:right w:val="nil"/>
                  </w:tcBorders>
                  <w:vAlign w:val="center"/>
                </w:tcPr>
                <w:p w14:paraId="27BA13D5">
                  <w:pPr>
                    <w:pStyle w:val="83"/>
                    <w:rPr>
                      <w:rFonts w:hint="default"/>
                    </w:rPr>
                  </w:pPr>
                  <w:r>
                    <w:t>石油类</w:t>
                  </w:r>
                </w:p>
              </w:tc>
            </w:tr>
            <w:tr w14:paraId="6DA42FC3">
              <w:tblPrEx>
                <w:tblCellMar>
                  <w:top w:w="0" w:type="dxa"/>
                  <w:left w:w="108" w:type="dxa"/>
                  <w:bottom w:w="0" w:type="dxa"/>
                  <w:right w:w="108" w:type="dxa"/>
                </w:tblCellMar>
              </w:tblPrEx>
              <w:trPr>
                <w:trHeight w:val="340" w:hRule="atLeast"/>
                <w:jc w:val="center"/>
              </w:trPr>
              <w:tc>
                <w:tcPr>
                  <w:tcW w:w="305" w:type="pct"/>
                  <w:vMerge w:val="restart"/>
                  <w:tcBorders>
                    <w:top w:val="single" w:color="000000" w:sz="8" w:space="0"/>
                    <w:left w:val="nil"/>
                    <w:right w:val="single" w:color="000000" w:sz="8" w:space="0"/>
                  </w:tcBorders>
                  <w:vAlign w:val="center"/>
                </w:tcPr>
                <w:p w14:paraId="5D85D436">
                  <w:pPr>
                    <w:pStyle w:val="83"/>
                    <w:rPr>
                      <w:rFonts w:hint="default"/>
                    </w:rPr>
                  </w:pPr>
                  <w:r>
                    <w:t>枯水期</w:t>
                  </w:r>
                </w:p>
              </w:tc>
              <w:tc>
                <w:tcPr>
                  <w:tcW w:w="678" w:type="pct"/>
                  <w:tcBorders>
                    <w:top w:val="single" w:color="000000" w:sz="8" w:space="0"/>
                    <w:left w:val="single" w:color="000000" w:sz="8" w:space="0"/>
                    <w:bottom w:val="single" w:color="000000" w:sz="8" w:space="0"/>
                    <w:right w:val="single" w:color="000000" w:sz="8" w:space="0"/>
                  </w:tcBorders>
                  <w:vAlign w:val="center"/>
                </w:tcPr>
                <w:p w14:paraId="722B14B3">
                  <w:pPr>
                    <w:pStyle w:val="83"/>
                    <w:rPr>
                      <w:rFonts w:hint="default"/>
                    </w:rPr>
                  </w:pPr>
                  <w:r>
                    <w:t>FJD01004</w:t>
                  </w:r>
                </w:p>
              </w:tc>
              <w:tc>
                <w:tcPr>
                  <w:tcW w:w="650" w:type="pct"/>
                  <w:tcBorders>
                    <w:top w:val="single" w:color="000000" w:sz="8" w:space="0"/>
                    <w:left w:val="single" w:color="000000" w:sz="8" w:space="0"/>
                    <w:bottom w:val="single" w:color="000000" w:sz="8" w:space="0"/>
                    <w:right w:val="single" w:color="000000" w:sz="8" w:space="0"/>
                  </w:tcBorders>
                  <w:vAlign w:val="center"/>
                </w:tcPr>
                <w:p w14:paraId="79C6053E">
                  <w:pPr>
                    <w:pStyle w:val="83"/>
                    <w:rPr>
                      <w:rFonts w:hint="default"/>
                    </w:rPr>
                  </w:pPr>
                  <w:r>
                    <w:t>2025.1</w:t>
                  </w:r>
                </w:p>
              </w:tc>
              <w:tc>
                <w:tcPr>
                  <w:tcW w:w="591" w:type="pct"/>
                  <w:tcBorders>
                    <w:top w:val="single" w:color="000000" w:sz="8" w:space="0"/>
                    <w:left w:val="single" w:color="000000" w:sz="8" w:space="0"/>
                    <w:bottom w:val="single" w:color="000000" w:sz="8" w:space="0"/>
                    <w:right w:val="single" w:color="000000" w:sz="8" w:space="0"/>
                  </w:tcBorders>
                  <w:vAlign w:val="center"/>
                </w:tcPr>
                <w:p w14:paraId="3CC42338">
                  <w:pPr>
                    <w:pStyle w:val="83"/>
                    <w:rPr>
                      <w:rFonts w:hint="default"/>
                    </w:rPr>
                  </w:pPr>
                  <w:r>
                    <w:t>7.92</w:t>
                  </w:r>
                </w:p>
              </w:tc>
              <w:tc>
                <w:tcPr>
                  <w:tcW w:w="581" w:type="pct"/>
                  <w:tcBorders>
                    <w:top w:val="single" w:color="000000" w:sz="8" w:space="0"/>
                    <w:left w:val="single" w:color="000000" w:sz="8" w:space="0"/>
                    <w:bottom w:val="single" w:color="000000" w:sz="8" w:space="0"/>
                    <w:right w:val="single" w:color="000000" w:sz="8" w:space="0"/>
                  </w:tcBorders>
                  <w:vAlign w:val="center"/>
                </w:tcPr>
                <w:p w14:paraId="4B87F362">
                  <w:pPr>
                    <w:pStyle w:val="83"/>
                    <w:rPr>
                      <w:rFonts w:hint="default"/>
                    </w:rPr>
                  </w:pPr>
                  <w:r>
                    <w:t>6.49</w:t>
                  </w:r>
                </w:p>
              </w:tc>
              <w:tc>
                <w:tcPr>
                  <w:tcW w:w="530" w:type="pct"/>
                  <w:tcBorders>
                    <w:top w:val="single" w:color="000000" w:sz="8" w:space="0"/>
                    <w:left w:val="single" w:color="000000" w:sz="8" w:space="0"/>
                    <w:bottom w:val="single" w:color="000000" w:sz="8" w:space="0"/>
                    <w:right w:val="single" w:color="000000" w:sz="8" w:space="0"/>
                  </w:tcBorders>
                  <w:vAlign w:val="center"/>
                </w:tcPr>
                <w:p w14:paraId="3990E0DA">
                  <w:pPr>
                    <w:pStyle w:val="83"/>
                    <w:rPr>
                      <w:rFonts w:hint="default"/>
                    </w:rPr>
                  </w:pPr>
                  <w:r>
                    <w:t>0.88</w:t>
                  </w:r>
                </w:p>
              </w:tc>
              <w:tc>
                <w:tcPr>
                  <w:tcW w:w="547" w:type="pct"/>
                  <w:tcBorders>
                    <w:top w:val="single" w:color="000000" w:sz="8" w:space="0"/>
                    <w:left w:val="single" w:color="000000" w:sz="8" w:space="0"/>
                    <w:bottom w:val="single" w:color="000000" w:sz="8" w:space="0"/>
                    <w:right w:val="single" w:color="000000" w:sz="8" w:space="0"/>
                  </w:tcBorders>
                  <w:vAlign w:val="center"/>
                </w:tcPr>
                <w:p w14:paraId="060ED467">
                  <w:pPr>
                    <w:pStyle w:val="83"/>
                    <w:rPr>
                      <w:rFonts w:hint="default"/>
                    </w:rPr>
                  </w:pPr>
                  <w:r>
                    <w:t>0.017</w:t>
                  </w:r>
                </w:p>
              </w:tc>
              <w:tc>
                <w:tcPr>
                  <w:tcW w:w="539" w:type="pct"/>
                  <w:tcBorders>
                    <w:top w:val="single" w:color="000000" w:sz="8" w:space="0"/>
                    <w:left w:val="single" w:color="000000" w:sz="8" w:space="0"/>
                    <w:bottom w:val="single" w:color="000000" w:sz="8" w:space="0"/>
                    <w:right w:val="single" w:color="000000" w:sz="8" w:space="0"/>
                  </w:tcBorders>
                  <w:vAlign w:val="center"/>
                </w:tcPr>
                <w:p w14:paraId="01F738A8">
                  <w:pPr>
                    <w:pStyle w:val="83"/>
                    <w:rPr>
                      <w:rFonts w:hint="default"/>
                    </w:rPr>
                  </w:pPr>
                  <w:r>
                    <w:t>0.003</w:t>
                  </w:r>
                </w:p>
              </w:tc>
              <w:tc>
                <w:tcPr>
                  <w:tcW w:w="574" w:type="pct"/>
                  <w:tcBorders>
                    <w:top w:val="single" w:color="000000" w:sz="8" w:space="0"/>
                    <w:left w:val="single" w:color="000000" w:sz="8" w:space="0"/>
                    <w:bottom w:val="single" w:color="000000" w:sz="8" w:space="0"/>
                    <w:right w:val="nil"/>
                  </w:tcBorders>
                  <w:vAlign w:val="center"/>
                </w:tcPr>
                <w:p w14:paraId="04453238">
                  <w:pPr>
                    <w:pStyle w:val="83"/>
                    <w:rPr>
                      <w:rFonts w:hint="default"/>
                    </w:rPr>
                  </w:pPr>
                  <w:r>
                    <w:t>0.0072</w:t>
                  </w:r>
                </w:p>
              </w:tc>
            </w:tr>
            <w:tr w14:paraId="26EDCA49">
              <w:tblPrEx>
                <w:tblCellMar>
                  <w:top w:w="0" w:type="dxa"/>
                  <w:left w:w="108" w:type="dxa"/>
                  <w:bottom w:w="0" w:type="dxa"/>
                  <w:right w:w="108" w:type="dxa"/>
                </w:tblCellMar>
              </w:tblPrEx>
              <w:trPr>
                <w:trHeight w:val="340" w:hRule="atLeast"/>
                <w:jc w:val="center"/>
              </w:trPr>
              <w:tc>
                <w:tcPr>
                  <w:tcW w:w="305" w:type="pct"/>
                  <w:vMerge w:val="continue"/>
                  <w:tcBorders>
                    <w:left w:val="nil"/>
                    <w:right w:val="single" w:color="000000" w:sz="8" w:space="0"/>
                  </w:tcBorders>
                  <w:vAlign w:val="center"/>
                </w:tcPr>
                <w:p w14:paraId="4EC93D1F">
                  <w:pPr>
                    <w:pStyle w:val="83"/>
                    <w:rPr>
                      <w:rFonts w:hint="default"/>
                    </w:rPr>
                  </w:pPr>
                </w:p>
              </w:tc>
              <w:tc>
                <w:tcPr>
                  <w:tcW w:w="678" w:type="pct"/>
                  <w:tcBorders>
                    <w:top w:val="single" w:color="000000" w:sz="8" w:space="0"/>
                    <w:left w:val="single" w:color="000000" w:sz="8" w:space="0"/>
                    <w:bottom w:val="single" w:color="000000" w:sz="8" w:space="0"/>
                    <w:right w:val="single" w:color="000000" w:sz="8" w:space="0"/>
                  </w:tcBorders>
                  <w:vAlign w:val="center"/>
                </w:tcPr>
                <w:p w14:paraId="193AB18B">
                  <w:pPr>
                    <w:pStyle w:val="83"/>
                    <w:rPr>
                      <w:rFonts w:hint="default"/>
                    </w:rPr>
                  </w:pPr>
                  <w:r>
                    <w:t>FJD01005</w:t>
                  </w:r>
                </w:p>
              </w:tc>
              <w:tc>
                <w:tcPr>
                  <w:tcW w:w="650" w:type="pct"/>
                  <w:tcBorders>
                    <w:top w:val="single" w:color="000000" w:sz="8" w:space="0"/>
                    <w:left w:val="single" w:color="000000" w:sz="8" w:space="0"/>
                    <w:bottom w:val="single" w:color="000000" w:sz="8" w:space="0"/>
                    <w:right w:val="single" w:color="000000" w:sz="8" w:space="0"/>
                  </w:tcBorders>
                  <w:vAlign w:val="center"/>
                </w:tcPr>
                <w:p w14:paraId="7BB9EED2">
                  <w:pPr>
                    <w:pStyle w:val="83"/>
                    <w:rPr>
                      <w:rFonts w:hint="default"/>
                    </w:rPr>
                  </w:pPr>
                  <w:r>
                    <w:t>2025.1</w:t>
                  </w:r>
                </w:p>
              </w:tc>
              <w:tc>
                <w:tcPr>
                  <w:tcW w:w="591" w:type="pct"/>
                  <w:tcBorders>
                    <w:top w:val="single" w:color="000000" w:sz="8" w:space="0"/>
                    <w:left w:val="single" w:color="000000" w:sz="8" w:space="0"/>
                    <w:bottom w:val="single" w:color="000000" w:sz="8" w:space="0"/>
                    <w:right w:val="single" w:color="000000" w:sz="8" w:space="0"/>
                  </w:tcBorders>
                  <w:vAlign w:val="center"/>
                </w:tcPr>
                <w:p w14:paraId="270BD983">
                  <w:pPr>
                    <w:pStyle w:val="83"/>
                    <w:rPr>
                      <w:rFonts w:hint="default"/>
                    </w:rPr>
                  </w:pPr>
                  <w:r>
                    <w:t>8.07</w:t>
                  </w:r>
                </w:p>
              </w:tc>
              <w:tc>
                <w:tcPr>
                  <w:tcW w:w="581" w:type="pct"/>
                  <w:tcBorders>
                    <w:top w:val="single" w:color="000000" w:sz="8" w:space="0"/>
                    <w:left w:val="single" w:color="000000" w:sz="8" w:space="0"/>
                    <w:bottom w:val="single" w:color="000000" w:sz="8" w:space="0"/>
                    <w:right w:val="single" w:color="000000" w:sz="8" w:space="0"/>
                  </w:tcBorders>
                  <w:vAlign w:val="center"/>
                </w:tcPr>
                <w:p w14:paraId="0CA44DBC">
                  <w:pPr>
                    <w:pStyle w:val="83"/>
                    <w:rPr>
                      <w:rFonts w:hint="default"/>
                    </w:rPr>
                  </w:pPr>
                  <w:r>
                    <w:t>6.19</w:t>
                  </w:r>
                </w:p>
              </w:tc>
              <w:tc>
                <w:tcPr>
                  <w:tcW w:w="530" w:type="pct"/>
                  <w:tcBorders>
                    <w:top w:val="single" w:color="000000" w:sz="8" w:space="0"/>
                    <w:left w:val="single" w:color="000000" w:sz="8" w:space="0"/>
                    <w:bottom w:val="single" w:color="000000" w:sz="8" w:space="0"/>
                    <w:right w:val="single" w:color="000000" w:sz="8" w:space="0"/>
                  </w:tcBorders>
                  <w:vAlign w:val="center"/>
                </w:tcPr>
                <w:p w14:paraId="1646E24B">
                  <w:pPr>
                    <w:pStyle w:val="83"/>
                    <w:rPr>
                      <w:rFonts w:hint="default"/>
                    </w:rPr>
                  </w:pPr>
                  <w:r>
                    <w:t>0.4</w:t>
                  </w:r>
                </w:p>
              </w:tc>
              <w:tc>
                <w:tcPr>
                  <w:tcW w:w="547" w:type="pct"/>
                  <w:tcBorders>
                    <w:top w:val="single" w:color="000000" w:sz="8" w:space="0"/>
                    <w:left w:val="single" w:color="000000" w:sz="8" w:space="0"/>
                    <w:bottom w:val="single" w:color="000000" w:sz="8" w:space="0"/>
                    <w:right w:val="single" w:color="000000" w:sz="8" w:space="0"/>
                  </w:tcBorders>
                  <w:vAlign w:val="center"/>
                </w:tcPr>
                <w:p w14:paraId="3864052E">
                  <w:pPr>
                    <w:pStyle w:val="83"/>
                    <w:rPr>
                      <w:rFonts w:hint="default"/>
                    </w:rPr>
                  </w:pPr>
                  <w:r>
                    <w:t>0.028</w:t>
                  </w:r>
                </w:p>
              </w:tc>
              <w:tc>
                <w:tcPr>
                  <w:tcW w:w="539" w:type="pct"/>
                  <w:tcBorders>
                    <w:top w:val="single" w:color="000000" w:sz="8" w:space="0"/>
                    <w:left w:val="single" w:color="000000" w:sz="8" w:space="0"/>
                    <w:bottom w:val="single" w:color="000000" w:sz="8" w:space="0"/>
                    <w:right w:val="single" w:color="000000" w:sz="8" w:space="0"/>
                  </w:tcBorders>
                  <w:vAlign w:val="center"/>
                </w:tcPr>
                <w:p w14:paraId="70277672">
                  <w:pPr>
                    <w:pStyle w:val="83"/>
                    <w:rPr>
                      <w:rFonts w:hint="default"/>
                    </w:rPr>
                  </w:pPr>
                  <w:r>
                    <w:t>0.006</w:t>
                  </w:r>
                </w:p>
              </w:tc>
              <w:tc>
                <w:tcPr>
                  <w:tcW w:w="574" w:type="pct"/>
                  <w:tcBorders>
                    <w:top w:val="single" w:color="000000" w:sz="8" w:space="0"/>
                    <w:left w:val="single" w:color="000000" w:sz="8" w:space="0"/>
                    <w:bottom w:val="single" w:color="000000" w:sz="8" w:space="0"/>
                    <w:right w:val="nil"/>
                  </w:tcBorders>
                  <w:vAlign w:val="center"/>
                </w:tcPr>
                <w:p w14:paraId="34F7F138">
                  <w:pPr>
                    <w:pStyle w:val="83"/>
                    <w:rPr>
                      <w:rFonts w:hint="default"/>
                    </w:rPr>
                  </w:pPr>
                  <w:r>
                    <w:t>0.0010L</w:t>
                  </w:r>
                </w:p>
              </w:tc>
            </w:tr>
            <w:tr w14:paraId="7289120A">
              <w:tblPrEx>
                <w:tblCellMar>
                  <w:top w:w="0" w:type="dxa"/>
                  <w:left w:w="108" w:type="dxa"/>
                  <w:bottom w:w="0" w:type="dxa"/>
                  <w:right w:w="108" w:type="dxa"/>
                </w:tblCellMar>
              </w:tblPrEx>
              <w:trPr>
                <w:trHeight w:val="340" w:hRule="atLeast"/>
                <w:jc w:val="center"/>
              </w:trPr>
              <w:tc>
                <w:tcPr>
                  <w:tcW w:w="305" w:type="pct"/>
                  <w:vMerge w:val="continue"/>
                  <w:tcBorders>
                    <w:left w:val="nil"/>
                    <w:bottom w:val="single" w:color="000000" w:sz="8" w:space="0"/>
                    <w:right w:val="single" w:color="000000" w:sz="8" w:space="0"/>
                  </w:tcBorders>
                  <w:vAlign w:val="center"/>
                </w:tcPr>
                <w:p w14:paraId="0B761D4D">
                  <w:pPr>
                    <w:pStyle w:val="83"/>
                    <w:rPr>
                      <w:rFonts w:hint="default"/>
                    </w:rPr>
                  </w:pPr>
                </w:p>
              </w:tc>
              <w:tc>
                <w:tcPr>
                  <w:tcW w:w="678" w:type="pct"/>
                  <w:tcBorders>
                    <w:top w:val="single" w:color="000000" w:sz="8" w:space="0"/>
                    <w:left w:val="single" w:color="000000" w:sz="8" w:space="0"/>
                    <w:bottom w:val="single" w:color="000000" w:sz="8" w:space="0"/>
                    <w:right w:val="single" w:color="000000" w:sz="8" w:space="0"/>
                  </w:tcBorders>
                  <w:vAlign w:val="center"/>
                </w:tcPr>
                <w:p w14:paraId="4D4ED116">
                  <w:pPr>
                    <w:pStyle w:val="83"/>
                    <w:rPr>
                      <w:rFonts w:hint="default"/>
                    </w:rPr>
                  </w:pPr>
                  <w:r>
                    <w:t>FJD01006</w:t>
                  </w:r>
                </w:p>
              </w:tc>
              <w:tc>
                <w:tcPr>
                  <w:tcW w:w="650" w:type="pct"/>
                  <w:tcBorders>
                    <w:top w:val="single" w:color="000000" w:sz="8" w:space="0"/>
                    <w:left w:val="single" w:color="000000" w:sz="8" w:space="0"/>
                    <w:bottom w:val="single" w:color="000000" w:sz="8" w:space="0"/>
                    <w:right w:val="single" w:color="000000" w:sz="8" w:space="0"/>
                  </w:tcBorders>
                  <w:vAlign w:val="center"/>
                </w:tcPr>
                <w:p w14:paraId="63B82915">
                  <w:pPr>
                    <w:pStyle w:val="83"/>
                    <w:rPr>
                      <w:rFonts w:hint="default"/>
                    </w:rPr>
                  </w:pPr>
                  <w:r>
                    <w:t>2025.1</w:t>
                  </w:r>
                </w:p>
              </w:tc>
              <w:tc>
                <w:tcPr>
                  <w:tcW w:w="591" w:type="pct"/>
                  <w:tcBorders>
                    <w:top w:val="single" w:color="000000" w:sz="8" w:space="0"/>
                    <w:left w:val="single" w:color="000000" w:sz="8" w:space="0"/>
                    <w:bottom w:val="single" w:color="000000" w:sz="8" w:space="0"/>
                    <w:right w:val="single" w:color="000000" w:sz="8" w:space="0"/>
                  </w:tcBorders>
                  <w:vAlign w:val="center"/>
                </w:tcPr>
                <w:p w14:paraId="2B0D00A4">
                  <w:pPr>
                    <w:pStyle w:val="83"/>
                    <w:rPr>
                      <w:rFonts w:hint="default"/>
                    </w:rPr>
                  </w:pPr>
                  <w:r>
                    <w:t>8.12</w:t>
                  </w:r>
                </w:p>
              </w:tc>
              <w:tc>
                <w:tcPr>
                  <w:tcW w:w="581" w:type="pct"/>
                  <w:tcBorders>
                    <w:top w:val="single" w:color="000000" w:sz="8" w:space="0"/>
                    <w:left w:val="single" w:color="000000" w:sz="8" w:space="0"/>
                    <w:bottom w:val="single" w:color="000000" w:sz="8" w:space="0"/>
                    <w:right w:val="single" w:color="000000" w:sz="8" w:space="0"/>
                  </w:tcBorders>
                  <w:vAlign w:val="center"/>
                </w:tcPr>
                <w:p w14:paraId="2CDE70A4">
                  <w:pPr>
                    <w:pStyle w:val="83"/>
                    <w:rPr>
                      <w:rFonts w:hint="default"/>
                    </w:rPr>
                  </w:pPr>
                  <w:r>
                    <w:t>5.79</w:t>
                  </w:r>
                </w:p>
              </w:tc>
              <w:tc>
                <w:tcPr>
                  <w:tcW w:w="530" w:type="pct"/>
                  <w:tcBorders>
                    <w:top w:val="single" w:color="000000" w:sz="8" w:space="0"/>
                    <w:left w:val="single" w:color="000000" w:sz="8" w:space="0"/>
                    <w:bottom w:val="single" w:color="000000" w:sz="8" w:space="0"/>
                    <w:right w:val="single" w:color="000000" w:sz="8" w:space="0"/>
                  </w:tcBorders>
                  <w:vAlign w:val="center"/>
                </w:tcPr>
                <w:p w14:paraId="6C940DFB">
                  <w:pPr>
                    <w:pStyle w:val="83"/>
                    <w:rPr>
                      <w:rFonts w:hint="default"/>
                    </w:rPr>
                  </w:pPr>
                  <w:r>
                    <w:t>0.88</w:t>
                  </w:r>
                </w:p>
              </w:tc>
              <w:tc>
                <w:tcPr>
                  <w:tcW w:w="547" w:type="pct"/>
                  <w:tcBorders>
                    <w:top w:val="single" w:color="000000" w:sz="8" w:space="0"/>
                    <w:left w:val="single" w:color="000000" w:sz="8" w:space="0"/>
                    <w:bottom w:val="single" w:color="000000" w:sz="8" w:space="0"/>
                    <w:right w:val="single" w:color="000000" w:sz="8" w:space="0"/>
                  </w:tcBorders>
                  <w:vAlign w:val="center"/>
                </w:tcPr>
                <w:p w14:paraId="06E93E30">
                  <w:pPr>
                    <w:pStyle w:val="83"/>
                    <w:rPr>
                      <w:rFonts w:hint="default"/>
                    </w:rPr>
                  </w:pPr>
                  <w:r>
                    <w:t>0.358</w:t>
                  </w:r>
                </w:p>
              </w:tc>
              <w:tc>
                <w:tcPr>
                  <w:tcW w:w="539" w:type="pct"/>
                  <w:tcBorders>
                    <w:top w:val="single" w:color="000000" w:sz="8" w:space="0"/>
                    <w:left w:val="single" w:color="000000" w:sz="8" w:space="0"/>
                    <w:bottom w:val="single" w:color="000000" w:sz="8" w:space="0"/>
                    <w:right w:val="single" w:color="000000" w:sz="8" w:space="0"/>
                  </w:tcBorders>
                  <w:vAlign w:val="center"/>
                </w:tcPr>
                <w:p w14:paraId="3D036F69">
                  <w:pPr>
                    <w:pStyle w:val="83"/>
                    <w:rPr>
                      <w:rFonts w:hint="default"/>
                    </w:rPr>
                  </w:pPr>
                  <w:r>
                    <w:t>0.035</w:t>
                  </w:r>
                </w:p>
              </w:tc>
              <w:tc>
                <w:tcPr>
                  <w:tcW w:w="574" w:type="pct"/>
                  <w:tcBorders>
                    <w:top w:val="single" w:color="000000" w:sz="8" w:space="0"/>
                    <w:left w:val="single" w:color="000000" w:sz="8" w:space="0"/>
                    <w:bottom w:val="single" w:color="000000" w:sz="8" w:space="0"/>
                    <w:right w:val="nil"/>
                  </w:tcBorders>
                  <w:vAlign w:val="center"/>
                </w:tcPr>
                <w:p w14:paraId="47D5DCEC">
                  <w:pPr>
                    <w:pStyle w:val="83"/>
                    <w:rPr>
                      <w:rFonts w:hint="default"/>
                    </w:rPr>
                  </w:pPr>
                  <w:r>
                    <w:t>0.0089</w:t>
                  </w:r>
                </w:p>
              </w:tc>
            </w:tr>
            <w:tr w14:paraId="664C5FE5">
              <w:tblPrEx>
                <w:tblCellMar>
                  <w:top w:w="0" w:type="dxa"/>
                  <w:left w:w="108" w:type="dxa"/>
                  <w:bottom w:w="0" w:type="dxa"/>
                  <w:right w:w="108" w:type="dxa"/>
                </w:tblCellMar>
              </w:tblPrEx>
              <w:trPr>
                <w:trHeight w:val="340" w:hRule="atLeast"/>
                <w:jc w:val="center"/>
              </w:trPr>
              <w:tc>
                <w:tcPr>
                  <w:tcW w:w="305" w:type="pct"/>
                  <w:vMerge w:val="restart"/>
                  <w:tcBorders>
                    <w:top w:val="single" w:color="000000" w:sz="8" w:space="0"/>
                    <w:left w:val="nil"/>
                    <w:right w:val="single" w:color="000000" w:sz="8" w:space="0"/>
                  </w:tcBorders>
                  <w:vAlign w:val="center"/>
                </w:tcPr>
                <w:p w14:paraId="0F85EE57">
                  <w:pPr>
                    <w:pStyle w:val="83"/>
                    <w:rPr>
                      <w:rFonts w:hint="default"/>
                    </w:rPr>
                  </w:pPr>
                  <w:r>
                    <w:t>丰水期</w:t>
                  </w:r>
                </w:p>
              </w:tc>
              <w:tc>
                <w:tcPr>
                  <w:tcW w:w="678" w:type="pct"/>
                  <w:tcBorders>
                    <w:top w:val="single" w:color="000000" w:sz="8" w:space="0"/>
                    <w:left w:val="single" w:color="000000" w:sz="8" w:space="0"/>
                    <w:bottom w:val="single" w:color="000000" w:sz="8" w:space="0"/>
                    <w:right w:val="single" w:color="000000" w:sz="8" w:space="0"/>
                  </w:tcBorders>
                  <w:vAlign w:val="center"/>
                </w:tcPr>
                <w:p w14:paraId="201537E1">
                  <w:pPr>
                    <w:pStyle w:val="83"/>
                    <w:rPr>
                      <w:rFonts w:hint="default"/>
                    </w:rPr>
                  </w:pPr>
                  <w:r>
                    <w:t>FJD01004</w:t>
                  </w:r>
                </w:p>
              </w:tc>
              <w:tc>
                <w:tcPr>
                  <w:tcW w:w="650" w:type="pct"/>
                  <w:tcBorders>
                    <w:top w:val="single" w:color="000000" w:sz="8" w:space="0"/>
                    <w:left w:val="single" w:color="000000" w:sz="8" w:space="0"/>
                    <w:bottom w:val="single" w:color="000000" w:sz="8" w:space="0"/>
                    <w:right w:val="single" w:color="000000" w:sz="8" w:space="0"/>
                  </w:tcBorders>
                  <w:vAlign w:val="center"/>
                </w:tcPr>
                <w:p w14:paraId="690D7606">
                  <w:pPr>
                    <w:pStyle w:val="83"/>
                    <w:rPr>
                      <w:rFonts w:hint="default"/>
                    </w:rPr>
                  </w:pPr>
                  <w:r>
                    <w:t>2025.7</w:t>
                  </w:r>
                </w:p>
              </w:tc>
              <w:tc>
                <w:tcPr>
                  <w:tcW w:w="591" w:type="pct"/>
                  <w:tcBorders>
                    <w:top w:val="single" w:color="000000" w:sz="8" w:space="0"/>
                    <w:left w:val="single" w:color="000000" w:sz="8" w:space="0"/>
                    <w:bottom w:val="single" w:color="000000" w:sz="8" w:space="0"/>
                    <w:right w:val="single" w:color="000000" w:sz="8" w:space="0"/>
                  </w:tcBorders>
                  <w:vAlign w:val="center"/>
                </w:tcPr>
                <w:p w14:paraId="4475A25D">
                  <w:pPr>
                    <w:pStyle w:val="83"/>
                    <w:rPr>
                      <w:rFonts w:hint="default"/>
                    </w:rPr>
                  </w:pPr>
                  <w:r>
                    <w:t>7.94</w:t>
                  </w:r>
                </w:p>
              </w:tc>
              <w:tc>
                <w:tcPr>
                  <w:tcW w:w="581" w:type="pct"/>
                  <w:tcBorders>
                    <w:top w:val="single" w:color="000000" w:sz="8" w:space="0"/>
                    <w:left w:val="single" w:color="000000" w:sz="8" w:space="0"/>
                    <w:bottom w:val="single" w:color="000000" w:sz="8" w:space="0"/>
                    <w:right w:val="single" w:color="000000" w:sz="8" w:space="0"/>
                  </w:tcBorders>
                  <w:vAlign w:val="center"/>
                </w:tcPr>
                <w:p w14:paraId="6FE2AFFC">
                  <w:pPr>
                    <w:pStyle w:val="83"/>
                    <w:rPr>
                      <w:rFonts w:hint="default"/>
                    </w:rPr>
                  </w:pPr>
                  <w:r>
                    <w:t>6.52</w:t>
                  </w:r>
                </w:p>
              </w:tc>
              <w:tc>
                <w:tcPr>
                  <w:tcW w:w="530" w:type="pct"/>
                  <w:tcBorders>
                    <w:top w:val="single" w:color="000000" w:sz="8" w:space="0"/>
                    <w:left w:val="single" w:color="000000" w:sz="8" w:space="0"/>
                    <w:bottom w:val="single" w:color="000000" w:sz="8" w:space="0"/>
                    <w:right w:val="single" w:color="000000" w:sz="8" w:space="0"/>
                  </w:tcBorders>
                  <w:vAlign w:val="center"/>
                </w:tcPr>
                <w:p w14:paraId="66864D75">
                  <w:pPr>
                    <w:pStyle w:val="83"/>
                    <w:rPr>
                      <w:rFonts w:hint="default"/>
                    </w:rPr>
                  </w:pPr>
                  <w:r>
                    <w:t>0.5</w:t>
                  </w:r>
                </w:p>
              </w:tc>
              <w:tc>
                <w:tcPr>
                  <w:tcW w:w="547" w:type="pct"/>
                  <w:tcBorders>
                    <w:top w:val="single" w:color="000000" w:sz="8" w:space="0"/>
                    <w:left w:val="single" w:color="000000" w:sz="8" w:space="0"/>
                    <w:bottom w:val="single" w:color="000000" w:sz="8" w:space="0"/>
                    <w:right w:val="single" w:color="000000" w:sz="8" w:space="0"/>
                  </w:tcBorders>
                  <w:vAlign w:val="center"/>
                </w:tcPr>
                <w:p w14:paraId="49566588">
                  <w:pPr>
                    <w:pStyle w:val="83"/>
                    <w:rPr>
                      <w:rFonts w:hint="default"/>
                    </w:rPr>
                  </w:pPr>
                  <w:r>
                    <w:t>0.115</w:t>
                  </w:r>
                </w:p>
              </w:tc>
              <w:tc>
                <w:tcPr>
                  <w:tcW w:w="539" w:type="pct"/>
                  <w:tcBorders>
                    <w:top w:val="single" w:color="000000" w:sz="8" w:space="0"/>
                    <w:left w:val="single" w:color="000000" w:sz="8" w:space="0"/>
                    <w:bottom w:val="single" w:color="000000" w:sz="8" w:space="0"/>
                    <w:right w:val="single" w:color="000000" w:sz="8" w:space="0"/>
                  </w:tcBorders>
                  <w:vAlign w:val="center"/>
                </w:tcPr>
                <w:p w14:paraId="1281FF0E">
                  <w:pPr>
                    <w:pStyle w:val="83"/>
                    <w:rPr>
                      <w:rFonts w:hint="default"/>
                    </w:rPr>
                  </w:pPr>
                  <w:r>
                    <w:t>0.012</w:t>
                  </w:r>
                </w:p>
              </w:tc>
              <w:tc>
                <w:tcPr>
                  <w:tcW w:w="574" w:type="pct"/>
                  <w:tcBorders>
                    <w:top w:val="single" w:color="000000" w:sz="8" w:space="0"/>
                    <w:left w:val="single" w:color="000000" w:sz="8" w:space="0"/>
                    <w:bottom w:val="single" w:color="000000" w:sz="8" w:space="0"/>
                    <w:right w:val="nil"/>
                  </w:tcBorders>
                  <w:vAlign w:val="center"/>
                </w:tcPr>
                <w:p w14:paraId="20227E1A">
                  <w:pPr>
                    <w:pStyle w:val="83"/>
                    <w:rPr>
                      <w:rFonts w:hint="default"/>
                    </w:rPr>
                  </w:pPr>
                  <w:r>
                    <w:t>0.006</w:t>
                  </w:r>
                </w:p>
              </w:tc>
            </w:tr>
            <w:tr w14:paraId="5DCBC2B6">
              <w:tblPrEx>
                <w:tblCellMar>
                  <w:top w:w="0" w:type="dxa"/>
                  <w:left w:w="108" w:type="dxa"/>
                  <w:bottom w:w="0" w:type="dxa"/>
                  <w:right w:w="108" w:type="dxa"/>
                </w:tblCellMar>
              </w:tblPrEx>
              <w:trPr>
                <w:trHeight w:val="340" w:hRule="atLeast"/>
                <w:jc w:val="center"/>
              </w:trPr>
              <w:tc>
                <w:tcPr>
                  <w:tcW w:w="305" w:type="pct"/>
                  <w:vMerge w:val="continue"/>
                  <w:tcBorders>
                    <w:left w:val="nil"/>
                    <w:right w:val="single" w:color="000000" w:sz="8" w:space="0"/>
                  </w:tcBorders>
                  <w:vAlign w:val="center"/>
                </w:tcPr>
                <w:p w14:paraId="1B07B3BA">
                  <w:pPr>
                    <w:pStyle w:val="83"/>
                    <w:rPr>
                      <w:rFonts w:hint="default"/>
                    </w:rPr>
                  </w:pPr>
                </w:p>
              </w:tc>
              <w:tc>
                <w:tcPr>
                  <w:tcW w:w="678" w:type="pct"/>
                  <w:tcBorders>
                    <w:top w:val="single" w:color="000000" w:sz="8" w:space="0"/>
                    <w:left w:val="single" w:color="000000" w:sz="8" w:space="0"/>
                    <w:bottom w:val="single" w:color="000000" w:sz="8" w:space="0"/>
                    <w:right w:val="single" w:color="000000" w:sz="8" w:space="0"/>
                  </w:tcBorders>
                  <w:vAlign w:val="center"/>
                </w:tcPr>
                <w:p w14:paraId="1186B0C1">
                  <w:pPr>
                    <w:pStyle w:val="83"/>
                    <w:rPr>
                      <w:rFonts w:hint="default"/>
                    </w:rPr>
                  </w:pPr>
                  <w:r>
                    <w:t>FJD01005</w:t>
                  </w:r>
                </w:p>
              </w:tc>
              <w:tc>
                <w:tcPr>
                  <w:tcW w:w="650" w:type="pct"/>
                  <w:tcBorders>
                    <w:top w:val="single" w:color="000000" w:sz="8" w:space="0"/>
                    <w:left w:val="single" w:color="000000" w:sz="8" w:space="0"/>
                    <w:bottom w:val="single" w:color="000000" w:sz="8" w:space="0"/>
                    <w:right w:val="single" w:color="000000" w:sz="8" w:space="0"/>
                  </w:tcBorders>
                  <w:vAlign w:val="center"/>
                </w:tcPr>
                <w:p w14:paraId="773788D8">
                  <w:pPr>
                    <w:pStyle w:val="83"/>
                    <w:rPr>
                      <w:rFonts w:hint="default"/>
                    </w:rPr>
                  </w:pPr>
                  <w:r>
                    <w:t>2025.7</w:t>
                  </w:r>
                </w:p>
              </w:tc>
              <w:tc>
                <w:tcPr>
                  <w:tcW w:w="591" w:type="pct"/>
                  <w:tcBorders>
                    <w:top w:val="single" w:color="000000" w:sz="8" w:space="0"/>
                    <w:left w:val="single" w:color="000000" w:sz="8" w:space="0"/>
                    <w:bottom w:val="single" w:color="000000" w:sz="8" w:space="0"/>
                    <w:right w:val="single" w:color="000000" w:sz="8" w:space="0"/>
                  </w:tcBorders>
                  <w:vAlign w:val="center"/>
                </w:tcPr>
                <w:p w14:paraId="2889B12B">
                  <w:pPr>
                    <w:pStyle w:val="83"/>
                    <w:rPr>
                      <w:rFonts w:hint="default"/>
                    </w:rPr>
                  </w:pPr>
                  <w:r>
                    <w:t>8.06</w:t>
                  </w:r>
                </w:p>
              </w:tc>
              <w:tc>
                <w:tcPr>
                  <w:tcW w:w="581" w:type="pct"/>
                  <w:tcBorders>
                    <w:top w:val="single" w:color="000000" w:sz="8" w:space="0"/>
                    <w:left w:val="single" w:color="000000" w:sz="8" w:space="0"/>
                    <w:bottom w:val="single" w:color="000000" w:sz="8" w:space="0"/>
                    <w:right w:val="single" w:color="000000" w:sz="8" w:space="0"/>
                  </w:tcBorders>
                  <w:vAlign w:val="center"/>
                </w:tcPr>
                <w:p w14:paraId="455E8B46">
                  <w:pPr>
                    <w:pStyle w:val="83"/>
                    <w:rPr>
                      <w:rFonts w:hint="default"/>
                    </w:rPr>
                  </w:pPr>
                  <w:r>
                    <w:t>6.44</w:t>
                  </w:r>
                </w:p>
              </w:tc>
              <w:tc>
                <w:tcPr>
                  <w:tcW w:w="530" w:type="pct"/>
                  <w:tcBorders>
                    <w:top w:val="single" w:color="000000" w:sz="8" w:space="0"/>
                    <w:left w:val="single" w:color="000000" w:sz="8" w:space="0"/>
                    <w:bottom w:val="single" w:color="000000" w:sz="8" w:space="0"/>
                    <w:right w:val="single" w:color="000000" w:sz="8" w:space="0"/>
                  </w:tcBorders>
                  <w:vAlign w:val="center"/>
                </w:tcPr>
                <w:p w14:paraId="5711CF4D">
                  <w:pPr>
                    <w:pStyle w:val="83"/>
                    <w:rPr>
                      <w:rFonts w:hint="default"/>
                    </w:rPr>
                  </w:pPr>
                  <w:r>
                    <w:t>0.33</w:t>
                  </w:r>
                </w:p>
              </w:tc>
              <w:tc>
                <w:tcPr>
                  <w:tcW w:w="547" w:type="pct"/>
                  <w:tcBorders>
                    <w:top w:val="single" w:color="000000" w:sz="8" w:space="0"/>
                    <w:left w:val="single" w:color="000000" w:sz="8" w:space="0"/>
                    <w:bottom w:val="single" w:color="000000" w:sz="8" w:space="0"/>
                    <w:right w:val="single" w:color="000000" w:sz="8" w:space="0"/>
                  </w:tcBorders>
                  <w:vAlign w:val="center"/>
                </w:tcPr>
                <w:p w14:paraId="614A92C4">
                  <w:pPr>
                    <w:pStyle w:val="83"/>
                    <w:rPr>
                      <w:rFonts w:hint="default"/>
                    </w:rPr>
                  </w:pPr>
                  <w:r>
                    <w:t>0.042</w:t>
                  </w:r>
                </w:p>
              </w:tc>
              <w:tc>
                <w:tcPr>
                  <w:tcW w:w="539" w:type="pct"/>
                  <w:tcBorders>
                    <w:top w:val="single" w:color="000000" w:sz="8" w:space="0"/>
                    <w:left w:val="single" w:color="000000" w:sz="8" w:space="0"/>
                    <w:bottom w:val="single" w:color="000000" w:sz="8" w:space="0"/>
                    <w:right w:val="single" w:color="000000" w:sz="8" w:space="0"/>
                  </w:tcBorders>
                  <w:vAlign w:val="center"/>
                </w:tcPr>
                <w:p w14:paraId="04ED4239">
                  <w:pPr>
                    <w:pStyle w:val="83"/>
                    <w:rPr>
                      <w:rFonts w:hint="default"/>
                    </w:rPr>
                  </w:pPr>
                  <w:r>
                    <w:t>0.003</w:t>
                  </w:r>
                </w:p>
              </w:tc>
              <w:tc>
                <w:tcPr>
                  <w:tcW w:w="574" w:type="pct"/>
                  <w:tcBorders>
                    <w:top w:val="single" w:color="000000" w:sz="8" w:space="0"/>
                    <w:left w:val="single" w:color="000000" w:sz="8" w:space="0"/>
                    <w:bottom w:val="single" w:color="000000" w:sz="8" w:space="0"/>
                    <w:right w:val="nil"/>
                  </w:tcBorders>
                  <w:vAlign w:val="center"/>
                </w:tcPr>
                <w:p w14:paraId="1D123018">
                  <w:pPr>
                    <w:pStyle w:val="83"/>
                    <w:rPr>
                      <w:rFonts w:hint="default"/>
                    </w:rPr>
                  </w:pPr>
                  <w:r>
                    <w:t>0.0111</w:t>
                  </w:r>
                </w:p>
              </w:tc>
            </w:tr>
            <w:tr w14:paraId="06FA30E2">
              <w:tblPrEx>
                <w:tblCellMar>
                  <w:top w:w="0" w:type="dxa"/>
                  <w:left w:w="108" w:type="dxa"/>
                  <w:bottom w:w="0" w:type="dxa"/>
                  <w:right w:w="108" w:type="dxa"/>
                </w:tblCellMar>
              </w:tblPrEx>
              <w:trPr>
                <w:trHeight w:val="340" w:hRule="atLeast"/>
                <w:jc w:val="center"/>
              </w:trPr>
              <w:tc>
                <w:tcPr>
                  <w:tcW w:w="305" w:type="pct"/>
                  <w:vMerge w:val="continue"/>
                  <w:tcBorders>
                    <w:left w:val="nil"/>
                    <w:bottom w:val="single" w:color="000000" w:sz="8" w:space="0"/>
                    <w:right w:val="single" w:color="000000" w:sz="8" w:space="0"/>
                  </w:tcBorders>
                  <w:vAlign w:val="center"/>
                </w:tcPr>
                <w:p w14:paraId="6CF9B095">
                  <w:pPr>
                    <w:pStyle w:val="83"/>
                    <w:rPr>
                      <w:rFonts w:hint="default"/>
                    </w:rPr>
                  </w:pPr>
                </w:p>
              </w:tc>
              <w:tc>
                <w:tcPr>
                  <w:tcW w:w="678" w:type="pct"/>
                  <w:tcBorders>
                    <w:top w:val="single" w:color="000000" w:sz="8" w:space="0"/>
                    <w:left w:val="single" w:color="000000" w:sz="8" w:space="0"/>
                    <w:bottom w:val="single" w:color="000000" w:sz="8" w:space="0"/>
                    <w:right w:val="single" w:color="000000" w:sz="8" w:space="0"/>
                  </w:tcBorders>
                  <w:vAlign w:val="center"/>
                </w:tcPr>
                <w:p w14:paraId="41F8369F">
                  <w:pPr>
                    <w:pStyle w:val="83"/>
                    <w:rPr>
                      <w:rFonts w:hint="default"/>
                    </w:rPr>
                  </w:pPr>
                  <w:r>
                    <w:t>FJD01006</w:t>
                  </w:r>
                </w:p>
              </w:tc>
              <w:tc>
                <w:tcPr>
                  <w:tcW w:w="650" w:type="pct"/>
                  <w:tcBorders>
                    <w:top w:val="single" w:color="000000" w:sz="8" w:space="0"/>
                    <w:left w:val="single" w:color="000000" w:sz="8" w:space="0"/>
                    <w:bottom w:val="single" w:color="000000" w:sz="8" w:space="0"/>
                    <w:right w:val="single" w:color="000000" w:sz="8" w:space="0"/>
                  </w:tcBorders>
                  <w:vAlign w:val="center"/>
                </w:tcPr>
                <w:p w14:paraId="6A543A37">
                  <w:pPr>
                    <w:pStyle w:val="83"/>
                    <w:rPr>
                      <w:rFonts w:hint="default"/>
                    </w:rPr>
                  </w:pPr>
                  <w:r>
                    <w:t>2025.8</w:t>
                  </w:r>
                </w:p>
              </w:tc>
              <w:tc>
                <w:tcPr>
                  <w:tcW w:w="591" w:type="pct"/>
                  <w:tcBorders>
                    <w:top w:val="single" w:color="000000" w:sz="8" w:space="0"/>
                    <w:left w:val="single" w:color="000000" w:sz="8" w:space="0"/>
                    <w:bottom w:val="single" w:color="000000" w:sz="8" w:space="0"/>
                    <w:right w:val="single" w:color="000000" w:sz="8" w:space="0"/>
                  </w:tcBorders>
                  <w:vAlign w:val="center"/>
                </w:tcPr>
                <w:p w14:paraId="3C4A429F">
                  <w:pPr>
                    <w:pStyle w:val="83"/>
                    <w:rPr>
                      <w:rFonts w:hint="default"/>
                    </w:rPr>
                  </w:pPr>
                  <w:r>
                    <w:t>8.02</w:t>
                  </w:r>
                </w:p>
              </w:tc>
              <w:tc>
                <w:tcPr>
                  <w:tcW w:w="581" w:type="pct"/>
                  <w:tcBorders>
                    <w:top w:val="single" w:color="000000" w:sz="8" w:space="0"/>
                    <w:left w:val="single" w:color="000000" w:sz="8" w:space="0"/>
                    <w:bottom w:val="single" w:color="000000" w:sz="8" w:space="0"/>
                    <w:right w:val="single" w:color="000000" w:sz="8" w:space="0"/>
                  </w:tcBorders>
                  <w:vAlign w:val="center"/>
                </w:tcPr>
                <w:p w14:paraId="07EAA428">
                  <w:pPr>
                    <w:pStyle w:val="83"/>
                    <w:rPr>
                      <w:rFonts w:hint="default"/>
                    </w:rPr>
                  </w:pPr>
                  <w:r>
                    <w:t>5.6</w:t>
                  </w:r>
                </w:p>
              </w:tc>
              <w:tc>
                <w:tcPr>
                  <w:tcW w:w="530" w:type="pct"/>
                  <w:tcBorders>
                    <w:top w:val="single" w:color="000000" w:sz="8" w:space="0"/>
                    <w:left w:val="single" w:color="000000" w:sz="8" w:space="0"/>
                    <w:bottom w:val="single" w:color="000000" w:sz="8" w:space="0"/>
                    <w:right w:val="single" w:color="000000" w:sz="8" w:space="0"/>
                  </w:tcBorders>
                  <w:vAlign w:val="center"/>
                </w:tcPr>
                <w:p w14:paraId="4FA85691">
                  <w:pPr>
                    <w:pStyle w:val="83"/>
                    <w:rPr>
                      <w:rFonts w:hint="default"/>
                    </w:rPr>
                  </w:pPr>
                  <w:r>
                    <w:t>0.49</w:t>
                  </w:r>
                </w:p>
              </w:tc>
              <w:tc>
                <w:tcPr>
                  <w:tcW w:w="547" w:type="pct"/>
                  <w:tcBorders>
                    <w:top w:val="single" w:color="000000" w:sz="8" w:space="0"/>
                    <w:left w:val="single" w:color="000000" w:sz="8" w:space="0"/>
                    <w:bottom w:val="single" w:color="000000" w:sz="8" w:space="0"/>
                    <w:right w:val="single" w:color="000000" w:sz="8" w:space="0"/>
                  </w:tcBorders>
                  <w:vAlign w:val="center"/>
                </w:tcPr>
                <w:p w14:paraId="080DCFD2">
                  <w:pPr>
                    <w:pStyle w:val="83"/>
                    <w:rPr>
                      <w:rFonts w:hint="default"/>
                    </w:rPr>
                  </w:pPr>
                  <w:r>
                    <w:t>0.129</w:t>
                  </w:r>
                </w:p>
              </w:tc>
              <w:tc>
                <w:tcPr>
                  <w:tcW w:w="539" w:type="pct"/>
                  <w:tcBorders>
                    <w:top w:val="single" w:color="000000" w:sz="8" w:space="0"/>
                    <w:left w:val="single" w:color="000000" w:sz="8" w:space="0"/>
                    <w:bottom w:val="single" w:color="000000" w:sz="8" w:space="0"/>
                    <w:right w:val="single" w:color="000000" w:sz="8" w:space="0"/>
                  </w:tcBorders>
                  <w:vAlign w:val="center"/>
                </w:tcPr>
                <w:p w14:paraId="14EA6849">
                  <w:pPr>
                    <w:pStyle w:val="83"/>
                    <w:rPr>
                      <w:rFonts w:hint="default"/>
                    </w:rPr>
                  </w:pPr>
                  <w:r>
                    <w:t>0.012</w:t>
                  </w:r>
                </w:p>
              </w:tc>
              <w:tc>
                <w:tcPr>
                  <w:tcW w:w="574" w:type="pct"/>
                  <w:tcBorders>
                    <w:top w:val="single" w:color="000000" w:sz="8" w:space="0"/>
                    <w:left w:val="single" w:color="000000" w:sz="8" w:space="0"/>
                    <w:bottom w:val="single" w:color="000000" w:sz="8" w:space="0"/>
                    <w:right w:val="nil"/>
                  </w:tcBorders>
                  <w:vAlign w:val="center"/>
                </w:tcPr>
                <w:p w14:paraId="7FAF6672">
                  <w:pPr>
                    <w:pStyle w:val="83"/>
                    <w:rPr>
                      <w:rFonts w:hint="default"/>
                    </w:rPr>
                  </w:pPr>
                  <w:r>
                    <w:t>0.02</w:t>
                  </w:r>
                </w:p>
              </w:tc>
            </w:tr>
            <w:tr w14:paraId="5B5B6ABA">
              <w:tblPrEx>
                <w:tblCellMar>
                  <w:top w:w="0" w:type="dxa"/>
                  <w:left w:w="108" w:type="dxa"/>
                  <w:bottom w:w="0" w:type="dxa"/>
                  <w:right w:w="108" w:type="dxa"/>
                </w:tblCellMar>
              </w:tblPrEx>
              <w:trPr>
                <w:trHeight w:val="340" w:hRule="atLeast"/>
                <w:jc w:val="center"/>
              </w:trPr>
              <w:tc>
                <w:tcPr>
                  <w:tcW w:w="305" w:type="pct"/>
                  <w:vMerge w:val="restart"/>
                  <w:tcBorders>
                    <w:top w:val="single" w:color="000000" w:sz="8" w:space="0"/>
                    <w:left w:val="nil"/>
                    <w:right w:val="single" w:color="000000" w:sz="8" w:space="0"/>
                  </w:tcBorders>
                  <w:vAlign w:val="center"/>
                </w:tcPr>
                <w:p w14:paraId="4731FF2E">
                  <w:pPr>
                    <w:pStyle w:val="83"/>
                    <w:rPr>
                      <w:rFonts w:hint="default"/>
                    </w:rPr>
                  </w:pPr>
                  <w:r>
                    <w:t>平水期</w:t>
                  </w:r>
                </w:p>
              </w:tc>
              <w:tc>
                <w:tcPr>
                  <w:tcW w:w="678" w:type="pct"/>
                  <w:tcBorders>
                    <w:top w:val="single" w:color="000000" w:sz="8" w:space="0"/>
                    <w:left w:val="single" w:color="000000" w:sz="8" w:space="0"/>
                    <w:bottom w:val="single" w:color="000000" w:sz="8" w:space="0"/>
                    <w:right w:val="single" w:color="000000" w:sz="8" w:space="0"/>
                  </w:tcBorders>
                  <w:vAlign w:val="center"/>
                </w:tcPr>
                <w:p w14:paraId="64176093">
                  <w:pPr>
                    <w:pStyle w:val="83"/>
                    <w:rPr>
                      <w:rFonts w:hint="default"/>
                    </w:rPr>
                  </w:pPr>
                  <w:r>
                    <w:t>FJD01004</w:t>
                  </w:r>
                </w:p>
              </w:tc>
              <w:tc>
                <w:tcPr>
                  <w:tcW w:w="650" w:type="pct"/>
                  <w:tcBorders>
                    <w:top w:val="single" w:color="000000" w:sz="8" w:space="0"/>
                    <w:left w:val="single" w:color="000000" w:sz="8" w:space="0"/>
                    <w:bottom w:val="single" w:color="000000" w:sz="8" w:space="0"/>
                    <w:right w:val="single" w:color="000000" w:sz="8" w:space="0"/>
                  </w:tcBorders>
                  <w:vAlign w:val="center"/>
                </w:tcPr>
                <w:p w14:paraId="6FE0D193">
                  <w:pPr>
                    <w:pStyle w:val="83"/>
                    <w:rPr>
                      <w:rFonts w:hint="default"/>
                    </w:rPr>
                  </w:pPr>
                  <w:r>
                    <w:t>2025.4</w:t>
                  </w:r>
                </w:p>
              </w:tc>
              <w:tc>
                <w:tcPr>
                  <w:tcW w:w="591" w:type="pct"/>
                  <w:tcBorders>
                    <w:top w:val="single" w:color="000000" w:sz="8" w:space="0"/>
                    <w:left w:val="single" w:color="000000" w:sz="8" w:space="0"/>
                    <w:bottom w:val="single" w:color="000000" w:sz="8" w:space="0"/>
                    <w:right w:val="single" w:color="000000" w:sz="8" w:space="0"/>
                  </w:tcBorders>
                  <w:vAlign w:val="center"/>
                </w:tcPr>
                <w:p w14:paraId="1ED4DD01">
                  <w:pPr>
                    <w:pStyle w:val="83"/>
                    <w:rPr>
                      <w:rFonts w:hint="default"/>
                    </w:rPr>
                  </w:pPr>
                  <w:r>
                    <w:t>8.22</w:t>
                  </w:r>
                </w:p>
              </w:tc>
              <w:tc>
                <w:tcPr>
                  <w:tcW w:w="581" w:type="pct"/>
                  <w:tcBorders>
                    <w:top w:val="single" w:color="000000" w:sz="8" w:space="0"/>
                    <w:left w:val="single" w:color="000000" w:sz="8" w:space="0"/>
                    <w:bottom w:val="single" w:color="000000" w:sz="8" w:space="0"/>
                    <w:right w:val="single" w:color="000000" w:sz="8" w:space="0"/>
                  </w:tcBorders>
                  <w:vAlign w:val="center"/>
                </w:tcPr>
                <w:p w14:paraId="672F38B7">
                  <w:pPr>
                    <w:pStyle w:val="83"/>
                    <w:rPr>
                      <w:rFonts w:hint="default"/>
                    </w:rPr>
                  </w:pPr>
                  <w:r>
                    <w:t>7.36</w:t>
                  </w:r>
                </w:p>
              </w:tc>
              <w:tc>
                <w:tcPr>
                  <w:tcW w:w="530" w:type="pct"/>
                  <w:tcBorders>
                    <w:top w:val="single" w:color="000000" w:sz="8" w:space="0"/>
                    <w:left w:val="single" w:color="000000" w:sz="8" w:space="0"/>
                    <w:bottom w:val="single" w:color="000000" w:sz="8" w:space="0"/>
                    <w:right w:val="single" w:color="000000" w:sz="8" w:space="0"/>
                  </w:tcBorders>
                  <w:vAlign w:val="center"/>
                </w:tcPr>
                <w:p w14:paraId="199FBE04">
                  <w:pPr>
                    <w:pStyle w:val="83"/>
                    <w:rPr>
                      <w:rFonts w:hint="default"/>
                    </w:rPr>
                  </w:pPr>
                  <w:r>
                    <w:t>0.52</w:t>
                  </w:r>
                </w:p>
              </w:tc>
              <w:tc>
                <w:tcPr>
                  <w:tcW w:w="547" w:type="pct"/>
                  <w:tcBorders>
                    <w:top w:val="single" w:color="000000" w:sz="8" w:space="0"/>
                    <w:left w:val="single" w:color="000000" w:sz="8" w:space="0"/>
                    <w:bottom w:val="single" w:color="000000" w:sz="8" w:space="0"/>
                    <w:right w:val="single" w:color="000000" w:sz="8" w:space="0"/>
                  </w:tcBorders>
                  <w:vAlign w:val="center"/>
                </w:tcPr>
                <w:p w14:paraId="20496AC2">
                  <w:pPr>
                    <w:pStyle w:val="83"/>
                    <w:rPr>
                      <w:rFonts w:hint="default"/>
                    </w:rPr>
                  </w:pPr>
                  <w:r>
                    <w:t>0.064</w:t>
                  </w:r>
                </w:p>
              </w:tc>
              <w:tc>
                <w:tcPr>
                  <w:tcW w:w="539" w:type="pct"/>
                  <w:tcBorders>
                    <w:top w:val="single" w:color="000000" w:sz="8" w:space="0"/>
                    <w:left w:val="single" w:color="000000" w:sz="8" w:space="0"/>
                    <w:bottom w:val="single" w:color="000000" w:sz="8" w:space="0"/>
                    <w:right w:val="single" w:color="000000" w:sz="8" w:space="0"/>
                  </w:tcBorders>
                  <w:vAlign w:val="center"/>
                </w:tcPr>
                <w:p w14:paraId="3B915D02">
                  <w:pPr>
                    <w:pStyle w:val="83"/>
                    <w:rPr>
                      <w:rFonts w:hint="default"/>
                    </w:rPr>
                  </w:pPr>
                  <w:r>
                    <w:t>0.002</w:t>
                  </w:r>
                </w:p>
              </w:tc>
              <w:tc>
                <w:tcPr>
                  <w:tcW w:w="574" w:type="pct"/>
                  <w:tcBorders>
                    <w:top w:val="single" w:color="000000" w:sz="8" w:space="0"/>
                    <w:left w:val="single" w:color="000000" w:sz="8" w:space="0"/>
                    <w:bottom w:val="single" w:color="000000" w:sz="8" w:space="0"/>
                    <w:right w:val="nil"/>
                  </w:tcBorders>
                  <w:vAlign w:val="center"/>
                </w:tcPr>
                <w:p w14:paraId="52A9E8F9">
                  <w:pPr>
                    <w:pStyle w:val="83"/>
                    <w:rPr>
                      <w:rFonts w:hint="default"/>
                    </w:rPr>
                  </w:pPr>
                  <w:r>
                    <w:t>0.0010L</w:t>
                  </w:r>
                </w:p>
              </w:tc>
            </w:tr>
            <w:tr w14:paraId="632209C1">
              <w:tblPrEx>
                <w:tblCellMar>
                  <w:top w:w="0" w:type="dxa"/>
                  <w:left w:w="108" w:type="dxa"/>
                  <w:bottom w:w="0" w:type="dxa"/>
                  <w:right w:w="108" w:type="dxa"/>
                </w:tblCellMar>
              </w:tblPrEx>
              <w:trPr>
                <w:trHeight w:val="340" w:hRule="atLeast"/>
                <w:jc w:val="center"/>
              </w:trPr>
              <w:tc>
                <w:tcPr>
                  <w:tcW w:w="305" w:type="pct"/>
                  <w:vMerge w:val="continue"/>
                  <w:tcBorders>
                    <w:left w:val="nil"/>
                    <w:right w:val="single" w:color="000000" w:sz="8" w:space="0"/>
                  </w:tcBorders>
                  <w:vAlign w:val="center"/>
                </w:tcPr>
                <w:p w14:paraId="5D1A4C57">
                  <w:pPr>
                    <w:pStyle w:val="83"/>
                    <w:rPr>
                      <w:rFonts w:hint="default"/>
                    </w:rPr>
                  </w:pPr>
                </w:p>
              </w:tc>
              <w:tc>
                <w:tcPr>
                  <w:tcW w:w="678" w:type="pct"/>
                  <w:tcBorders>
                    <w:top w:val="single" w:color="000000" w:sz="8" w:space="0"/>
                    <w:left w:val="single" w:color="000000" w:sz="8" w:space="0"/>
                    <w:bottom w:val="single" w:color="000000" w:sz="8" w:space="0"/>
                    <w:right w:val="single" w:color="000000" w:sz="8" w:space="0"/>
                  </w:tcBorders>
                  <w:vAlign w:val="center"/>
                </w:tcPr>
                <w:p w14:paraId="54EF9F96">
                  <w:pPr>
                    <w:pStyle w:val="83"/>
                    <w:rPr>
                      <w:rFonts w:hint="default"/>
                    </w:rPr>
                  </w:pPr>
                  <w:r>
                    <w:t>FJD01005</w:t>
                  </w:r>
                </w:p>
              </w:tc>
              <w:tc>
                <w:tcPr>
                  <w:tcW w:w="650" w:type="pct"/>
                  <w:tcBorders>
                    <w:top w:val="single" w:color="000000" w:sz="8" w:space="0"/>
                    <w:left w:val="single" w:color="000000" w:sz="8" w:space="0"/>
                    <w:bottom w:val="single" w:color="000000" w:sz="8" w:space="0"/>
                    <w:right w:val="single" w:color="000000" w:sz="8" w:space="0"/>
                  </w:tcBorders>
                  <w:vAlign w:val="center"/>
                </w:tcPr>
                <w:p w14:paraId="07CA329C">
                  <w:pPr>
                    <w:pStyle w:val="83"/>
                    <w:rPr>
                      <w:rFonts w:hint="default"/>
                    </w:rPr>
                  </w:pPr>
                  <w:r>
                    <w:t>2025.4</w:t>
                  </w:r>
                </w:p>
              </w:tc>
              <w:tc>
                <w:tcPr>
                  <w:tcW w:w="591" w:type="pct"/>
                  <w:tcBorders>
                    <w:top w:val="single" w:color="000000" w:sz="8" w:space="0"/>
                    <w:left w:val="single" w:color="000000" w:sz="8" w:space="0"/>
                    <w:bottom w:val="single" w:color="000000" w:sz="8" w:space="0"/>
                    <w:right w:val="single" w:color="000000" w:sz="8" w:space="0"/>
                  </w:tcBorders>
                  <w:vAlign w:val="center"/>
                </w:tcPr>
                <w:p w14:paraId="73043A79">
                  <w:pPr>
                    <w:pStyle w:val="83"/>
                    <w:rPr>
                      <w:rFonts w:hint="default"/>
                    </w:rPr>
                  </w:pPr>
                  <w:r>
                    <w:t>8.04</w:t>
                  </w:r>
                </w:p>
              </w:tc>
              <w:tc>
                <w:tcPr>
                  <w:tcW w:w="581" w:type="pct"/>
                  <w:tcBorders>
                    <w:top w:val="single" w:color="000000" w:sz="8" w:space="0"/>
                    <w:left w:val="single" w:color="000000" w:sz="8" w:space="0"/>
                    <w:bottom w:val="single" w:color="000000" w:sz="8" w:space="0"/>
                    <w:right w:val="single" w:color="000000" w:sz="8" w:space="0"/>
                  </w:tcBorders>
                  <w:vAlign w:val="center"/>
                </w:tcPr>
                <w:p w14:paraId="04442FD1">
                  <w:pPr>
                    <w:pStyle w:val="83"/>
                    <w:rPr>
                      <w:rFonts w:hint="default"/>
                    </w:rPr>
                  </w:pPr>
                  <w:r>
                    <w:t>7.02</w:t>
                  </w:r>
                </w:p>
              </w:tc>
              <w:tc>
                <w:tcPr>
                  <w:tcW w:w="530" w:type="pct"/>
                  <w:tcBorders>
                    <w:top w:val="single" w:color="000000" w:sz="8" w:space="0"/>
                    <w:left w:val="single" w:color="000000" w:sz="8" w:space="0"/>
                    <w:bottom w:val="single" w:color="000000" w:sz="8" w:space="0"/>
                    <w:right w:val="single" w:color="000000" w:sz="8" w:space="0"/>
                  </w:tcBorders>
                  <w:vAlign w:val="center"/>
                </w:tcPr>
                <w:p w14:paraId="46EB2224">
                  <w:pPr>
                    <w:pStyle w:val="83"/>
                    <w:rPr>
                      <w:rFonts w:hint="default"/>
                    </w:rPr>
                  </w:pPr>
                  <w:r>
                    <w:t>0.28</w:t>
                  </w:r>
                </w:p>
              </w:tc>
              <w:tc>
                <w:tcPr>
                  <w:tcW w:w="547" w:type="pct"/>
                  <w:tcBorders>
                    <w:top w:val="single" w:color="000000" w:sz="8" w:space="0"/>
                    <w:left w:val="single" w:color="000000" w:sz="8" w:space="0"/>
                    <w:bottom w:val="single" w:color="000000" w:sz="8" w:space="0"/>
                    <w:right w:val="single" w:color="000000" w:sz="8" w:space="0"/>
                  </w:tcBorders>
                  <w:vAlign w:val="center"/>
                </w:tcPr>
                <w:p w14:paraId="4589A847">
                  <w:pPr>
                    <w:pStyle w:val="83"/>
                    <w:rPr>
                      <w:rFonts w:hint="default"/>
                    </w:rPr>
                  </w:pPr>
                  <w:r>
                    <w:t>0.059</w:t>
                  </w:r>
                </w:p>
              </w:tc>
              <w:tc>
                <w:tcPr>
                  <w:tcW w:w="539" w:type="pct"/>
                  <w:tcBorders>
                    <w:top w:val="single" w:color="000000" w:sz="8" w:space="0"/>
                    <w:left w:val="single" w:color="000000" w:sz="8" w:space="0"/>
                    <w:bottom w:val="single" w:color="000000" w:sz="8" w:space="0"/>
                    <w:right w:val="single" w:color="000000" w:sz="8" w:space="0"/>
                  </w:tcBorders>
                  <w:vAlign w:val="center"/>
                </w:tcPr>
                <w:p w14:paraId="4D098688">
                  <w:pPr>
                    <w:pStyle w:val="83"/>
                    <w:rPr>
                      <w:rFonts w:hint="default"/>
                    </w:rPr>
                  </w:pPr>
                  <w:r>
                    <w:t>0.003</w:t>
                  </w:r>
                </w:p>
              </w:tc>
              <w:tc>
                <w:tcPr>
                  <w:tcW w:w="574" w:type="pct"/>
                  <w:tcBorders>
                    <w:top w:val="single" w:color="000000" w:sz="8" w:space="0"/>
                    <w:left w:val="single" w:color="000000" w:sz="8" w:space="0"/>
                    <w:bottom w:val="single" w:color="000000" w:sz="8" w:space="0"/>
                    <w:right w:val="nil"/>
                  </w:tcBorders>
                  <w:vAlign w:val="center"/>
                </w:tcPr>
                <w:p w14:paraId="017AE7FA">
                  <w:pPr>
                    <w:pStyle w:val="83"/>
                    <w:rPr>
                      <w:rFonts w:hint="default"/>
                    </w:rPr>
                  </w:pPr>
                  <w:r>
                    <w:t>0.0010L</w:t>
                  </w:r>
                </w:p>
              </w:tc>
            </w:tr>
            <w:tr w14:paraId="539CB6DF">
              <w:tblPrEx>
                <w:tblCellMar>
                  <w:top w:w="0" w:type="dxa"/>
                  <w:left w:w="108" w:type="dxa"/>
                  <w:bottom w:w="0" w:type="dxa"/>
                  <w:right w:w="108" w:type="dxa"/>
                </w:tblCellMar>
              </w:tblPrEx>
              <w:trPr>
                <w:trHeight w:val="340" w:hRule="atLeast"/>
                <w:jc w:val="center"/>
              </w:trPr>
              <w:tc>
                <w:tcPr>
                  <w:tcW w:w="305" w:type="pct"/>
                  <w:vMerge w:val="continue"/>
                  <w:tcBorders>
                    <w:left w:val="nil"/>
                    <w:bottom w:val="single" w:color="000000" w:sz="8" w:space="0"/>
                    <w:right w:val="single" w:color="000000" w:sz="8" w:space="0"/>
                  </w:tcBorders>
                  <w:vAlign w:val="center"/>
                </w:tcPr>
                <w:p w14:paraId="2BDD2A33">
                  <w:pPr>
                    <w:pStyle w:val="83"/>
                    <w:rPr>
                      <w:rFonts w:hint="default"/>
                    </w:rPr>
                  </w:pPr>
                </w:p>
              </w:tc>
              <w:tc>
                <w:tcPr>
                  <w:tcW w:w="678" w:type="pct"/>
                  <w:tcBorders>
                    <w:top w:val="single" w:color="000000" w:sz="8" w:space="0"/>
                    <w:left w:val="single" w:color="000000" w:sz="8" w:space="0"/>
                    <w:bottom w:val="single" w:color="000000" w:sz="8" w:space="0"/>
                    <w:right w:val="single" w:color="000000" w:sz="8" w:space="0"/>
                  </w:tcBorders>
                  <w:vAlign w:val="center"/>
                </w:tcPr>
                <w:p w14:paraId="5EA8B9D9">
                  <w:pPr>
                    <w:pStyle w:val="83"/>
                    <w:rPr>
                      <w:rFonts w:hint="default"/>
                    </w:rPr>
                  </w:pPr>
                  <w:r>
                    <w:t>FJD01006</w:t>
                  </w:r>
                </w:p>
              </w:tc>
              <w:tc>
                <w:tcPr>
                  <w:tcW w:w="650" w:type="pct"/>
                  <w:tcBorders>
                    <w:top w:val="single" w:color="000000" w:sz="8" w:space="0"/>
                    <w:left w:val="single" w:color="000000" w:sz="8" w:space="0"/>
                    <w:bottom w:val="single" w:color="000000" w:sz="8" w:space="0"/>
                    <w:right w:val="single" w:color="000000" w:sz="8" w:space="0"/>
                  </w:tcBorders>
                  <w:vAlign w:val="center"/>
                </w:tcPr>
                <w:p w14:paraId="09EE9313">
                  <w:pPr>
                    <w:pStyle w:val="83"/>
                    <w:rPr>
                      <w:rFonts w:hint="default"/>
                    </w:rPr>
                  </w:pPr>
                  <w:r>
                    <w:t>2025.5</w:t>
                  </w:r>
                </w:p>
              </w:tc>
              <w:tc>
                <w:tcPr>
                  <w:tcW w:w="591" w:type="pct"/>
                  <w:tcBorders>
                    <w:top w:val="single" w:color="000000" w:sz="8" w:space="0"/>
                    <w:left w:val="single" w:color="000000" w:sz="8" w:space="0"/>
                    <w:bottom w:val="single" w:color="000000" w:sz="8" w:space="0"/>
                    <w:right w:val="single" w:color="000000" w:sz="8" w:space="0"/>
                  </w:tcBorders>
                  <w:vAlign w:val="center"/>
                </w:tcPr>
                <w:p w14:paraId="208D0031">
                  <w:pPr>
                    <w:pStyle w:val="83"/>
                    <w:rPr>
                      <w:rFonts w:hint="default"/>
                    </w:rPr>
                  </w:pPr>
                  <w:r>
                    <w:t>8.16</w:t>
                  </w:r>
                </w:p>
              </w:tc>
              <w:tc>
                <w:tcPr>
                  <w:tcW w:w="581" w:type="pct"/>
                  <w:tcBorders>
                    <w:top w:val="single" w:color="000000" w:sz="8" w:space="0"/>
                    <w:left w:val="single" w:color="000000" w:sz="8" w:space="0"/>
                    <w:bottom w:val="single" w:color="000000" w:sz="8" w:space="0"/>
                    <w:right w:val="single" w:color="000000" w:sz="8" w:space="0"/>
                  </w:tcBorders>
                  <w:vAlign w:val="center"/>
                </w:tcPr>
                <w:p w14:paraId="5C4D2BCB">
                  <w:pPr>
                    <w:pStyle w:val="83"/>
                    <w:rPr>
                      <w:rFonts w:hint="default"/>
                    </w:rPr>
                  </w:pPr>
                  <w:r>
                    <w:t>6.98</w:t>
                  </w:r>
                </w:p>
              </w:tc>
              <w:tc>
                <w:tcPr>
                  <w:tcW w:w="530" w:type="pct"/>
                  <w:tcBorders>
                    <w:top w:val="single" w:color="000000" w:sz="8" w:space="0"/>
                    <w:left w:val="single" w:color="000000" w:sz="8" w:space="0"/>
                    <w:bottom w:val="single" w:color="000000" w:sz="8" w:space="0"/>
                    <w:right w:val="single" w:color="000000" w:sz="8" w:space="0"/>
                  </w:tcBorders>
                  <w:vAlign w:val="center"/>
                </w:tcPr>
                <w:p w14:paraId="1795FC57">
                  <w:pPr>
                    <w:pStyle w:val="83"/>
                    <w:rPr>
                      <w:rFonts w:hint="default"/>
                    </w:rPr>
                  </w:pPr>
                  <w:r>
                    <w:t>0.39</w:t>
                  </w:r>
                </w:p>
              </w:tc>
              <w:tc>
                <w:tcPr>
                  <w:tcW w:w="547" w:type="pct"/>
                  <w:tcBorders>
                    <w:top w:val="single" w:color="000000" w:sz="8" w:space="0"/>
                    <w:left w:val="single" w:color="000000" w:sz="8" w:space="0"/>
                    <w:bottom w:val="single" w:color="000000" w:sz="8" w:space="0"/>
                    <w:right w:val="single" w:color="000000" w:sz="8" w:space="0"/>
                  </w:tcBorders>
                  <w:vAlign w:val="center"/>
                </w:tcPr>
                <w:p w14:paraId="6FFE572A">
                  <w:pPr>
                    <w:pStyle w:val="83"/>
                    <w:rPr>
                      <w:rFonts w:hint="default"/>
                    </w:rPr>
                  </w:pPr>
                  <w:r>
                    <w:t>0.204</w:t>
                  </w:r>
                </w:p>
              </w:tc>
              <w:tc>
                <w:tcPr>
                  <w:tcW w:w="539" w:type="pct"/>
                  <w:tcBorders>
                    <w:top w:val="single" w:color="000000" w:sz="8" w:space="0"/>
                    <w:left w:val="single" w:color="000000" w:sz="8" w:space="0"/>
                    <w:bottom w:val="single" w:color="000000" w:sz="8" w:space="0"/>
                    <w:right w:val="single" w:color="000000" w:sz="8" w:space="0"/>
                  </w:tcBorders>
                  <w:vAlign w:val="center"/>
                </w:tcPr>
                <w:p w14:paraId="0B62E3FE">
                  <w:pPr>
                    <w:pStyle w:val="83"/>
                    <w:rPr>
                      <w:rFonts w:hint="default"/>
                    </w:rPr>
                  </w:pPr>
                  <w:r>
                    <w:t>0.011</w:t>
                  </w:r>
                </w:p>
              </w:tc>
              <w:tc>
                <w:tcPr>
                  <w:tcW w:w="574" w:type="pct"/>
                  <w:tcBorders>
                    <w:top w:val="single" w:color="000000" w:sz="8" w:space="0"/>
                    <w:left w:val="single" w:color="000000" w:sz="8" w:space="0"/>
                    <w:bottom w:val="single" w:color="000000" w:sz="8" w:space="0"/>
                    <w:right w:val="nil"/>
                  </w:tcBorders>
                  <w:vAlign w:val="center"/>
                </w:tcPr>
                <w:p w14:paraId="6BD132F4">
                  <w:pPr>
                    <w:pStyle w:val="83"/>
                    <w:rPr>
                      <w:rFonts w:hint="default"/>
                    </w:rPr>
                  </w:pPr>
                  <w:r>
                    <w:t>0.0134</w:t>
                  </w:r>
                </w:p>
              </w:tc>
            </w:tr>
            <w:tr w14:paraId="6FDF2432">
              <w:tblPrEx>
                <w:tblCellMar>
                  <w:top w:w="0" w:type="dxa"/>
                  <w:left w:w="108" w:type="dxa"/>
                  <w:bottom w:w="0" w:type="dxa"/>
                  <w:right w:w="108" w:type="dxa"/>
                </w:tblCellMar>
              </w:tblPrEx>
              <w:trPr>
                <w:trHeight w:val="340" w:hRule="atLeast"/>
                <w:jc w:val="center"/>
              </w:trPr>
              <w:tc>
                <w:tcPr>
                  <w:tcW w:w="1634" w:type="pct"/>
                  <w:gridSpan w:val="3"/>
                  <w:tcBorders>
                    <w:top w:val="single" w:color="000000" w:sz="8" w:space="0"/>
                    <w:left w:val="nil"/>
                    <w:bottom w:val="single" w:color="000000" w:sz="8" w:space="0"/>
                    <w:right w:val="single" w:color="000000" w:sz="8" w:space="0"/>
                  </w:tcBorders>
                  <w:vAlign w:val="center"/>
                </w:tcPr>
                <w:p w14:paraId="3E206925">
                  <w:pPr>
                    <w:pStyle w:val="83"/>
                    <w:rPr>
                      <w:rFonts w:hint="default"/>
                    </w:rPr>
                  </w:pPr>
                  <w:r>
                    <w:t>二类标准值</w:t>
                  </w:r>
                </w:p>
              </w:tc>
              <w:tc>
                <w:tcPr>
                  <w:tcW w:w="591" w:type="pct"/>
                  <w:tcBorders>
                    <w:top w:val="single" w:color="000000" w:sz="8" w:space="0"/>
                    <w:left w:val="single" w:color="000000" w:sz="8" w:space="0"/>
                    <w:bottom w:val="single" w:color="000000" w:sz="8" w:space="0"/>
                    <w:right w:val="single" w:color="000000" w:sz="8" w:space="0"/>
                  </w:tcBorders>
                  <w:vAlign w:val="center"/>
                </w:tcPr>
                <w:p w14:paraId="7C6E8C00">
                  <w:pPr>
                    <w:pStyle w:val="83"/>
                    <w:rPr>
                      <w:rFonts w:hint="default"/>
                    </w:rPr>
                  </w:pPr>
                  <w:r>
                    <w:t>7.8~8.5</w:t>
                  </w:r>
                </w:p>
              </w:tc>
              <w:tc>
                <w:tcPr>
                  <w:tcW w:w="581" w:type="pct"/>
                  <w:tcBorders>
                    <w:top w:val="single" w:color="000000" w:sz="8" w:space="0"/>
                    <w:left w:val="single" w:color="000000" w:sz="8" w:space="0"/>
                    <w:bottom w:val="single" w:color="000000" w:sz="8" w:space="0"/>
                    <w:right w:val="single" w:color="000000" w:sz="8" w:space="0"/>
                  </w:tcBorders>
                  <w:vAlign w:val="center"/>
                </w:tcPr>
                <w:p w14:paraId="37FDDADB">
                  <w:pPr>
                    <w:pStyle w:val="83"/>
                    <w:rPr>
                      <w:rFonts w:hint="default"/>
                    </w:rPr>
                  </w:pPr>
                  <w:r>
                    <w:t>&gt;5</w:t>
                  </w:r>
                </w:p>
              </w:tc>
              <w:tc>
                <w:tcPr>
                  <w:tcW w:w="530" w:type="pct"/>
                  <w:tcBorders>
                    <w:top w:val="single" w:color="000000" w:sz="8" w:space="0"/>
                    <w:left w:val="single" w:color="000000" w:sz="8" w:space="0"/>
                    <w:bottom w:val="single" w:color="000000" w:sz="8" w:space="0"/>
                    <w:right w:val="single" w:color="000000" w:sz="8" w:space="0"/>
                  </w:tcBorders>
                  <w:vAlign w:val="center"/>
                </w:tcPr>
                <w:p w14:paraId="20C1CAF8">
                  <w:pPr>
                    <w:pStyle w:val="83"/>
                    <w:rPr>
                      <w:rFonts w:hint="default"/>
                    </w:rPr>
                  </w:pPr>
                  <w:r>
                    <w:rPr>
                      <w:rFonts w:hint="default" w:ascii="Arial" w:hAnsi="Arial" w:cs="Arial"/>
                    </w:rPr>
                    <w:t>≤</w:t>
                  </w:r>
                  <w:r>
                    <w:t>3</w:t>
                  </w:r>
                </w:p>
              </w:tc>
              <w:tc>
                <w:tcPr>
                  <w:tcW w:w="547" w:type="pct"/>
                  <w:tcBorders>
                    <w:top w:val="single" w:color="000000" w:sz="8" w:space="0"/>
                    <w:left w:val="single" w:color="000000" w:sz="8" w:space="0"/>
                    <w:bottom w:val="single" w:color="000000" w:sz="8" w:space="0"/>
                    <w:right w:val="single" w:color="000000" w:sz="8" w:space="0"/>
                  </w:tcBorders>
                  <w:vAlign w:val="center"/>
                </w:tcPr>
                <w:p w14:paraId="4594438A">
                  <w:pPr>
                    <w:pStyle w:val="83"/>
                    <w:rPr>
                      <w:rFonts w:hint="default"/>
                    </w:rPr>
                  </w:pPr>
                  <w:r>
                    <w:rPr>
                      <w:rFonts w:hint="default" w:ascii="Arial" w:hAnsi="Arial" w:cs="Arial"/>
                    </w:rPr>
                    <w:t>≤</w:t>
                  </w:r>
                  <w:r>
                    <w:t>0.3</w:t>
                  </w:r>
                </w:p>
              </w:tc>
              <w:tc>
                <w:tcPr>
                  <w:tcW w:w="539" w:type="pct"/>
                  <w:tcBorders>
                    <w:top w:val="single" w:color="000000" w:sz="8" w:space="0"/>
                    <w:left w:val="single" w:color="000000" w:sz="8" w:space="0"/>
                    <w:bottom w:val="single" w:color="000000" w:sz="8" w:space="0"/>
                    <w:right w:val="single" w:color="000000" w:sz="8" w:space="0"/>
                  </w:tcBorders>
                  <w:vAlign w:val="center"/>
                </w:tcPr>
                <w:p w14:paraId="63EFEEDB">
                  <w:pPr>
                    <w:pStyle w:val="83"/>
                    <w:rPr>
                      <w:rFonts w:hint="default"/>
                    </w:rPr>
                  </w:pPr>
                  <w:r>
                    <w:rPr>
                      <w:rFonts w:hint="default" w:ascii="Arial" w:hAnsi="Arial" w:cs="Arial"/>
                    </w:rPr>
                    <w:t>≤</w:t>
                  </w:r>
                  <w:r>
                    <w:t>0.030</w:t>
                  </w:r>
                </w:p>
              </w:tc>
              <w:tc>
                <w:tcPr>
                  <w:tcW w:w="574" w:type="pct"/>
                  <w:tcBorders>
                    <w:top w:val="single" w:color="000000" w:sz="8" w:space="0"/>
                    <w:left w:val="single" w:color="000000" w:sz="8" w:space="0"/>
                    <w:bottom w:val="single" w:color="000000" w:sz="8" w:space="0"/>
                    <w:right w:val="nil"/>
                  </w:tcBorders>
                  <w:vAlign w:val="center"/>
                </w:tcPr>
                <w:p w14:paraId="06AB2CB7">
                  <w:pPr>
                    <w:pStyle w:val="83"/>
                    <w:rPr>
                      <w:rFonts w:hint="default"/>
                    </w:rPr>
                  </w:pPr>
                  <w:r>
                    <w:rPr>
                      <w:rFonts w:hint="default" w:ascii="Arial" w:hAnsi="Arial" w:cs="Arial"/>
                    </w:rPr>
                    <w:t>≤</w:t>
                  </w:r>
                  <w:r>
                    <w:t>0.05</w:t>
                  </w:r>
                </w:p>
              </w:tc>
            </w:tr>
            <w:tr w14:paraId="6AB1E135">
              <w:tblPrEx>
                <w:tblCellMar>
                  <w:top w:w="0" w:type="dxa"/>
                  <w:left w:w="108" w:type="dxa"/>
                  <w:bottom w:w="0" w:type="dxa"/>
                  <w:right w:w="108" w:type="dxa"/>
                </w:tblCellMar>
              </w:tblPrEx>
              <w:trPr>
                <w:trHeight w:val="340" w:hRule="atLeast"/>
                <w:jc w:val="center"/>
              </w:trPr>
              <w:tc>
                <w:tcPr>
                  <w:tcW w:w="5000" w:type="pct"/>
                  <w:gridSpan w:val="9"/>
                  <w:tcBorders>
                    <w:top w:val="single" w:color="000000" w:sz="8" w:space="0"/>
                    <w:left w:val="nil"/>
                    <w:bottom w:val="single" w:color="000000" w:sz="12" w:space="0"/>
                    <w:right w:val="nil"/>
                  </w:tcBorders>
                  <w:vAlign w:val="center"/>
                </w:tcPr>
                <w:p w14:paraId="5E7C8973">
                  <w:pPr>
                    <w:pStyle w:val="83"/>
                    <w:jc w:val="left"/>
                    <w:rPr>
                      <w:rFonts w:hint="default"/>
                    </w:rPr>
                  </w:pPr>
                  <w:r>
                    <w:rPr>
                      <w:sz w:val="18"/>
                      <w:szCs w:val="18"/>
                    </w:rPr>
                    <w:t>注：点位编码FJD01004</w:t>
                  </w:r>
                  <w:r>
                    <w:rPr>
                      <w:rFonts w:hint="default"/>
                      <w:sz w:val="18"/>
                      <w:szCs w:val="18"/>
                    </w:rPr>
                    <w:t>、</w:t>
                  </w:r>
                  <w:r>
                    <w:rPr>
                      <w:sz w:val="18"/>
                      <w:szCs w:val="18"/>
                    </w:rPr>
                    <w:t>FJD01005</w:t>
                  </w:r>
                  <w:r>
                    <w:rPr>
                      <w:rFonts w:hint="default"/>
                      <w:sz w:val="18"/>
                      <w:szCs w:val="18"/>
                    </w:rPr>
                    <w:t>、</w:t>
                  </w:r>
                  <w:r>
                    <w:rPr>
                      <w:sz w:val="18"/>
                      <w:szCs w:val="18"/>
                    </w:rPr>
                    <w:t>FJD01006</w:t>
                  </w:r>
                  <w:r>
                    <w:rPr>
                      <w:rFonts w:hint="default"/>
                      <w:sz w:val="18"/>
                      <w:szCs w:val="18"/>
                    </w:rPr>
                    <w:t>为牛头湾海域的外部海域。</w:t>
                  </w:r>
                </w:p>
              </w:tc>
            </w:tr>
          </w:tbl>
          <w:p w14:paraId="4519A5B1">
            <w:pPr>
              <w:ind w:firstLine="480"/>
            </w:pPr>
            <w:r>
              <w:rPr>
                <w:rFonts w:hint="eastAsia"/>
              </w:rPr>
              <w:t>根据监测结果表明，牛头湾外部海域水质现状可达到《海水水质标准》（GB3097-1997）第二类标准，仅FJD01006点位在枯水期无机氮、活性磷酸盐略有超标，区域海水环境质量符合功能区划要求。</w:t>
            </w:r>
          </w:p>
          <w:p w14:paraId="03F63F50">
            <w:pPr>
              <w:pStyle w:val="6"/>
            </w:pPr>
            <w:r>
              <w:rPr>
                <w:rFonts w:hint="eastAsia"/>
              </w:rPr>
              <w:drawing>
                <wp:inline distT="0" distB="0" distL="0" distR="0">
                  <wp:extent cx="3779520" cy="2682240"/>
                  <wp:effectExtent l="0" t="0" r="11430" b="3810"/>
                  <wp:docPr id="10" name="图片 10" descr="海水监测点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海水监测点位"/>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780000" cy="2682425"/>
                          </a:xfrm>
                          <a:prstGeom prst="rect">
                            <a:avLst/>
                          </a:prstGeom>
                          <a:noFill/>
                          <a:ln>
                            <a:noFill/>
                          </a:ln>
                        </pic:spPr>
                      </pic:pic>
                    </a:graphicData>
                  </a:graphic>
                </wp:inline>
              </w:drawing>
            </w:r>
          </w:p>
          <w:p w14:paraId="18E78288">
            <w:pPr>
              <w:pStyle w:val="13"/>
            </w:pPr>
            <w:r>
              <w:rPr>
                <w:rFonts w:hint="eastAsia"/>
              </w:rPr>
              <w:t>图3.1-1  海水水质监测点位示意图</w:t>
            </w:r>
          </w:p>
          <w:p w14:paraId="0487642A">
            <w:pPr>
              <w:pStyle w:val="5"/>
            </w:pPr>
            <w:r>
              <w:rPr>
                <w:rFonts w:hint="eastAsia"/>
              </w:rPr>
              <w:t>3.1.2.2 地表水环境现状</w:t>
            </w:r>
          </w:p>
          <w:p w14:paraId="591A610B">
            <w:pPr>
              <w:ind w:firstLine="480"/>
            </w:pPr>
            <w:r>
              <w:rPr>
                <w:rFonts w:hint="eastAsia"/>
              </w:rPr>
              <w:t>根据福州市生态环境局公布的2025年1—12月福州市水环境质量状况，全市主要流域9个国控断面Ⅰ-Ⅲ类水质比例为100%，36个省控及以上断面Ⅰ-Ⅲ类水质比例为100%；小流域54个省控断面Ⅰ-Ⅲ类水质比例为100%。县级及以上集中式饮用水源地水质达标率为100%。</w:t>
            </w:r>
          </w:p>
          <w:p w14:paraId="6409CF44">
            <w:pPr>
              <w:pStyle w:val="6"/>
            </w:pPr>
            <w:r>
              <w:rPr>
                <w:rFonts w:hint="eastAsia"/>
              </w:rPr>
              <w:drawing>
                <wp:inline distT="0" distB="0" distL="114300" distR="114300">
                  <wp:extent cx="4831715" cy="3275965"/>
                  <wp:effectExtent l="9525" t="9525" r="16510" b="1016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36"/>
                          <a:stretch>
                            <a:fillRect/>
                          </a:stretch>
                        </pic:blipFill>
                        <pic:spPr>
                          <a:xfrm>
                            <a:off x="0" y="0"/>
                            <a:ext cx="4831715" cy="3275965"/>
                          </a:xfrm>
                          <a:prstGeom prst="rect">
                            <a:avLst/>
                          </a:prstGeom>
                          <a:noFill/>
                          <a:ln>
                            <a:solidFill>
                              <a:schemeClr val="bg1">
                                <a:lumMod val="65000"/>
                              </a:schemeClr>
                            </a:solidFill>
                          </a:ln>
                        </pic:spPr>
                      </pic:pic>
                    </a:graphicData>
                  </a:graphic>
                </wp:inline>
              </w:drawing>
            </w:r>
          </w:p>
          <w:p w14:paraId="67614F99">
            <w:pPr>
              <w:pStyle w:val="13"/>
            </w:pPr>
            <w:r>
              <w:rPr>
                <w:rFonts w:hint="eastAsia"/>
              </w:rPr>
              <w:t>图3.1-2  福州市水环境质量状况网站截图</w:t>
            </w:r>
          </w:p>
          <w:p w14:paraId="1B379001">
            <w:pPr>
              <w:pStyle w:val="4"/>
              <w:spacing w:before="120" w:after="0" w:afterLines="0"/>
            </w:pPr>
            <w:r>
              <w:rPr>
                <w:rFonts w:hint="eastAsia"/>
              </w:rPr>
              <w:t>3.1.3 声环境质量现状</w:t>
            </w:r>
          </w:p>
          <w:p w14:paraId="3D9C2DA9">
            <w:pPr>
              <w:ind w:firstLine="480"/>
            </w:pPr>
            <w:r>
              <w:rPr>
                <w:rFonts w:hint="eastAsia"/>
              </w:rPr>
              <w:t>根据《建设项目环境影响报告表编制技术指南（污染影响类）（试行）》（环办环评〔2020〕33号）规定，“厂界外周边50米范围内存在声环境保护目标的建设项目，应监测保护目标声环境质量现状并评价达标情况。”根据现场踏勘，项目厂界外50m范围内无声环境保护目标，因此，本评价不进行声环境质量现状监测。</w:t>
            </w:r>
          </w:p>
          <w:p w14:paraId="2B90882F">
            <w:pPr>
              <w:pStyle w:val="4"/>
              <w:spacing w:before="120" w:after="0" w:afterLines="0"/>
            </w:pPr>
            <w:r>
              <w:rPr>
                <w:rFonts w:hint="eastAsia"/>
              </w:rPr>
              <w:t>3.1.4 生态环境现状</w:t>
            </w:r>
          </w:p>
          <w:p w14:paraId="62C53A1B">
            <w:pPr>
              <w:ind w:firstLine="480"/>
            </w:pPr>
            <w:r>
              <w:rPr>
                <w:rFonts w:hint="eastAsia"/>
              </w:rPr>
              <w:t>本项目在企业厂区范围内新建一座6#中试生产车间进行生产，企业占地范围内不存在生态环境保护目标，依据《建设项目环境影响报告表编制技术指南（污染影响类）（试行）》，不需要开展生态现状调查。</w:t>
            </w:r>
          </w:p>
          <w:p w14:paraId="4352FF24">
            <w:pPr>
              <w:pStyle w:val="4"/>
              <w:spacing w:before="120" w:after="0" w:afterLines="0"/>
            </w:pPr>
            <w:r>
              <w:rPr>
                <w:rFonts w:hint="eastAsia"/>
              </w:rPr>
              <w:t>3.1.5 电磁辐射现状</w:t>
            </w:r>
          </w:p>
          <w:p w14:paraId="6212E00B">
            <w:pPr>
              <w:ind w:firstLine="480"/>
            </w:pPr>
            <w:r>
              <w:rPr>
                <w:rFonts w:hint="eastAsia"/>
              </w:rPr>
              <w:t>本项目未涉及电磁辐射，不需要开展电磁辐射调查。</w:t>
            </w:r>
          </w:p>
          <w:p w14:paraId="0929E948">
            <w:pPr>
              <w:pStyle w:val="4"/>
              <w:spacing w:before="120" w:after="0" w:afterLines="0"/>
            </w:pPr>
            <w:r>
              <w:rPr>
                <w:rFonts w:hint="eastAsia"/>
              </w:rPr>
              <w:t>3.1.6 地下水、土壤环境质量现状</w:t>
            </w:r>
          </w:p>
          <w:p w14:paraId="27E7161F">
            <w:pPr>
              <w:ind w:firstLine="480"/>
            </w:pPr>
            <w:r>
              <w:rPr>
                <w:rFonts w:hint="eastAsia"/>
              </w:rPr>
              <w:t>根据《建设项目环境影响报告表编制技术指南（污染影响类）（试行）》（环办环评〔2020〕33号）规定，“原则上不开展环境质量现状调查。建设项目存在土壤、地下水环境污染途径的，应结合污染源、保护目标分布情况开展现状调查以留作背景值。”本次项目用地位于企业已征地范围内，根据现场勘查，企业厂界周边范围内无地下水集中式饮用水水源和热水、矿泉水、泉水等特殊地下水资源。本次扩建项目从事锦纶纤维制造和研发，项目依托厂区现有污水处理站、危废暂存间等均采取相应的防渗漏措施，企业生产车间、道路等地面均已进行硬化，项目对地下水、土壤环境影响很小，基本不存在土壤、地下水环境污染途径，因此，本评价不对项目地下水、土壤环境质量进行补充监测。</w:t>
            </w:r>
          </w:p>
        </w:tc>
      </w:tr>
      <w:tr w14:paraId="0B85D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2400" w:hRule="atLeast"/>
          <w:jc w:val="center"/>
        </w:trPr>
        <w:tc>
          <w:tcPr>
            <w:tcW w:w="347" w:type="pct"/>
            <w:vAlign w:val="center"/>
          </w:tcPr>
          <w:p w14:paraId="5FCF4454">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环境保护目标</w:t>
            </w:r>
          </w:p>
        </w:tc>
        <w:tc>
          <w:tcPr>
            <w:tcW w:w="4652" w:type="pct"/>
          </w:tcPr>
          <w:p w14:paraId="2D7D26E7">
            <w:pPr>
              <w:pStyle w:val="3"/>
              <w:spacing w:before="120" w:after="0" w:afterLines="0"/>
            </w:pPr>
            <w:r>
              <w:rPr>
                <w:rFonts w:hint="eastAsia"/>
              </w:rPr>
              <w:t>3.2 环境保护目标</w:t>
            </w:r>
          </w:p>
          <w:p w14:paraId="354A4456">
            <w:pPr>
              <w:ind w:firstLine="480"/>
            </w:pPr>
            <w:r>
              <w:rPr>
                <w:rFonts w:hint="eastAsia"/>
              </w:rPr>
              <w:t>根据建设单位提供的有关资料及现场踏勘调查，本项目评价范围内未发现文物保护对象，不涉及珍稀濒危保护动植物自然保护区、饮用水水源保护区等生态敏感区域，无军事设施。本项目环境保护目标情况详见表3.2-1，周边环境敏感点详见附图4。</w:t>
            </w:r>
          </w:p>
          <w:p w14:paraId="7D2C579A">
            <w:pPr>
              <w:pStyle w:val="13"/>
            </w:pPr>
            <w:r>
              <w:rPr>
                <w:rFonts w:hint="eastAsia"/>
              </w:rPr>
              <w:t>表3.2-1  项目周边环境保护目标一览表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849"/>
              <w:gridCol w:w="852"/>
              <w:gridCol w:w="1133"/>
              <w:gridCol w:w="1559"/>
              <w:gridCol w:w="849"/>
              <w:gridCol w:w="1992"/>
            </w:tblGrid>
            <w:tr w14:paraId="2E808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01" w:type="pct"/>
                  <w:vAlign w:val="center"/>
                </w:tcPr>
                <w:p w14:paraId="2929B046">
                  <w:pPr>
                    <w:pStyle w:val="83"/>
                    <w:rPr>
                      <w:rFonts w:hint="default"/>
                    </w:rPr>
                  </w:pPr>
                  <w:r>
                    <w:t>环境</w:t>
                  </w:r>
                </w:p>
                <w:p w14:paraId="3F5C34B0">
                  <w:pPr>
                    <w:pStyle w:val="83"/>
                    <w:rPr>
                      <w:rFonts w:hint="default"/>
                    </w:rPr>
                  </w:pPr>
                  <w:r>
                    <w:t>要素</w:t>
                  </w:r>
                </w:p>
              </w:tc>
              <w:tc>
                <w:tcPr>
                  <w:tcW w:w="516" w:type="pct"/>
                  <w:vAlign w:val="center"/>
                </w:tcPr>
                <w:p w14:paraId="4F5E13CF">
                  <w:pPr>
                    <w:pStyle w:val="83"/>
                    <w:rPr>
                      <w:rFonts w:hint="default"/>
                    </w:rPr>
                  </w:pPr>
                  <w:r>
                    <w:t>敏感</w:t>
                  </w:r>
                </w:p>
                <w:p w14:paraId="672ADE2A">
                  <w:pPr>
                    <w:pStyle w:val="83"/>
                    <w:rPr>
                      <w:rFonts w:hint="default"/>
                    </w:rPr>
                  </w:pPr>
                  <w:r>
                    <w:t>目标</w:t>
                  </w:r>
                </w:p>
              </w:tc>
              <w:tc>
                <w:tcPr>
                  <w:tcW w:w="518" w:type="pct"/>
                  <w:vAlign w:val="center"/>
                </w:tcPr>
                <w:p w14:paraId="7299D5A9">
                  <w:pPr>
                    <w:pStyle w:val="83"/>
                    <w:rPr>
                      <w:rFonts w:hint="default"/>
                    </w:rPr>
                  </w:pPr>
                  <w:r>
                    <w:t>与本项目相对方位</w:t>
                  </w:r>
                </w:p>
              </w:tc>
              <w:tc>
                <w:tcPr>
                  <w:tcW w:w="689" w:type="pct"/>
                  <w:vAlign w:val="center"/>
                </w:tcPr>
                <w:p w14:paraId="12A69D86">
                  <w:pPr>
                    <w:pStyle w:val="83"/>
                    <w:rPr>
                      <w:rFonts w:hint="default"/>
                    </w:rPr>
                  </w:pPr>
                  <w:r>
                    <w:t>与企业厂界最近距离（m）</w:t>
                  </w:r>
                </w:p>
              </w:tc>
              <w:tc>
                <w:tcPr>
                  <w:tcW w:w="948" w:type="pct"/>
                  <w:vAlign w:val="center"/>
                </w:tcPr>
                <w:p w14:paraId="1CF5CB2A">
                  <w:pPr>
                    <w:pStyle w:val="83"/>
                    <w:rPr>
                      <w:rFonts w:hint="default"/>
                    </w:rPr>
                  </w:pPr>
                  <w:r>
                    <w:t>与本次扩建项目地块最近距离（m）</w:t>
                  </w:r>
                </w:p>
              </w:tc>
              <w:tc>
                <w:tcPr>
                  <w:tcW w:w="516" w:type="pct"/>
                  <w:vAlign w:val="center"/>
                </w:tcPr>
                <w:p w14:paraId="1C7FC78D">
                  <w:pPr>
                    <w:pStyle w:val="83"/>
                    <w:rPr>
                      <w:rFonts w:hint="default"/>
                    </w:rPr>
                  </w:pPr>
                  <w:r>
                    <w:t>规模（人）</w:t>
                  </w:r>
                </w:p>
              </w:tc>
              <w:tc>
                <w:tcPr>
                  <w:tcW w:w="1210" w:type="pct"/>
                  <w:vAlign w:val="center"/>
                </w:tcPr>
                <w:p w14:paraId="6D173606">
                  <w:pPr>
                    <w:pStyle w:val="83"/>
                    <w:rPr>
                      <w:rFonts w:hint="default"/>
                    </w:rPr>
                  </w:pPr>
                  <w:r>
                    <w:t>功能区划</w:t>
                  </w:r>
                </w:p>
              </w:tc>
            </w:tr>
            <w:tr w14:paraId="53D0A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601" w:type="pct"/>
                  <w:vAlign w:val="center"/>
                </w:tcPr>
                <w:p w14:paraId="12E7DAD6">
                  <w:pPr>
                    <w:pStyle w:val="83"/>
                    <w:rPr>
                      <w:rFonts w:hint="default"/>
                    </w:rPr>
                  </w:pPr>
                  <w:r>
                    <w:t>大气</w:t>
                  </w:r>
                </w:p>
                <w:p w14:paraId="63C30E85">
                  <w:pPr>
                    <w:pStyle w:val="83"/>
                    <w:rPr>
                      <w:rFonts w:hint="default"/>
                    </w:rPr>
                  </w:pPr>
                  <w:r>
                    <w:t>环境</w:t>
                  </w:r>
                </w:p>
              </w:tc>
              <w:tc>
                <w:tcPr>
                  <w:tcW w:w="516" w:type="pct"/>
                  <w:vAlign w:val="center"/>
                </w:tcPr>
                <w:p w14:paraId="4D10E8CB">
                  <w:pPr>
                    <w:pStyle w:val="83"/>
                    <w:rPr>
                      <w:rFonts w:hint="default"/>
                    </w:rPr>
                  </w:pPr>
                  <w:r>
                    <w:t>湖滨村</w:t>
                  </w:r>
                </w:p>
              </w:tc>
              <w:tc>
                <w:tcPr>
                  <w:tcW w:w="518" w:type="pct"/>
                  <w:vAlign w:val="center"/>
                </w:tcPr>
                <w:p w14:paraId="1CBFA3D7">
                  <w:pPr>
                    <w:pStyle w:val="83"/>
                    <w:rPr>
                      <w:rFonts w:hint="default"/>
                    </w:rPr>
                  </w:pPr>
                  <w:r>
                    <w:t>SW</w:t>
                  </w:r>
                </w:p>
              </w:tc>
              <w:tc>
                <w:tcPr>
                  <w:tcW w:w="689" w:type="pct"/>
                  <w:vAlign w:val="center"/>
                </w:tcPr>
                <w:p w14:paraId="7EFD3EC0">
                  <w:pPr>
                    <w:pStyle w:val="83"/>
                    <w:rPr>
                      <w:rFonts w:hint="default"/>
                    </w:rPr>
                  </w:pPr>
                  <w:r>
                    <w:t>388</w:t>
                  </w:r>
                </w:p>
              </w:tc>
              <w:tc>
                <w:tcPr>
                  <w:tcW w:w="948" w:type="pct"/>
                  <w:vAlign w:val="center"/>
                </w:tcPr>
                <w:p w14:paraId="545D4F2C">
                  <w:pPr>
                    <w:pStyle w:val="83"/>
                    <w:rPr>
                      <w:rFonts w:hint="default"/>
                    </w:rPr>
                  </w:pPr>
                  <w:r>
                    <w:t>1056</w:t>
                  </w:r>
                </w:p>
              </w:tc>
              <w:tc>
                <w:tcPr>
                  <w:tcW w:w="516" w:type="pct"/>
                  <w:vAlign w:val="center"/>
                </w:tcPr>
                <w:p w14:paraId="1AB33BE7">
                  <w:pPr>
                    <w:pStyle w:val="83"/>
                    <w:rPr>
                      <w:rFonts w:hint="default"/>
                    </w:rPr>
                  </w:pPr>
                  <w:r>
                    <w:t>5620</w:t>
                  </w:r>
                </w:p>
              </w:tc>
              <w:tc>
                <w:tcPr>
                  <w:tcW w:w="1210" w:type="pct"/>
                  <w:vAlign w:val="center"/>
                </w:tcPr>
                <w:p w14:paraId="690DDC7D">
                  <w:pPr>
                    <w:pStyle w:val="83"/>
                    <w:rPr>
                      <w:rFonts w:hint="default"/>
                    </w:rPr>
                  </w:pPr>
                  <w:r>
                    <w:t>《环境空气质量标准》（GB3095-2026）二级标准</w:t>
                  </w:r>
                </w:p>
              </w:tc>
            </w:tr>
            <w:tr w14:paraId="59B27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01" w:type="pct"/>
                  <w:vAlign w:val="center"/>
                </w:tcPr>
                <w:p w14:paraId="062B4A2D">
                  <w:pPr>
                    <w:pStyle w:val="83"/>
                    <w:rPr>
                      <w:rFonts w:hint="default"/>
                    </w:rPr>
                  </w:pPr>
                  <w:r>
                    <w:t>声环境</w:t>
                  </w:r>
                </w:p>
              </w:tc>
              <w:tc>
                <w:tcPr>
                  <w:tcW w:w="4398" w:type="pct"/>
                  <w:gridSpan w:val="6"/>
                  <w:vAlign w:val="center"/>
                </w:tcPr>
                <w:p w14:paraId="45C9619C">
                  <w:pPr>
                    <w:pStyle w:val="83"/>
                    <w:rPr>
                      <w:rFonts w:hint="default"/>
                    </w:rPr>
                  </w:pPr>
                  <w:r>
                    <w:t>项目厂界外50m范围内无声环境保护目标</w:t>
                  </w:r>
                </w:p>
              </w:tc>
            </w:tr>
            <w:tr w14:paraId="68379A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01" w:type="pct"/>
                  <w:vAlign w:val="center"/>
                </w:tcPr>
                <w:p w14:paraId="2FD3406D">
                  <w:pPr>
                    <w:pStyle w:val="83"/>
                    <w:rPr>
                      <w:rFonts w:hint="default"/>
                    </w:rPr>
                  </w:pPr>
                  <w:r>
                    <w:t>生态</w:t>
                  </w:r>
                </w:p>
                <w:p w14:paraId="565B5C07">
                  <w:pPr>
                    <w:pStyle w:val="83"/>
                    <w:rPr>
                      <w:rFonts w:hint="default"/>
                    </w:rPr>
                  </w:pPr>
                  <w:r>
                    <w:t>环境</w:t>
                  </w:r>
                </w:p>
              </w:tc>
              <w:tc>
                <w:tcPr>
                  <w:tcW w:w="4398" w:type="pct"/>
                  <w:gridSpan w:val="6"/>
                  <w:vAlign w:val="center"/>
                </w:tcPr>
                <w:p w14:paraId="09E66EDC">
                  <w:pPr>
                    <w:pStyle w:val="83"/>
                    <w:rPr>
                      <w:rFonts w:hint="default"/>
                    </w:rPr>
                  </w:pPr>
                  <w:r>
                    <w:t>项目占地范围内无生态环境保护目标</w:t>
                  </w:r>
                </w:p>
              </w:tc>
            </w:tr>
            <w:tr w14:paraId="047D82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01" w:type="pct"/>
                  <w:vAlign w:val="center"/>
                </w:tcPr>
                <w:p w14:paraId="3820C446">
                  <w:pPr>
                    <w:pStyle w:val="83"/>
                    <w:rPr>
                      <w:rFonts w:hint="default"/>
                    </w:rPr>
                  </w:pPr>
                  <w:r>
                    <w:t>地下水</w:t>
                  </w:r>
                </w:p>
                <w:p w14:paraId="5C167490">
                  <w:pPr>
                    <w:pStyle w:val="83"/>
                    <w:rPr>
                      <w:rFonts w:hint="default"/>
                    </w:rPr>
                  </w:pPr>
                  <w:r>
                    <w:t>环境</w:t>
                  </w:r>
                </w:p>
              </w:tc>
              <w:tc>
                <w:tcPr>
                  <w:tcW w:w="4398" w:type="pct"/>
                  <w:gridSpan w:val="6"/>
                  <w:vAlign w:val="center"/>
                </w:tcPr>
                <w:p w14:paraId="6482AEEC">
                  <w:pPr>
                    <w:pStyle w:val="83"/>
                    <w:rPr>
                      <w:rFonts w:hint="default"/>
                    </w:rPr>
                  </w:pPr>
                  <w:r>
                    <w:t>项目厂界外500m范围内无地下水集中式饮用水水源和热水、矿泉水、温泉等特殊地下水资源</w:t>
                  </w:r>
                </w:p>
              </w:tc>
            </w:tr>
          </w:tbl>
          <w:p w14:paraId="5DF7EE82">
            <w:pPr>
              <w:pStyle w:val="13"/>
              <w:ind w:firstLine="480"/>
            </w:pPr>
          </w:p>
        </w:tc>
      </w:tr>
      <w:tr w14:paraId="04FD6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3094" w:hRule="atLeast"/>
          <w:jc w:val="center"/>
        </w:trPr>
        <w:tc>
          <w:tcPr>
            <w:tcW w:w="347" w:type="pct"/>
            <w:tcMar>
              <w:left w:w="28" w:type="dxa"/>
              <w:right w:w="28" w:type="dxa"/>
            </w:tcMar>
            <w:vAlign w:val="center"/>
          </w:tcPr>
          <w:p w14:paraId="295E5F3C">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污染物排放控制标准</w:t>
            </w:r>
          </w:p>
        </w:tc>
        <w:tc>
          <w:tcPr>
            <w:tcW w:w="4652" w:type="pct"/>
          </w:tcPr>
          <w:p w14:paraId="2478432F">
            <w:pPr>
              <w:pStyle w:val="3"/>
              <w:spacing w:before="120" w:after="0" w:afterLines="0"/>
            </w:pPr>
            <w:r>
              <w:rPr>
                <w:rFonts w:hint="eastAsia"/>
              </w:rPr>
              <w:t>3.3 污染物排放标准</w:t>
            </w:r>
          </w:p>
          <w:p w14:paraId="34B6395E">
            <w:pPr>
              <w:pStyle w:val="4"/>
              <w:spacing w:before="120" w:after="0" w:afterLines="0"/>
            </w:pPr>
            <w:r>
              <w:rPr>
                <w:rFonts w:hint="eastAsia"/>
              </w:rPr>
              <w:t>3.3.1 大气污染物排放标准</w:t>
            </w:r>
          </w:p>
          <w:p w14:paraId="4DC39614">
            <w:pPr>
              <w:ind w:firstLine="480"/>
            </w:pPr>
            <w:r>
              <w:rPr>
                <w:rFonts w:hint="eastAsia"/>
              </w:rPr>
              <w:t>项目属于合成树脂纤维制品制造业，且企业厂址位于环保部2013年第14号公告中的重点控制区范围内，则本项目生产过程中工艺废气中颗粒物、非甲烷总烃的排放浓度执行《合成树脂工业污染物排放标准》（GB31572-2015，含2024年修改单）表5的特别排放限值；非甲烷总烃企业边界浓度执</w:t>
            </w:r>
            <w:r>
              <w:rPr>
                <w:rFonts w:hint="eastAsia"/>
                <w:highlight w:val="none"/>
              </w:rPr>
              <w:t>行《工业企业挥发性有机物排放标准》</w:t>
            </w:r>
            <w:r>
              <w:rPr>
                <w:rFonts w:hint="eastAsia"/>
                <w:highlight w:val="none"/>
                <w:lang w:eastAsia="zh-CN"/>
              </w:rPr>
              <w:t>（DB35/1782-2018）</w:t>
            </w:r>
            <w:r>
              <w:rPr>
                <w:rFonts w:hint="eastAsia"/>
                <w:highlight w:val="none"/>
              </w:rPr>
              <w:t>表</w:t>
            </w:r>
            <w:r>
              <w:rPr>
                <w:rFonts w:hint="eastAsia"/>
                <w:highlight w:val="none"/>
                <w:lang w:val="en-US" w:eastAsia="zh-CN"/>
              </w:rPr>
              <w:t>3</w:t>
            </w:r>
            <w:r>
              <w:rPr>
                <w:rFonts w:hint="eastAsia"/>
                <w:highlight w:val="none"/>
              </w:rPr>
              <w:t>中的浓度限值，</w:t>
            </w:r>
            <w:r>
              <w:rPr>
                <w:rFonts w:hint="eastAsia"/>
              </w:rPr>
              <w:t>厂区内浓度执行《挥发性有机物无组织排放控制标准》（GB37822—2019）表A.1中的特别排放限值，颗粒物企业边界浓度执行《合成树脂工业污染物排放标准》（GB31572-2015，含2024年修改单）表9的浓度限值。</w:t>
            </w:r>
          </w:p>
          <w:p w14:paraId="63614951">
            <w:pPr>
              <w:pStyle w:val="13"/>
            </w:pPr>
            <w:r>
              <w:rPr>
                <w:rFonts w:hint="eastAsia"/>
              </w:rPr>
              <w:t>表3.3-1  工艺废气排放标准</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308"/>
              <w:gridCol w:w="782"/>
              <w:gridCol w:w="1171"/>
              <w:gridCol w:w="1023"/>
              <w:gridCol w:w="681"/>
              <w:gridCol w:w="3256"/>
            </w:tblGrid>
            <w:tr w14:paraId="78095D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96" w:type="pct"/>
                  <w:vAlign w:val="center"/>
                </w:tcPr>
                <w:p w14:paraId="26469047">
                  <w:pPr>
                    <w:pStyle w:val="83"/>
                    <w:rPr>
                      <w:rFonts w:hint="default"/>
                    </w:rPr>
                  </w:pPr>
                  <w:r>
                    <w:t>污染物名称</w:t>
                  </w:r>
                </w:p>
              </w:tc>
              <w:tc>
                <w:tcPr>
                  <w:tcW w:w="476" w:type="pct"/>
                  <w:vAlign w:val="center"/>
                </w:tcPr>
                <w:p w14:paraId="7C19C430">
                  <w:pPr>
                    <w:pStyle w:val="83"/>
                    <w:rPr>
                      <w:rFonts w:hint="default"/>
                    </w:rPr>
                  </w:pPr>
                  <w:r>
                    <w:t>排放浓度</w:t>
                  </w:r>
                </w:p>
                <w:p w14:paraId="038861D3">
                  <w:pPr>
                    <w:pStyle w:val="83"/>
                    <w:rPr>
                      <w:rFonts w:hint="default"/>
                    </w:rPr>
                  </w:pPr>
                  <w:r>
                    <w:t>mg/m</w:t>
                  </w:r>
                  <w:r>
                    <w:rPr>
                      <w:vertAlign w:val="superscript"/>
                    </w:rPr>
                    <w:t>3</w:t>
                  </w:r>
                </w:p>
              </w:tc>
              <w:tc>
                <w:tcPr>
                  <w:tcW w:w="712" w:type="pct"/>
                  <w:vAlign w:val="center"/>
                </w:tcPr>
                <w:p w14:paraId="221D7CD9">
                  <w:pPr>
                    <w:pStyle w:val="83"/>
                    <w:rPr>
                      <w:rFonts w:hint="default"/>
                    </w:rPr>
                  </w:pPr>
                  <w:r>
                    <w:t>企业边界大气污染物浓度限值mg/m</w:t>
                  </w:r>
                  <w:r>
                    <w:rPr>
                      <w:vertAlign w:val="superscript"/>
                    </w:rPr>
                    <w:t>3</w:t>
                  </w:r>
                </w:p>
              </w:tc>
              <w:tc>
                <w:tcPr>
                  <w:tcW w:w="1036" w:type="pct"/>
                  <w:gridSpan w:val="2"/>
                  <w:vAlign w:val="center"/>
                </w:tcPr>
                <w:p w14:paraId="604B5637">
                  <w:pPr>
                    <w:pStyle w:val="83"/>
                    <w:rPr>
                      <w:rFonts w:hint="default"/>
                    </w:rPr>
                  </w:pPr>
                  <w:r>
                    <w:t>厂区内大气污染物浓度限值mg/m</w:t>
                  </w:r>
                  <w:r>
                    <w:rPr>
                      <w:vertAlign w:val="superscript"/>
                    </w:rPr>
                    <w:t>3</w:t>
                  </w:r>
                </w:p>
              </w:tc>
              <w:tc>
                <w:tcPr>
                  <w:tcW w:w="1978" w:type="pct"/>
                  <w:vAlign w:val="center"/>
                </w:tcPr>
                <w:p w14:paraId="45375D76">
                  <w:pPr>
                    <w:pStyle w:val="83"/>
                    <w:rPr>
                      <w:rFonts w:hint="default"/>
                    </w:rPr>
                  </w:pPr>
                  <w:r>
                    <w:t>标准来源</w:t>
                  </w:r>
                </w:p>
              </w:tc>
            </w:tr>
            <w:tr w14:paraId="0171F3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796" w:type="pct"/>
                  <w:vMerge w:val="restart"/>
                  <w:vAlign w:val="center"/>
                </w:tcPr>
                <w:p w14:paraId="1A5F299B">
                  <w:pPr>
                    <w:pStyle w:val="83"/>
                    <w:rPr>
                      <w:rFonts w:hint="default"/>
                    </w:rPr>
                  </w:pPr>
                  <w:r>
                    <w:t>非甲烷总烃</w:t>
                  </w:r>
                </w:p>
              </w:tc>
              <w:tc>
                <w:tcPr>
                  <w:tcW w:w="476" w:type="pct"/>
                  <w:vMerge w:val="restart"/>
                  <w:vAlign w:val="center"/>
                </w:tcPr>
                <w:p w14:paraId="4FCBED75">
                  <w:pPr>
                    <w:pStyle w:val="83"/>
                    <w:rPr>
                      <w:rFonts w:hint="default"/>
                    </w:rPr>
                  </w:pPr>
                  <w:r>
                    <w:t>60</w:t>
                  </w:r>
                </w:p>
              </w:tc>
              <w:tc>
                <w:tcPr>
                  <w:tcW w:w="712" w:type="pct"/>
                  <w:vMerge w:val="restart"/>
                  <w:vAlign w:val="center"/>
                </w:tcPr>
                <w:p w14:paraId="5D618CA6">
                  <w:pPr>
                    <w:pStyle w:val="83"/>
                    <w:rPr>
                      <w:rFonts w:hint="default"/>
                    </w:rPr>
                  </w:pPr>
                  <w:r>
                    <w:t>2.0</w:t>
                  </w:r>
                </w:p>
              </w:tc>
              <w:tc>
                <w:tcPr>
                  <w:tcW w:w="622" w:type="pct"/>
                  <w:vAlign w:val="center"/>
                </w:tcPr>
                <w:p w14:paraId="025DB2C5">
                  <w:pPr>
                    <w:pStyle w:val="83"/>
                    <w:rPr>
                      <w:rFonts w:hint="default"/>
                    </w:rPr>
                  </w:pPr>
                  <w:r>
                    <w:t>1h平均浓度</w:t>
                  </w:r>
                </w:p>
              </w:tc>
              <w:tc>
                <w:tcPr>
                  <w:tcW w:w="414" w:type="pct"/>
                  <w:vAlign w:val="center"/>
                </w:tcPr>
                <w:p w14:paraId="5F9FE9B6">
                  <w:pPr>
                    <w:pStyle w:val="83"/>
                    <w:rPr>
                      <w:rFonts w:hint="default"/>
                    </w:rPr>
                  </w:pPr>
                  <w:r>
                    <w:t>6</w:t>
                  </w:r>
                </w:p>
              </w:tc>
              <w:tc>
                <w:tcPr>
                  <w:tcW w:w="1978" w:type="pct"/>
                  <w:vMerge w:val="restart"/>
                  <w:vAlign w:val="center"/>
                </w:tcPr>
                <w:p w14:paraId="14D5C32A">
                  <w:pPr>
                    <w:pStyle w:val="83"/>
                    <w:rPr>
                      <w:rFonts w:hint="default"/>
                    </w:rPr>
                  </w:pPr>
                  <w:r>
                    <w:t>《合成树脂工业污染物排放标准》（GB31572-2015，含2024年修改单）表5特别排放限值、表9浓度限值；</w:t>
                  </w:r>
                </w:p>
                <w:p w14:paraId="67ACD6C8">
                  <w:pPr>
                    <w:pStyle w:val="83"/>
                    <w:rPr>
                      <w:rFonts w:hint="default"/>
                      <w:highlight w:val="none"/>
                    </w:rPr>
                  </w:pPr>
                  <w:r>
                    <w:rPr>
                      <w:rFonts w:hint="eastAsia"/>
                      <w:highlight w:val="none"/>
                    </w:rPr>
                    <w:t>《工业企业挥发性有机物排放标准》（DB35/1782-2018）表3</w:t>
                  </w:r>
                  <w:r>
                    <w:rPr>
                      <w:highlight w:val="none"/>
                    </w:rPr>
                    <w:t>；</w:t>
                  </w:r>
                </w:p>
                <w:p w14:paraId="6CB89D28">
                  <w:pPr>
                    <w:pStyle w:val="83"/>
                    <w:rPr>
                      <w:rFonts w:hint="default"/>
                    </w:rPr>
                  </w:pPr>
                  <w:r>
                    <w:t>《挥发性有机物无组织排放控制标准》（GB37822—2019）表A.1中的特别排放限值</w:t>
                  </w:r>
                </w:p>
              </w:tc>
            </w:tr>
            <w:tr w14:paraId="70AF8B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96" w:type="pct"/>
                  <w:vMerge w:val="continue"/>
                  <w:vAlign w:val="center"/>
                </w:tcPr>
                <w:p w14:paraId="0BA8AB30">
                  <w:pPr>
                    <w:pStyle w:val="83"/>
                    <w:rPr>
                      <w:rFonts w:hint="default"/>
                    </w:rPr>
                  </w:pPr>
                </w:p>
              </w:tc>
              <w:tc>
                <w:tcPr>
                  <w:tcW w:w="476" w:type="pct"/>
                  <w:vMerge w:val="continue"/>
                  <w:vAlign w:val="center"/>
                </w:tcPr>
                <w:p w14:paraId="60BC1838">
                  <w:pPr>
                    <w:pStyle w:val="83"/>
                    <w:rPr>
                      <w:rFonts w:hint="default"/>
                    </w:rPr>
                  </w:pPr>
                </w:p>
              </w:tc>
              <w:tc>
                <w:tcPr>
                  <w:tcW w:w="712" w:type="pct"/>
                  <w:vMerge w:val="continue"/>
                  <w:vAlign w:val="center"/>
                </w:tcPr>
                <w:p w14:paraId="2AFA0223">
                  <w:pPr>
                    <w:pStyle w:val="83"/>
                    <w:rPr>
                      <w:rFonts w:hint="default"/>
                    </w:rPr>
                  </w:pPr>
                </w:p>
              </w:tc>
              <w:tc>
                <w:tcPr>
                  <w:tcW w:w="622" w:type="pct"/>
                  <w:vAlign w:val="center"/>
                </w:tcPr>
                <w:p w14:paraId="5430B628">
                  <w:pPr>
                    <w:pStyle w:val="83"/>
                    <w:rPr>
                      <w:rFonts w:hint="default"/>
                    </w:rPr>
                  </w:pPr>
                  <w:r>
                    <w:t>任意1次浓度</w:t>
                  </w:r>
                </w:p>
              </w:tc>
              <w:tc>
                <w:tcPr>
                  <w:tcW w:w="414" w:type="pct"/>
                  <w:vAlign w:val="center"/>
                </w:tcPr>
                <w:p w14:paraId="6BC8F445">
                  <w:pPr>
                    <w:pStyle w:val="83"/>
                    <w:rPr>
                      <w:rFonts w:hint="default"/>
                    </w:rPr>
                  </w:pPr>
                  <w:r>
                    <w:t>20</w:t>
                  </w:r>
                </w:p>
              </w:tc>
              <w:tc>
                <w:tcPr>
                  <w:tcW w:w="1978" w:type="pct"/>
                  <w:vMerge w:val="continue"/>
                  <w:vAlign w:val="center"/>
                </w:tcPr>
                <w:p w14:paraId="174FEFCF">
                  <w:pPr>
                    <w:pStyle w:val="83"/>
                    <w:rPr>
                      <w:rFonts w:hint="default"/>
                    </w:rPr>
                  </w:pPr>
                </w:p>
              </w:tc>
            </w:tr>
            <w:tr w14:paraId="4A4EB71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96" w:type="pct"/>
                  <w:vAlign w:val="center"/>
                </w:tcPr>
                <w:p w14:paraId="198E3D86">
                  <w:pPr>
                    <w:pStyle w:val="83"/>
                    <w:rPr>
                      <w:rFonts w:hint="default"/>
                    </w:rPr>
                  </w:pPr>
                  <w:r>
                    <w:t>颗粒物</w:t>
                  </w:r>
                </w:p>
              </w:tc>
              <w:tc>
                <w:tcPr>
                  <w:tcW w:w="476" w:type="pct"/>
                  <w:vAlign w:val="center"/>
                </w:tcPr>
                <w:p w14:paraId="00DAF0DC">
                  <w:pPr>
                    <w:pStyle w:val="83"/>
                    <w:rPr>
                      <w:rFonts w:hint="default"/>
                    </w:rPr>
                  </w:pPr>
                  <w:r>
                    <w:t>20</w:t>
                  </w:r>
                </w:p>
              </w:tc>
              <w:tc>
                <w:tcPr>
                  <w:tcW w:w="712" w:type="pct"/>
                  <w:vAlign w:val="center"/>
                </w:tcPr>
                <w:p w14:paraId="6A56DDB8">
                  <w:pPr>
                    <w:pStyle w:val="83"/>
                    <w:rPr>
                      <w:rFonts w:hint="default"/>
                    </w:rPr>
                  </w:pPr>
                  <w:r>
                    <w:t>1.0</w:t>
                  </w:r>
                </w:p>
              </w:tc>
              <w:tc>
                <w:tcPr>
                  <w:tcW w:w="1036" w:type="pct"/>
                  <w:gridSpan w:val="2"/>
                  <w:vAlign w:val="center"/>
                </w:tcPr>
                <w:p w14:paraId="2184C5B9">
                  <w:pPr>
                    <w:pStyle w:val="83"/>
                    <w:rPr>
                      <w:rFonts w:hint="default"/>
                    </w:rPr>
                  </w:pPr>
                  <w:r>
                    <w:t>/</w:t>
                  </w:r>
                </w:p>
              </w:tc>
              <w:tc>
                <w:tcPr>
                  <w:tcW w:w="1978" w:type="pct"/>
                  <w:vMerge w:val="continue"/>
                  <w:vAlign w:val="center"/>
                </w:tcPr>
                <w:p w14:paraId="7DA1FC08">
                  <w:pPr>
                    <w:pStyle w:val="83"/>
                    <w:rPr>
                      <w:rFonts w:hint="default"/>
                    </w:rPr>
                  </w:pPr>
                </w:p>
              </w:tc>
            </w:tr>
            <w:tr w14:paraId="10AA21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796" w:type="pct"/>
                  <w:vAlign w:val="center"/>
                </w:tcPr>
                <w:p w14:paraId="48D2D4AE">
                  <w:pPr>
                    <w:pStyle w:val="83"/>
                    <w:rPr>
                      <w:rFonts w:hint="default"/>
                    </w:rPr>
                  </w:pPr>
                  <w:r>
                    <w:t>单位产品非甲烷总烃排放量（kg/t产品）</w:t>
                  </w:r>
                </w:p>
              </w:tc>
              <w:tc>
                <w:tcPr>
                  <w:tcW w:w="476" w:type="pct"/>
                  <w:vAlign w:val="center"/>
                </w:tcPr>
                <w:p w14:paraId="5B36038E">
                  <w:pPr>
                    <w:pStyle w:val="83"/>
                    <w:rPr>
                      <w:rFonts w:hint="default"/>
                    </w:rPr>
                  </w:pPr>
                  <w:r>
                    <w:t>0.5</w:t>
                  </w:r>
                </w:p>
              </w:tc>
              <w:tc>
                <w:tcPr>
                  <w:tcW w:w="712" w:type="pct"/>
                  <w:vAlign w:val="center"/>
                </w:tcPr>
                <w:p w14:paraId="42335174">
                  <w:pPr>
                    <w:pStyle w:val="83"/>
                    <w:rPr>
                      <w:rFonts w:hint="default"/>
                    </w:rPr>
                  </w:pPr>
                  <w:r>
                    <w:t>/</w:t>
                  </w:r>
                </w:p>
              </w:tc>
              <w:tc>
                <w:tcPr>
                  <w:tcW w:w="1036" w:type="pct"/>
                  <w:gridSpan w:val="2"/>
                  <w:vAlign w:val="center"/>
                </w:tcPr>
                <w:p w14:paraId="45C89413">
                  <w:pPr>
                    <w:pStyle w:val="83"/>
                    <w:rPr>
                      <w:rFonts w:hint="default"/>
                    </w:rPr>
                  </w:pPr>
                  <w:r>
                    <w:t>/</w:t>
                  </w:r>
                </w:p>
              </w:tc>
              <w:tc>
                <w:tcPr>
                  <w:tcW w:w="1978" w:type="pct"/>
                  <w:vMerge w:val="continue"/>
                  <w:vAlign w:val="center"/>
                </w:tcPr>
                <w:p w14:paraId="3AE57AF0">
                  <w:pPr>
                    <w:pStyle w:val="83"/>
                    <w:rPr>
                      <w:rFonts w:hint="default"/>
                    </w:rPr>
                  </w:pPr>
                </w:p>
              </w:tc>
            </w:tr>
            <w:tr w14:paraId="40B888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5000" w:type="pct"/>
                  <w:gridSpan w:val="6"/>
                  <w:vAlign w:val="center"/>
                </w:tcPr>
                <w:p w14:paraId="69D237EE">
                  <w:pPr>
                    <w:pStyle w:val="83"/>
                    <w:jc w:val="left"/>
                    <w:rPr>
                      <w:rFonts w:hint="default"/>
                    </w:rPr>
                  </w:pPr>
                  <w:r>
                    <w:rPr>
                      <w:sz w:val="18"/>
                      <w:szCs w:val="18"/>
                    </w:rPr>
                    <w:t>备注：本项目排气筒P1~P4均执行表内排放标准。</w:t>
                  </w:r>
                </w:p>
              </w:tc>
            </w:tr>
          </w:tbl>
          <w:p w14:paraId="025FCE7C">
            <w:pPr>
              <w:pStyle w:val="4"/>
              <w:spacing w:before="120" w:after="0" w:afterLines="0"/>
            </w:pPr>
            <w:r>
              <w:rPr>
                <w:rFonts w:hint="eastAsia"/>
              </w:rPr>
              <w:t>3.3.2 水污染物排放标准</w:t>
            </w:r>
          </w:p>
          <w:p w14:paraId="30810DAA">
            <w:pPr>
              <w:ind w:firstLine="480"/>
            </w:pPr>
            <w:r>
              <w:rPr>
                <w:rFonts w:hint="eastAsia"/>
              </w:rPr>
              <w:t>本次项目生产废水为地面清洗废水、组件清洗废水、空调加湿系统废水、实验器皿清洗废水、切粒冷却水、干燥系统冷凝水等，项目使用的原料均为企业现有工程产品以及洁净边角料，不涉及重金属污染物，生产废水经厂区综合废水处理站处理后回用于聚合工程冷却水系统，综合废水处理站产生的反渗透浓水执行《合成树脂工业污染物排放标准》（GB31572-2015，含2024年修改单）表1水污染物排放限值间接排放标准，未规定限值的pH、SS、COD、BOD5、氨氮、总磷、总氮、总有机碳等污染物按照福建永荣锦江股份有限公司与福州恒友水务有限公司签订的《福建永荣锦江股份有限公司生产废水排放标准协议》执行（附件10），石油类参照执行《污水排入城镇下水道水质标准》（GB/T31962-2015）表1中的B级标准，并通过市政污水管网纳入滨海工业区污水处理厂集中处理，尾水最终排入牛头湾海域。回用水水质应达到《城市污水再生利用 工业用水水质》（GB/T19923-2024）中工艺与产品用水标准后回用于循环冷却水系统。生活污水经化粪池处理达到《污水综合排放标准》（GB8978-1996）表4中三级标准（氨氮参照执行《污水排入城镇下水道水质标准》（GB/T31962-2015）表1中B级标准）后通过市政污水管网纳入滨海工业区污水处理厂集中，尾水最终排入牛头湾海域。福州市滨海工业区污水处理厂尾水排放执行《城镇污水处理厂污染物排放标准》（GB18918-2002）一级A排放标准。</w:t>
            </w:r>
          </w:p>
          <w:p w14:paraId="61F60973">
            <w:pPr>
              <w:ind w:firstLine="480"/>
            </w:pPr>
            <w:r>
              <w:rPr>
                <w:rFonts w:hint="eastAsia"/>
              </w:rPr>
              <w:t>项目单位产品基准排水量应执行《合成树脂工业污染物排放标准》（GB31572-2015，含2024年修改单）表3中“聚酰胺树脂”的标准限值（4.0m</w:t>
            </w:r>
            <w:r>
              <w:rPr>
                <w:rFonts w:hint="eastAsia"/>
                <w:vertAlign w:val="superscript"/>
              </w:rPr>
              <w:t>3</w:t>
            </w:r>
            <w:r>
              <w:rPr>
                <w:rFonts w:hint="eastAsia"/>
              </w:rPr>
              <w:t>/t产品）。</w:t>
            </w:r>
          </w:p>
          <w:p w14:paraId="36D577B0">
            <w:pPr>
              <w:ind w:firstLine="480"/>
            </w:pPr>
            <w:r>
              <w:rPr>
                <w:rFonts w:hint="eastAsia"/>
              </w:rPr>
              <w:t>本次项目废水排放标准详见表3.3-2至表3.3-4。</w:t>
            </w:r>
          </w:p>
          <w:p w14:paraId="365D7EE5">
            <w:pPr>
              <w:pStyle w:val="13"/>
            </w:pPr>
            <w:r>
              <w:rPr>
                <w:rFonts w:hint="eastAsia"/>
              </w:rPr>
              <w:t>表3.3-2  废水回用水质标准一览表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1230"/>
              <w:gridCol w:w="1504"/>
              <w:gridCol w:w="1503"/>
              <w:gridCol w:w="3335"/>
            </w:tblGrid>
            <w:tr w14:paraId="112974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pct"/>
                  <w:vAlign w:val="center"/>
                </w:tcPr>
                <w:p w14:paraId="3BD9D682">
                  <w:pPr>
                    <w:pStyle w:val="83"/>
                    <w:rPr>
                      <w:rFonts w:hint="default"/>
                    </w:rPr>
                  </w:pPr>
                  <w:r>
                    <w:t>序号</w:t>
                  </w:r>
                </w:p>
              </w:tc>
              <w:tc>
                <w:tcPr>
                  <w:tcW w:w="748" w:type="pct"/>
                  <w:vAlign w:val="center"/>
                </w:tcPr>
                <w:p w14:paraId="2F06FF5C">
                  <w:pPr>
                    <w:pStyle w:val="83"/>
                    <w:rPr>
                      <w:rFonts w:hint="default"/>
                    </w:rPr>
                  </w:pPr>
                  <w:r>
                    <w:t>项目</w:t>
                  </w:r>
                </w:p>
              </w:tc>
              <w:tc>
                <w:tcPr>
                  <w:tcW w:w="915" w:type="pct"/>
                  <w:vAlign w:val="center"/>
                </w:tcPr>
                <w:p w14:paraId="3A7F46DC">
                  <w:pPr>
                    <w:pStyle w:val="83"/>
                    <w:rPr>
                      <w:rFonts w:hint="default"/>
                    </w:rPr>
                  </w:pPr>
                  <w:r>
                    <w:t>单位</w:t>
                  </w:r>
                </w:p>
              </w:tc>
              <w:tc>
                <w:tcPr>
                  <w:tcW w:w="914" w:type="pct"/>
                  <w:vAlign w:val="center"/>
                </w:tcPr>
                <w:p w14:paraId="3FCE48FA">
                  <w:pPr>
                    <w:pStyle w:val="83"/>
                    <w:rPr>
                      <w:rFonts w:hint="default"/>
                    </w:rPr>
                  </w:pPr>
                  <w:r>
                    <w:t>标准限值</w:t>
                  </w:r>
                </w:p>
              </w:tc>
              <w:tc>
                <w:tcPr>
                  <w:tcW w:w="2028" w:type="pct"/>
                  <w:vAlign w:val="center"/>
                </w:tcPr>
                <w:p w14:paraId="67D27D9A">
                  <w:pPr>
                    <w:pStyle w:val="83"/>
                    <w:rPr>
                      <w:rFonts w:hint="default"/>
                    </w:rPr>
                  </w:pPr>
                  <w:r>
                    <w:t>标准来源</w:t>
                  </w:r>
                </w:p>
              </w:tc>
            </w:tr>
            <w:tr w14:paraId="17936F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pct"/>
                  <w:vAlign w:val="center"/>
                </w:tcPr>
                <w:p w14:paraId="7E685B58">
                  <w:pPr>
                    <w:pStyle w:val="83"/>
                    <w:rPr>
                      <w:rFonts w:hint="default"/>
                    </w:rPr>
                  </w:pPr>
                  <w:r>
                    <w:t>1</w:t>
                  </w:r>
                </w:p>
              </w:tc>
              <w:tc>
                <w:tcPr>
                  <w:tcW w:w="748" w:type="pct"/>
                  <w:vAlign w:val="center"/>
                </w:tcPr>
                <w:p w14:paraId="04854C4A">
                  <w:pPr>
                    <w:pStyle w:val="83"/>
                    <w:rPr>
                      <w:rFonts w:hint="default"/>
                    </w:rPr>
                  </w:pPr>
                  <w:r>
                    <w:t>pH</w:t>
                  </w:r>
                </w:p>
              </w:tc>
              <w:tc>
                <w:tcPr>
                  <w:tcW w:w="915" w:type="pct"/>
                  <w:vAlign w:val="center"/>
                </w:tcPr>
                <w:p w14:paraId="08CC562E">
                  <w:pPr>
                    <w:pStyle w:val="83"/>
                    <w:rPr>
                      <w:rFonts w:hint="default"/>
                    </w:rPr>
                  </w:pPr>
                  <w:r>
                    <w:t>无量纲</w:t>
                  </w:r>
                </w:p>
              </w:tc>
              <w:tc>
                <w:tcPr>
                  <w:tcW w:w="914" w:type="pct"/>
                  <w:vAlign w:val="center"/>
                </w:tcPr>
                <w:p w14:paraId="2212C508">
                  <w:pPr>
                    <w:pStyle w:val="83"/>
                    <w:rPr>
                      <w:rFonts w:hint="default"/>
                    </w:rPr>
                  </w:pPr>
                  <w:r>
                    <w:t>6.5~8.5</w:t>
                  </w:r>
                </w:p>
              </w:tc>
              <w:tc>
                <w:tcPr>
                  <w:tcW w:w="2028" w:type="pct"/>
                  <w:vMerge w:val="restart"/>
                  <w:vAlign w:val="center"/>
                </w:tcPr>
                <w:p w14:paraId="451D7EBA">
                  <w:pPr>
                    <w:pStyle w:val="83"/>
                    <w:rPr>
                      <w:rFonts w:hint="default"/>
                    </w:rPr>
                  </w:pPr>
                  <w:r>
                    <w:t>《城市污水再生利用工业用水水质》（GB/T19923-2005）中工艺与产品用水标准</w:t>
                  </w:r>
                </w:p>
              </w:tc>
            </w:tr>
            <w:tr w14:paraId="2A78D2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pct"/>
                  <w:vAlign w:val="center"/>
                </w:tcPr>
                <w:p w14:paraId="0E2D2C1C">
                  <w:pPr>
                    <w:pStyle w:val="83"/>
                    <w:rPr>
                      <w:rFonts w:hint="default"/>
                    </w:rPr>
                  </w:pPr>
                  <w:r>
                    <w:t>2</w:t>
                  </w:r>
                </w:p>
              </w:tc>
              <w:tc>
                <w:tcPr>
                  <w:tcW w:w="748" w:type="pct"/>
                  <w:vAlign w:val="center"/>
                </w:tcPr>
                <w:p w14:paraId="7601D462">
                  <w:pPr>
                    <w:pStyle w:val="83"/>
                    <w:rPr>
                      <w:rFonts w:hint="default"/>
                    </w:rPr>
                  </w:pPr>
                  <w:r>
                    <w:t>COD</w:t>
                  </w:r>
                </w:p>
              </w:tc>
              <w:tc>
                <w:tcPr>
                  <w:tcW w:w="915" w:type="pct"/>
                  <w:vAlign w:val="center"/>
                </w:tcPr>
                <w:p w14:paraId="3F3DA5DE">
                  <w:pPr>
                    <w:pStyle w:val="83"/>
                    <w:rPr>
                      <w:rFonts w:hint="default"/>
                    </w:rPr>
                  </w:pPr>
                  <w:r>
                    <w:t>mg/L</w:t>
                  </w:r>
                </w:p>
              </w:tc>
              <w:tc>
                <w:tcPr>
                  <w:tcW w:w="914" w:type="pct"/>
                  <w:vAlign w:val="center"/>
                </w:tcPr>
                <w:p w14:paraId="3B110FA3">
                  <w:pPr>
                    <w:pStyle w:val="83"/>
                    <w:rPr>
                      <w:rFonts w:hint="default"/>
                    </w:rPr>
                  </w:pPr>
                  <w:r>
                    <w:t>60</w:t>
                  </w:r>
                </w:p>
              </w:tc>
              <w:tc>
                <w:tcPr>
                  <w:tcW w:w="2028" w:type="pct"/>
                  <w:vMerge w:val="continue"/>
                  <w:vAlign w:val="center"/>
                </w:tcPr>
                <w:p w14:paraId="1891BFD3">
                  <w:pPr>
                    <w:pStyle w:val="83"/>
                    <w:rPr>
                      <w:rFonts w:hint="default"/>
                    </w:rPr>
                  </w:pPr>
                </w:p>
              </w:tc>
            </w:tr>
            <w:tr w14:paraId="325215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pct"/>
                  <w:vAlign w:val="center"/>
                </w:tcPr>
                <w:p w14:paraId="783BD172">
                  <w:pPr>
                    <w:pStyle w:val="83"/>
                    <w:rPr>
                      <w:rFonts w:hint="default"/>
                    </w:rPr>
                  </w:pPr>
                  <w:r>
                    <w:t>3</w:t>
                  </w:r>
                </w:p>
              </w:tc>
              <w:tc>
                <w:tcPr>
                  <w:tcW w:w="748" w:type="pct"/>
                  <w:vAlign w:val="center"/>
                </w:tcPr>
                <w:p w14:paraId="29DEED7D">
                  <w:pPr>
                    <w:pStyle w:val="83"/>
                    <w:rPr>
                      <w:rFonts w:hint="default"/>
                    </w:rPr>
                  </w:pPr>
                  <w:r>
                    <w:t>BOD5</w:t>
                  </w:r>
                </w:p>
              </w:tc>
              <w:tc>
                <w:tcPr>
                  <w:tcW w:w="915" w:type="pct"/>
                  <w:vAlign w:val="center"/>
                </w:tcPr>
                <w:p w14:paraId="68499D9D">
                  <w:pPr>
                    <w:pStyle w:val="83"/>
                    <w:rPr>
                      <w:rFonts w:hint="default"/>
                    </w:rPr>
                  </w:pPr>
                  <w:r>
                    <w:t>mg/L</w:t>
                  </w:r>
                </w:p>
              </w:tc>
              <w:tc>
                <w:tcPr>
                  <w:tcW w:w="914" w:type="pct"/>
                  <w:vAlign w:val="center"/>
                </w:tcPr>
                <w:p w14:paraId="6B307BA1">
                  <w:pPr>
                    <w:pStyle w:val="83"/>
                    <w:rPr>
                      <w:rFonts w:hint="default"/>
                    </w:rPr>
                  </w:pPr>
                  <w:r>
                    <w:t>10</w:t>
                  </w:r>
                </w:p>
              </w:tc>
              <w:tc>
                <w:tcPr>
                  <w:tcW w:w="2028" w:type="pct"/>
                  <w:vMerge w:val="continue"/>
                  <w:vAlign w:val="center"/>
                </w:tcPr>
                <w:p w14:paraId="3E03C966">
                  <w:pPr>
                    <w:pStyle w:val="83"/>
                    <w:rPr>
                      <w:rFonts w:hint="default"/>
                    </w:rPr>
                  </w:pPr>
                </w:p>
              </w:tc>
            </w:tr>
            <w:tr w14:paraId="28C7D8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pct"/>
                  <w:vAlign w:val="center"/>
                </w:tcPr>
                <w:p w14:paraId="121F6CE8">
                  <w:pPr>
                    <w:pStyle w:val="83"/>
                    <w:rPr>
                      <w:rFonts w:hint="default"/>
                    </w:rPr>
                  </w:pPr>
                  <w:r>
                    <w:t>4</w:t>
                  </w:r>
                </w:p>
              </w:tc>
              <w:tc>
                <w:tcPr>
                  <w:tcW w:w="748" w:type="pct"/>
                  <w:vAlign w:val="center"/>
                </w:tcPr>
                <w:p w14:paraId="5AA1AAEA">
                  <w:pPr>
                    <w:pStyle w:val="83"/>
                    <w:rPr>
                      <w:rFonts w:hint="default"/>
                    </w:rPr>
                  </w:pPr>
                  <w:r>
                    <w:t>氨氮</w:t>
                  </w:r>
                </w:p>
              </w:tc>
              <w:tc>
                <w:tcPr>
                  <w:tcW w:w="915" w:type="pct"/>
                  <w:vAlign w:val="center"/>
                </w:tcPr>
                <w:p w14:paraId="0726BA6A">
                  <w:pPr>
                    <w:pStyle w:val="83"/>
                    <w:rPr>
                      <w:rFonts w:hint="default"/>
                    </w:rPr>
                  </w:pPr>
                  <w:r>
                    <w:t>mg/L</w:t>
                  </w:r>
                </w:p>
              </w:tc>
              <w:tc>
                <w:tcPr>
                  <w:tcW w:w="914" w:type="pct"/>
                  <w:vAlign w:val="center"/>
                </w:tcPr>
                <w:p w14:paraId="73CA1B18">
                  <w:pPr>
                    <w:pStyle w:val="83"/>
                    <w:rPr>
                      <w:rFonts w:hint="default"/>
                    </w:rPr>
                  </w:pPr>
                  <w:r>
                    <w:t>10</w:t>
                  </w:r>
                </w:p>
              </w:tc>
              <w:tc>
                <w:tcPr>
                  <w:tcW w:w="2028" w:type="pct"/>
                  <w:vMerge w:val="continue"/>
                  <w:vAlign w:val="center"/>
                </w:tcPr>
                <w:p w14:paraId="2B7E5677">
                  <w:pPr>
                    <w:pStyle w:val="83"/>
                    <w:rPr>
                      <w:rFonts w:hint="default"/>
                    </w:rPr>
                  </w:pPr>
                </w:p>
              </w:tc>
            </w:tr>
            <w:tr w14:paraId="5445A4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pct"/>
                  <w:vAlign w:val="center"/>
                </w:tcPr>
                <w:p w14:paraId="15D0C064">
                  <w:pPr>
                    <w:pStyle w:val="83"/>
                    <w:rPr>
                      <w:rFonts w:hint="default"/>
                    </w:rPr>
                  </w:pPr>
                  <w:r>
                    <w:t>5</w:t>
                  </w:r>
                </w:p>
              </w:tc>
              <w:tc>
                <w:tcPr>
                  <w:tcW w:w="748" w:type="pct"/>
                  <w:vAlign w:val="center"/>
                </w:tcPr>
                <w:p w14:paraId="047177C0">
                  <w:pPr>
                    <w:pStyle w:val="83"/>
                    <w:rPr>
                      <w:rFonts w:hint="default"/>
                    </w:rPr>
                  </w:pPr>
                  <w:r>
                    <w:t>石油类</w:t>
                  </w:r>
                </w:p>
              </w:tc>
              <w:tc>
                <w:tcPr>
                  <w:tcW w:w="915" w:type="pct"/>
                  <w:vAlign w:val="center"/>
                </w:tcPr>
                <w:p w14:paraId="100BB5CD">
                  <w:pPr>
                    <w:pStyle w:val="83"/>
                    <w:rPr>
                      <w:rFonts w:hint="default"/>
                    </w:rPr>
                  </w:pPr>
                  <w:r>
                    <w:t>mg/L</w:t>
                  </w:r>
                </w:p>
              </w:tc>
              <w:tc>
                <w:tcPr>
                  <w:tcW w:w="914" w:type="pct"/>
                  <w:vAlign w:val="center"/>
                </w:tcPr>
                <w:p w14:paraId="2C4A4407">
                  <w:pPr>
                    <w:pStyle w:val="83"/>
                    <w:rPr>
                      <w:rFonts w:hint="default"/>
                    </w:rPr>
                  </w:pPr>
                  <w:r>
                    <w:t>1</w:t>
                  </w:r>
                </w:p>
              </w:tc>
              <w:tc>
                <w:tcPr>
                  <w:tcW w:w="2028" w:type="pct"/>
                  <w:vMerge w:val="continue"/>
                  <w:vAlign w:val="center"/>
                </w:tcPr>
                <w:p w14:paraId="3820901E">
                  <w:pPr>
                    <w:pStyle w:val="83"/>
                    <w:rPr>
                      <w:rFonts w:hint="default"/>
                    </w:rPr>
                  </w:pPr>
                </w:p>
              </w:tc>
            </w:tr>
          </w:tbl>
          <w:p w14:paraId="0ED772CD">
            <w:pPr>
              <w:pStyle w:val="13"/>
            </w:pPr>
            <w:r>
              <w:rPr>
                <w:rFonts w:hint="eastAsia"/>
              </w:rPr>
              <w:t>表3.3-3  污水接管标准一览表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2752"/>
              <w:gridCol w:w="1391"/>
              <w:gridCol w:w="1565"/>
              <w:gridCol w:w="1566"/>
            </w:tblGrid>
            <w:tr w14:paraId="186A5E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Merge w:val="restart"/>
                  <w:vAlign w:val="center"/>
                </w:tcPr>
                <w:p w14:paraId="7A5BE3BB">
                  <w:pPr>
                    <w:pStyle w:val="83"/>
                    <w:rPr>
                      <w:rFonts w:hint="default"/>
                    </w:rPr>
                  </w:pPr>
                  <w:r>
                    <w:t>序号</w:t>
                  </w:r>
                </w:p>
              </w:tc>
              <w:tc>
                <w:tcPr>
                  <w:tcW w:w="1674" w:type="pct"/>
                  <w:vMerge w:val="restart"/>
                  <w:vAlign w:val="center"/>
                </w:tcPr>
                <w:p w14:paraId="323C8528">
                  <w:pPr>
                    <w:pStyle w:val="83"/>
                    <w:rPr>
                      <w:rFonts w:hint="default"/>
                    </w:rPr>
                  </w:pPr>
                  <w:r>
                    <w:t>项目</w:t>
                  </w:r>
                </w:p>
              </w:tc>
              <w:tc>
                <w:tcPr>
                  <w:tcW w:w="846" w:type="pct"/>
                  <w:vMerge w:val="restart"/>
                  <w:vAlign w:val="center"/>
                </w:tcPr>
                <w:p w14:paraId="56CD0BB3">
                  <w:pPr>
                    <w:pStyle w:val="83"/>
                    <w:rPr>
                      <w:rFonts w:hint="default"/>
                    </w:rPr>
                  </w:pPr>
                  <w:r>
                    <w:t>单位</w:t>
                  </w:r>
                </w:p>
              </w:tc>
              <w:tc>
                <w:tcPr>
                  <w:tcW w:w="1904" w:type="pct"/>
                  <w:gridSpan w:val="2"/>
                  <w:vAlign w:val="center"/>
                </w:tcPr>
                <w:p w14:paraId="1346A666">
                  <w:pPr>
                    <w:pStyle w:val="83"/>
                    <w:rPr>
                      <w:rFonts w:hint="default"/>
                    </w:rPr>
                  </w:pPr>
                  <w:r>
                    <w:t>标准限值</w:t>
                  </w:r>
                </w:p>
              </w:tc>
            </w:tr>
            <w:tr w14:paraId="534D79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Merge w:val="continue"/>
                  <w:vAlign w:val="center"/>
                </w:tcPr>
                <w:p w14:paraId="43C23229">
                  <w:pPr>
                    <w:pStyle w:val="83"/>
                    <w:rPr>
                      <w:rFonts w:hint="default"/>
                    </w:rPr>
                  </w:pPr>
                </w:p>
              </w:tc>
              <w:tc>
                <w:tcPr>
                  <w:tcW w:w="1674" w:type="pct"/>
                  <w:vMerge w:val="continue"/>
                  <w:vAlign w:val="center"/>
                </w:tcPr>
                <w:p w14:paraId="0C0B2823">
                  <w:pPr>
                    <w:pStyle w:val="83"/>
                    <w:rPr>
                      <w:rFonts w:hint="default"/>
                    </w:rPr>
                  </w:pPr>
                </w:p>
              </w:tc>
              <w:tc>
                <w:tcPr>
                  <w:tcW w:w="846" w:type="pct"/>
                  <w:vMerge w:val="continue"/>
                  <w:vAlign w:val="center"/>
                </w:tcPr>
                <w:p w14:paraId="230F8701">
                  <w:pPr>
                    <w:pStyle w:val="83"/>
                    <w:rPr>
                      <w:rFonts w:hint="default"/>
                    </w:rPr>
                  </w:pPr>
                </w:p>
              </w:tc>
              <w:tc>
                <w:tcPr>
                  <w:tcW w:w="952" w:type="pct"/>
                  <w:vAlign w:val="center"/>
                </w:tcPr>
                <w:p w14:paraId="25BB055C">
                  <w:pPr>
                    <w:pStyle w:val="83"/>
                    <w:rPr>
                      <w:rFonts w:hint="default"/>
                    </w:rPr>
                  </w:pPr>
                  <w:r>
                    <w:t>生产废水</w:t>
                  </w:r>
                </w:p>
              </w:tc>
              <w:tc>
                <w:tcPr>
                  <w:tcW w:w="952" w:type="pct"/>
                  <w:vAlign w:val="center"/>
                </w:tcPr>
                <w:p w14:paraId="12C965A7">
                  <w:pPr>
                    <w:pStyle w:val="83"/>
                    <w:rPr>
                      <w:rFonts w:hint="default"/>
                    </w:rPr>
                  </w:pPr>
                  <w:r>
                    <w:t>生活污水</w:t>
                  </w:r>
                </w:p>
              </w:tc>
            </w:tr>
            <w:tr w14:paraId="3EE6AB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5E30A3CC">
                  <w:pPr>
                    <w:pStyle w:val="83"/>
                    <w:rPr>
                      <w:rFonts w:hint="default"/>
                    </w:rPr>
                  </w:pPr>
                  <w:r>
                    <w:t>1</w:t>
                  </w:r>
                </w:p>
              </w:tc>
              <w:tc>
                <w:tcPr>
                  <w:tcW w:w="1674" w:type="pct"/>
                  <w:vAlign w:val="center"/>
                </w:tcPr>
                <w:p w14:paraId="0B08C15F">
                  <w:pPr>
                    <w:pStyle w:val="83"/>
                    <w:rPr>
                      <w:rFonts w:hint="default"/>
                    </w:rPr>
                  </w:pPr>
                  <w:r>
                    <w:t>pH</w:t>
                  </w:r>
                </w:p>
              </w:tc>
              <w:tc>
                <w:tcPr>
                  <w:tcW w:w="846" w:type="pct"/>
                  <w:vAlign w:val="center"/>
                </w:tcPr>
                <w:p w14:paraId="69EF2171">
                  <w:pPr>
                    <w:pStyle w:val="83"/>
                    <w:rPr>
                      <w:rFonts w:hint="default"/>
                    </w:rPr>
                  </w:pPr>
                  <w:r>
                    <w:t>无量纲</w:t>
                  </w:r>
                </w:p>
              </w:tc>
              <w:tc>
                <w:tcPr>
                  <w:tcW w:w="952" w:type="pct"/>
                  <w:vAlign w:val="center"/>
                </w:tcPr>
                <w:p w14:paraId="15E2D447">
                  <w:pPr>
                    <w:pStyle w:val="83"/>
                    <w:rPr>
                      <w:rFonts w:hint="default"/>
                    </w:rPr>
                  </w:pPr>
                  <w:r>
                    <w:t>6~9</w:t>
                  </w:r>
                </w:p>
              </w:tc>
              <w:tc>
                <w:tcPr>
                  <w:tcW w:w="952" w:type="pct"/>
                </w:tcPr>
                <w:p w14:paraId="39F674AC">
                  <w:pPr>
                    <w:pStyle w:val="83"/>
                    <w:rPr>
                      <w:rFonts w:hint="default"/>
                    </w:rPr>
                  </w:pPr>
                  <w:r>
                    <w:t>6~9</w:t>
                  </w:r>
                </w:p>
              </w:tc>
            </w:tr>
            <w:tr w14:paraId="3691F2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325D5FFC">
                  <w:pPr>
                    <w:pStyle w:val="83"/>
                    <w:rPr>
                      <w:rFonts w:hint="default"/>
                    </w:rPr>
                  </w:pPr>
                  <w:r>
                    <w:t>2</w:t>
                  </w:r>
                </w:p>
              </w:tc>
              <w:tc>
                <w:tcPr>
                  <w:tcW w:w="1674" w:type="pct"/>
                  <w:vAlign w:val="center"/>
                </w:tcPr>
                <w:p w14:paraId="433820B0">
                  <w:pPr>
                    <w:pStyle w:val="83"/>
                    <w:rPr>
                      <w:rFonts w:hint="default"/>
                    </w:rPr>
                  </w:pPr>
                  <w:r>
                    <w:t>COD</w:t>
                  </w:r>
                </w:p>
              </w:tc>
              <w:tc>
                <w:tcPr>
                  <w:tcW w:w="846" w:type="pct"/>
                  <w:vAlign w:val="center"/>
                </w:tcPr>
                <w:p w14:paraId="5B4AC71E">
                  <w:pPr>
                    <w:pStyle w:val="83"/>
                    <w:rPr>
                      <w:rFonts w:hint="default"/>
                    </w:rPr>
                  </w:pPr>
                  <w:r>
                    <w:t>mg/L</w:t>
                  </w:r>
                </w:p>
              </w:tc>
              <w:tc>
                <w:tcPr>
                  <w:tcW w:w="952" w:type="pct"/>
                  <w:vAlign w:val="center"/>
                </w:tcPr>
                <w:p w14:paraId="5EC5B92A">
                  <w:pPr>
                    <w:pStyle w:val="83"/>
                    <w:rPr>
                      <w:rFonts w:hint="default"/>
                    </w:rPr>
                  </w:pPr>
                  <w:r>
                    <w:t>450</w:t>
                  </w:r>
                </w:p>
              </w:tc>
              <w:tc>
                <w:tcPr>
                  <w:tcW w:w="952" w:type="pct"/>
                </w:tcPr>
                <w:p w14:paraId="625D7658">
                  <w:pPr>
                    <w:pStyle w:val="83"/>
                    <w:rPr>
                      <w:rFonts w:hint="default"/>
                    </w:rPr>
                  </w:pPr>
                  <w:r>
                    <w:t>500</w:t>
                  </w:r>
                </w:p>
              </w:tc>
            </w:tr>
            <w:tr w14:paraId="51FBF0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17FDB049">
                  <w:pPr>
                    <w:pStyle w:val="83"/>
                    <w:rPr>
                      <w:rFonts w:hint="default"/>
                    </w:rPr>
                  </w:pPr>
                  <w:r>
                    <w:t>3</w:t>
                  </w:r>
                </w:p>
              </w:tc>
              <w:tc>
                <w:tcPr>
                  <w:tcW w:w="1674" w:type="pct"/>
                  <w:vAlign w:val="center"/>
                </w:tcPr>
                <w:p w14:paraId="7A60A287">
                  <w:pPr>
                    <w:pStyle w:val="83"/>
                    <w:rPr>
                      <w:rFonts w:hint="default"/>
                    </w:rPr>
                  </w:pPr>
                  <w:r>
                    <w:t>BOD5</w:t>
                  </w:r>
                </w:p>
              </w:tc>
              <w:tc>
                <w:tcPr>
                  <w:tcW w:w="846" w:type="pct"/>
                  <w:vAlign w:val="center"/>
                </w:tcPr>
                <w:p w14:paraId="68481638">
                  <w:pPr>
                    <w:pStyle w:val="83"/>
                    <w:rPr>
                      <w:rFonts w:hint="default"/>
                    </w:rPr>
                  </w:pPr>
                  <w:r>
                    <w:t>mg/L</w:t>
                  </w:r>
                </w:p>
              </w:tc>
              <w:tc>
                <w:tcPr>
                  <w:tcW w:w="952" w:type="pct"/>
                  <w:vAlign w:val="center"/>
                </w:tcPr>
                <w:p w14:paraId="308941E1">
                  <w:pPr>
                    <w:pStyle w:val="83"/>
                    <w:rPr>
                      <w:rFonts w:hint="default"/>
                    </w:rPr>
                  </w:pPr>
                  <w:r>
                    <w:t>200</w:t>
                  </w:r>
                </w:p>
              </w:tc>
              <w:tc>
                <w:tcPr>
                  <w:tcW w:w="952" w:type="pct"/>
                </w:tcPr>
                <w:p w14:paraId="1CB11EEB">
                  <w:pPr>
                    <w:pStyle w:val="83"/>
                    <w:rPr>
                      <w:rFonts w:hint="default"/>
                    </w:rPr>
                  </w:pPr>
                  <w:r>
                    <w:t>300</w:t>
                  </w:r>
                </w:p>
              </w:tc>
            </w:tr>
            <w:tr w14:paraId="74995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4944EFEE">
                  <w:pPr>
                    <w:pStyle w:val="83"/>
                    <w:rPr>
                      <w:rFonts w:hint="default"/>
                    </w:rPr>
                  </w:pPr>
                  <w:r>
                    <w:t>4</w:t>
                  </w:r>
                </w:p>
              </w:tc>
              <w:tc>
                <w:tcPr>
                  <w:tcW w:w="1674" w:type="pct"/>
                  <w:vAlign w:val="center"/>
                </w:tcPr>
                <w:p w14:paraId="74B54A1C">
                  <w:pPr>
                    <w:pStyle w:val="83"/>
                    <w:rPr>
                      <w:rFonts w:hint="default"/>
                    </w:rPr>
                  </w:pPr>
                  <w:r>
                    <w:t>氨氮</w:t>
                  </w:r>
                </w:p>
              </w:tc>
              <w:tc>
                <w:tcPr>
                  <w:tcW w:w="846" w:type="pct"/>
                  <w:vAlign w:val="center"/>
                </w:tcPr>
                <w:p w14:paraId="69E90D67">
                  <w:pPr>
                    <w:pStyle w:val="83"/>
                    <w:rPr>
                      <w:rFonts w:hint="default"/>
                    </w:rPr>
                  </w:pPr>
                  <w:r>
                    <w:t>mg/L</w:t>
                  </w:r>
                </w:p>
              </w:tc>
              <w:tc>
                <w:tcPr>
                  <w:tcW w:w="952" w:type="pct"/>
                  <w:vAlign w:val="center"/>
                </w:tcPr>
                <w:p w14:paraId="2CB424BA">
                  <w:pPr>
                    <w:pStyle w:val="83"/>
                    <w:rPr>
                      <w:rFonts w:hint="default"/>
                    </w:rPr>
                  </w:pPr>
                  <w:r>
                    <w:t>30</w:t>
                  </w:r>
                </w:p>
              </w:tc>
              <w:tc>
                <w:tcPr>
                  <w:tcW w:w="952" w:type="pct"/>
                </w:tcPr>
                <w:p w14:paraId="15F1B429">
                  <w:pPr>
                    <w:pStyle w:val="83"/>
                    <w:rPr>
                      <w:rFonts w:hint="default"/>
                    </w:rPr>
                  </w:pPr>
                  <w:r>
                    <w:t>45</w:t>
                  </w:r>
                </w:p>
              </w:tc>
            </w:tr>
            <w:tr w14:paraId="7B06CA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38FAF42A">
                  <w:pPr>
                    <w:pStyle w:val="83"/>
                    <w:rPr>
                      <w:rFonts w:hint="default"/>
                    </w:rPr>
                  </w:pPr>
                  <w:r>
                    <w:t>5</w:t>
                  </w:r>
                </w:p>
              </w:tc>
              <w:tc>
                <w:tcPr>
                  <w:tcW w:w="1674" w:type="pct"/>
                  <w:vAlign w:val="center"/>
                </w:tcPr>
                <w:p w14:paraId="0E75B252">
                  <w:pPr>
                    <w:pStyle w:val="83"/>
                    <w:rPr>
                      <w:rFonts w:hint="default"/>
                    </w:rPr>
                  </w:pPr>
                  <w:r>
                    <w:t>SS</w:t>
                  </w:r>
                </w:p>
              </w:tc>
              <w:tc>
                <w:tcPr>
                  <w:tcW w:w="846" w:type="pct"/>
                  <w:vAlign w:val="center"/>
                </w:tcPr>
                <w:p w14:paraId="5446BD11">
                  <w:pPr>
                    <w:pStyle w:val="83"/>
                    <w:rPr>
                      <w:rFonts w:hint="default"/>
                    </w:rPr>
                  </w:pPr>
                  <w:r>
                    <w:t>mg/L</w:t>
                  </w:r>
                </w:p>
              </w:tc>
              <w:tc>
                <w:tcPr>
                  <w:tcW w:w="952" w:type="pct"/>
                  <w:vAlign w:val="center"/>
                </w:tcPr>
                <w:p w14:paraId="38D027BE">
                  <w:pPr>
                    <w:pStyle w:val="83"/>
                    <w:rPr>
                      <w:rFonts w:hint="default"/>
                    </w:rPr>
                  </w:pPr>
                  <w:r>
                    <w:t>250</w:t>
                  </w:r>
                </w:p>
              </w:tc>
              <w:tc>
                <w:tcPr>
                  <w:tcW w:w="952" w:type="pct"/>
                </w:tcPr>
                <w:p w14:paraId="24917373">
                  <w:pPr>
                    <w:pStyle w:val="83"/>
                    <w:rPr>
                      <w:rFonts w:hint="default"/>
                    </w:rPr>
                  </w:pPr>
                  <w:r>
                    <w:t>400</w:t>
                  </w:r>
                </w:p>
              </w:tc>
            </w:tr>
            <w:tr w14:paraId="5EF57D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4EA40997">
                  <w:pPr>
                    <w:pStyle w:val="83"/>
                    <w:rPr>
                      <w:rFonts w:hint="default"/>
                    </w:rPr>
                  </w:pPr>
                  <w:r>
                    <w:t>6</w:t>
                  </w:r>
                </w:p>
              </w:tc>
              <w:tc>
                <w:tcPr>
                  <w:tcW w:w="1674" w:type="pct"/>
                  <w:vAlign w:val="center"/>
                </w:tcPr>
                <w:p w14:paraId="0610CCE3">
                  <w:pPr>
                    <w:pStyle w:val="83"/>
                    <w:rPr>
                      <w:rFonts w:hint="default"/>
                    </w:rPr>
                  </w:pPr>
                  <w:r>
                    <w:t>TN</w:t>
                  </w:r>
                </w:p>
              </w:tc>
              <w:tc>
                <w:tcPr>
                  <w:tcW w:w="846" w:type="pct"/>
                  <w:vAlign w:val="center"/>
                </w:tcPr>
                <w:p w14:paraId="4D90CA93">
                  <w:pPr>
                    <w:pStyle w:val="83"/>
                    <w:rPr>
                      <w:rFonts w:hint="default"/>
                    </w:rPr>
                  </w:pPr>
                  <w:r>
                    <w:t>mg/L</w:t>
                  </w:r>
                </w:p>
              </w:tc>
              <w:tc>
                <w:tcPr>
                  <w:tcW w:w="952" w:type="pct"/>
                  <w:vAlign w:val="center"/>
                </w:tcPr>
                <w:p w14:paraId="46B84663">
                  <w:pPr>
                    <w:pStyle w:val="83"/>
                    <w:rPr>
                      <w:rFonts w:hint="default"/>
                    </w:rPr>
                  </w:pPr>
                  <w:r>
                    <w:t>50</w:t>
                  </w:r>
                </w:p>
              </w:tc>
              <w:tc>
                <w:tcPr>
                  <w:tcW w:w="952" w:type="pct"/>
                </w:tcPr>
                <w:p w14:paraId="26712DC4">
                  <w:pPr>
                    <w:pStyle w:val="83"/>
                    <w:rPr>
                      <w:rFonts w:hint="default"/>
                    </w:rPr>
                  </w:pPr>
                  <w:r>
                    <w:t>-</w:t>
                  </w:r>
                </w:p>
              </w:tc>
            </w:tr>
            <w:tr w14:paraId="4277F1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0AEE2455">
                  <w:pPr>
                    <w:pStyle w:val="83"/>
                    <w:rPr>
                      <w:rFonts w:hint="default"/>
                    </w:rPr>
                  </w:pPr>
                  <w:r>
                    <w:t>7</w:t>
                  </w:r>
                </w:p>
              </w:tc>
              <w:tc>
                <w:tcPr>
                  <w:tcW w:w="1674" w:type="pct"/>
                  <w:vAlign w:val="center"/>
                </w:tcPr>
                <w:p w14:paraId="6CF47BCF">
                  <w:pPr>
                    <w:pStyle w:val="83"/>
                    <w:rPr>
                      <w:rFonts w:hint="default"/>
                    </w:rPr>
                  </w:pPr>
                  <w:r>
                    <w:t>TP</w:t>
                  </w:r>
                </w:p>
              </w:tc>
              <w:tc>
                <w:tcPr>
                  <w:tcW w:w="846" w:type="pct"/>
                  <w:vAlign w:val="center"/>
                </w:tcPr>
                <w:p w14:paraId="7A3EB778">
                  <w:pPr>
                    <w:pStyle w:val="83"/>
                    <w:rPr>
                      <w:rFonts w:hint="default"/>
                    </w:rPr>
                  </w:pPr>
                  <w:r>
                    <w:t>mg/L</w:t>
                  </w:r>
                </w:p>
              </w:tc>
              <w:tc>
                <w:tcPr>
                  <w:tcW w:w="952" w:type="pct"/>
                  <w:vAlign w:val="center"/>
                </w:tcPr>
                <w:p w14:paraId="53117FC9">
                  <w:pPr>
                    <w:pStyle w:val="83"/>
                    <w:rPr>
                      <w:rFonts w:hint="default"/>
                    </w:rPr>
                  </w:pPr>
                  <w:r>
                    <w:t>4.0</w:t>
                  </w:r>
                </w:p>
              </w:tc>
              <w:tc>
                <w:tcPr>
                  <w:tcW w:w="952" w:type="pct"/>
                </w:tcPr>
                <w:p w14:paraId="61603256">
                  <w:pPr>
                    <w:pStyle w:val="83"/>
                    <w:rPr>
                      <w:rFonts w:hint="default"/>
                    </w:rPr>
                  </w:pPr>
                  <w:r>
                    <w:t>-</w:t>
                  </w:r>
                </w:p>
              </w:tc>
            </w:tr>
            <w:tr w14:paraId="0E1069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0E83EFCF">
                  <w:pPr>
                    <w:pStyle w:val="83"/>
                    <w:rPr>
                      <w:rFonts w:hint="default"/>
                    </w:rPr>
                  </w:pPr>
                  <w:r>
                    <w:t>8</w:t>
                  </w:r>
                </w:p>
              </w:tc>
              <w:tc>
                <w:tcPr>
                  <w:tcW w:w="1674" w:type="pct"/>
                  <w:vAlign w:val="center"/>
                </w:tcPr>
                <w:p w14:paraId="7693A3B9">
                  <w:pPr>
                    <w:pStyle w:val="83"/>
                    <w:rPr>
                      <w:rFonts w:hint="default"/>
                    </w:rPr>
                  </w:pPr>
                  <w:r>
                    <w:t>总有机碳</w:t>
                  </w:r>
                </w:p>
              </w:tc>
              <w:tc>
                <w:tcPr>
                  <w:tcW w:w="846" w:type="pct"/>
                  <w:vAlign w:val="center"/>
                </w:tcPr>
                <w:p w14:paraId="18FCF402">
                  <w:pPr>
                    <w:pStyle w:val="83"/>
                    <w:rPr>
                      <w:rFonts w:hint="default"/>
                    </w:rPr>
                  </w:pPr>
                  <w:r>
                    <w:t>mg/L</w:t>
                  </w:r>
                </w:p>
              </w:tc>
              <w:tc>
                <w:tcPr>
                  <w:tcW w:w="952" w:type="pct"/>
                  <w:vAlign w:val="center"/>
                </w:tcPr>
                <w:p w14:paraId="3B29B7AF">
                  <w:pPr>
                    <w:pStyle w:val="83"/>
                    <w:rPr>
                      <w:rFonts w:hint="default"/>
                    </w:rPr>
                  </w:pPr>
                  <w:r>
                    <w:t>150</w:t>
                  </w:r>
                </w:p>
              </w:tc>
              <w:tc>
                <w:tcPr>
                  <w:tcW w:w="952" w:type="pct"/>
                </w:tcPr>
                <w:p w14:paraId="4A788EF0">
                  <w:pPr>
                    <w:pStyle w:val="83"/>
                    <w:rPr>
                      <w:rFonts w:hint="default"/>
                    </w:rPr>
                  </w:pPr>
                  <w:r>
                    <w:t>-</w:t>
                  </w:r>
                </w:p>
              </w:tc>
            </w:tr>
            <w:tr w14:paraId="66344C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26A38556">
                  <w:pPr>
                    <w:pStyle w:val="83"/>
                    <w:rPr>
                      <w:rFonts w:hint="default"/>
                    </w:rPr>
                  </w:pPr>
                  <w:r>
                    <w:t>9</w:t>
                  </w:r>
                </w:p>
              </w:tc>
              <w:tc>
                <w:tcPr>
                  <w:tcW w:w="1674" w:type="pct"/>
                  <w:vAlign w:val="center"/>
                </w:tcPr>
                <w:p w14:paraId="6A3F0516">
                  <w:pPr>
                    <w:pStyle w:val="83"/>
                    <w:rPr>
                      <w:rFonts w:hint="default"/>
                    </w:rPr>
                  </w:pPr>
                  <w:r>
                    <w:t>可吸附有机卤化物</w:t>
                  </w:r>
                </w:p>
              </w:tc>
              <w:tc>
                <w:tcPr>
                  <w:tcW w:w="846" w:type="pct"/>
                  <w:vAlign w:val="center"/>
                </w:tcPr>
                <w:p w14:paraId="0EB31CD3">
                  <w:pPr>
                    <w:pStyle w:val="83"/>
                    <w:rPr>
                      <w:rFonts w:hint="default"/>
                    </w:rPr>
                  </w:pPr>
                  <w:r>
                    <w:t>mg/L</w:t>
                  </w:r>
                </w:p>
              </w:tc>
              <w:tc>
                <w:tcPr>
                  <w:tcW w:w="952" w:type="pct"/>
                  <w:vAlign w:val="center"/>
                </w:tcPr>
                <w:p w14:paraId="0865797C">
                  <w:pPr>
                    <w:pStyle w:val="83"/>
                    <w:rPr>
                      <w:rFonts w:hint="default"/>
                    </w:rPr>
                  </w:pPr>
                  <w:r>
                    <w:t>5.0</w:t>
                  </w:r>
                </w:p>
              </w:tc>
              <w:tc>
                <w:tcPr>
                  <w:tcW w:w="952" w:type="pct"/>
                </w:tcPr>
                <w:p w14:paraId="37F251AE">
                  <w:pPr>
                    <w:pStyle w:val="83"/>
                    <w:rPr>
                      <w:rFonts w:hint="default"/>
                    </w:rPr>
                  </w:pPr>
                  <w:r>
                    <w:t>-</w:t>
                  </w:r>
                </w:p>
              </w:tc>
            </w:tr>
            <w:tr w14:paraId="4D9097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7F6A0DAB">
                  <w:pPr>
                    <w:pStyle w:val="83"/>
                    <w:rPr>
                      <w:rFonts w:hint="default"/>
                    </w:rPr>
                  </w:pPr>
                  <w:r>
                    <w:t>10</w:t>
                  </w:r>
                </w:p>
              </w:tc>
              <w:tc>
                <w:tcPr>
                  <w:tcW w:w="1674" w:type="pct"/>
                  <w:vAlign w:val="center"/>
                </w:tcPr>
                <w:p w14:paraId="229B65C3">
                  <w:pPr>
                    <w:pStyle w:val="83"/>
                    <w:rPr>
                      <w:rFonts w:hint="default"/>
                    </w:rPr>
                  </w:pPr>
                  <w:r>
                    <w:t>石油类</w:t>
                  </w:r>
                </w:p>
              </w:tc>
              <w:tc>
                <w:tcPr>
                  <w:tcW w:w="846" w:type="pct"/>
                  <w:vAlign w:val="center"/>
                </w:tcPr>
                <w:p w14:paraId="3E9BC16E">
                  <w:pPr>
                    <w:pStyle w:val="83"/>
                    <w:rPr>
                      <w:rFonts w:hint="default"/>
                    </w:rPr>
                  </w:pPr>
                  <w:r>
                    <w:t>mg/L</w:t>
                  </w:r>
                </w:p>
              </w:tc>
              <w:tc>
                <w:tcPr>
                  <w:tcW w:w="952" w:type="pct"/>
                  <w:vAlign w:val="center"/>
                </w:tcPr>
                <w:p w14:paraId="78587FC2">
                  <w:pPr>
                    <w:pStyle w:val="83"/>
                    <w:rPr>
                      <w:rFonts w:hint="default"/>
                    </w:rPr>
                  </w:pPr>
                  <w:r>
                    <w:t>15</w:t>
                  </w:r>
                </w:p>
              </w:tc>
              <w:tc>
                <w:tcPr>
                  <w:tcW w:w="952" w:type="pct"/>
                </w:tcPr>
                <w:p w14:paraId="762A3DC5">
                  <w:pPr>
                    <w:pStyle w:val="83"/>
                    <w:rPr>
                      <w:rFonts w:hint="default"/>
                    </w:rPr>
                  </w:pPr>
                  <w:r>
                    <w:t>-</w:t>
                  </w:r>
                </w:p>
              </w:tc>
            </w:tr>
            <w:tr w14:paraId="350F3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76" w:type="pct"/>
                  <w:vAlign w:val="center"/>
                </w:tcPr>
                <w:p w14:paraId="3F23B4A1">
                  <w:pPr>
                    <w:pStyle w:val="83"/>
                    <w:rPr>
                      <w:rFonts w:hint="default"/>
                    </w:rPr>
                  </w:pPr>
                  <w:r>
                    <w:t>11</w:t>
                  </w:r>
                </w:p>
              </w:tc>
              <w:tc>
                <w:tcPr>
                  <w:tcW w:w="1674" w:type="pct"/>
                  <w:vAlign w:val="center"/>
                </w:tcPr>
                <w:p w14:paraId="57D557A8">
                  <w:pPr>
                    <w:pStyle w:val="83"/>
                    <w:rPr>
                      <w:rFonts w:hint="default"/>
                    </w:rPr>
                  </w:pPr>
                  <w:r>
                    <w:t>动植物油</w:t>
                  </w:r>
                </w:p>
              </w:tc>
              <w:tc>
                <w:tcPr>
                  <w:tcW w:w="846" w:type="pct"/>
                  <w:vAlign w:val="center"/>
                </w:tcPr>
                <w:p w14:paraId="2E90B9B3">
                  <w:pPr>
                    <w:pStyle w:val="83"/>
                    <w:rPr>
                      <w:rFonts w:hint="default"/>
                    </w:rPr>
                  </w:pPr>
                  <w:r>
                    <w:t>mg/L</w:t>
                  </w:r>
                </w:p>
              </w:tc>
              <w:tc>
                <w:tcPr>
                  <w:tcW w:w="952" w:type="pct"/>
                  <w:vAlign w:val="center"/>
                </w:tcPr>
                <w:p w14:paraId="0130D090">
                  <w:pPr>
                    <w:pStyle w:val="83"/>
                    <w:rPr>
                      <w:rFonts w:hint="default"/>
                    </w:rPr>
                  </w:pPr>
                  <w:r>
                    <w:t>-</w:t>
                  </w:r>
                </w:p>
              </w:tc>
              <w:tc>
                <w:tcPr>
                  <w:tcW w:w="952" w:type="pct"/>
                </w:tcPr>
                <w:p w14:paraId="48BDD132">
                  <w:pPr>
                    <w:pStyle w:val="83"/>
                    <w:rPr>
                      <w:rFonts w:hint="default"/>
                    </w:rPr>
                  </w:pPr>
                  <w:r>
                    <w:t>100</w:t>
                  </w:r>
                </w:p>
              </w:tc>
            </w:tr>
          </w:tbl>
          <w:p w14:paraId="24B4C190">
            <w:pPr>
              <w:pStyle w:val="13"/>
            </w:pPr>
            <w:r>
              <w:rPr>
                <w:rFonts w:hint="eastAsia"/>
              </w:rPr>
              <w:t>表3.3-4  滨海工业区污水处理厂尾水排放标准</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380"/>
              <w:gridCol w:w="1342"/>
              <w:gridCol w:w="4707"/>
            </w:tblGrid>
            <w:tr w14:paraId="1DD4C2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Align w:val="center"/>
                </w:tcPr>
                <w:p w14:paraId="45727CEA">
                  <w:pPr>
                    <w:pStyle w:val="83"/>
                    <w:rPr>
                      <w:rFonts w:hint="default"/>
                    </w:rPr>
                  </w:pPr>
                  <w:r>
                    <w:t>序号</w:t>
                  </w:r>
                </w:p>
              </w:tc>
              <w:tc>
                <w:tcPr>
                  <w:tcW w:w="839" w:type="pct"/>
                  <w:vAlign w:val="center"/>
                </w:tcPr>
                <w:p w14:paraId="542F0169">
                  <w:pPr>
                    <w:pStyle w:val="83"/>
                    <w:rPr>
                      <w:rFonts w:hint="default"/>
                    </w:rPr>
                  </w:pPr>
                  <w:r>
                    <w:t>项目</w:t>
                  </w:r>
                </w:p>
              </w:tc>
              <w:tc>
                <w:tcPr>
                  <w:tcW w:w="816" w:type="pct"/>
                  <w:vAlign w:val="center"/>
                </w:tcPr>
                <w:p w14:paraId="2A560245">
                  <w:pPr>
                    <w:pStyle w:val="83"/>
                    <w:rPr>
                      <w:rFonts w:hint="default"/>
                    </w:rPr>
                  </w:pPr>
                  <w:r>
                    <w:t>单位</w:t>
                  </w:r>
                </w:p>
              </w:tc>
              <w:tc>
                <w:tcPr>
                  <w:tcW w:w="2862" w:type="pct"/>
                  <w:vAlign w:val="center"/>
                </w:tcPr>
                <w:p w14:paraId="40A1E4D6">
                  <w:pPr>
                    <w:pStyle w:val="83"/>
                    <w:rPr>
                      <w:rFonts w:hint="default"/>
                    </w:rPr>
                  </w:pPr>
                  <w:r>
                    <w:t>《城镇污水处理厂污染物排放标准》（GB18918-2002）一级A排放标准</w:t>
                  </w:r>
                </w:p>
              </w:tc>
            </w:tr>
            <w:tr w14:paraId="0376A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Align w:val="center"/>
                </w:tcPr>
                <w:p w14:paraId="0633C3E4">
                  <w:pPr>
                    <w:pStyle w:val="83"/>
                    <w:rPr>
                      <w:rFonts w:hint="default"/>
                    </w:rPr>
                  </w:pPr>
                  <w:r>
                    <w:t>1</w:t>
                  </w:r>
                </w:p>
              </w:tc>
              <w:tc>
                <w:tcPr>
                  <w:tcW w:w="839" w:type="pct"/>
                  <w:vAlign w:val="center"/>
                </w:tcPr>
                <w:p w14:paraId="0AEEB1B6">
                  <w:pPr>
                    <w:pStyle w:val="83"/>
                    <w:rPr>
                      <w:rFonts w:hint="default"/>
                    </w:rPr>
                  </w:pPr>
                  <w:r>
                    <w:t>pH</w:t>
                  </w:r>
                </w:p>
              </w:tc>
              <w:tc>
                <w:tcPr>
                  <w:tcW w:w="816" w:type="pct"/>
                  <w:vAlign w:val="center"/>
                </w:tcPr>
                <w:p w14:paraId="02244938">
                  <w:pPr>
                    <w:pStyle w:val="83"/>
                    <w:rPr>
                      <w:rFonts w:hint="default"/>
                    </w:rPr>
                  </w:pPr>
                  <w:r>
                    <w:t>无量纲</w:t>
                  </w:r>
                </w:p>
              </w:tc>
              <w:tc>
                <w:tcPr>
                  <w:tcW w:w="2862" w:type="pct"/>
                  <w:vAlign w:val="center"/>
                </w:tcPr>
                <w:p w14:paraId="4519A25D">
                  <w:pPr>
                    <w:pStyle w:val="83"/>
                    <w:rPr>
                      <w:rFonts w:hint="default"/>
                    </w:rPr>
                  </w:pPr>
                  <w:r>
                    <w:t>6~9</w:t>
                  </w:r>
                </w:p>
              </w:tc>
            </w:tr>
            <w:tr w14:paraId="01003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Align w:val="center"/>
                </w:tcPr>
                <w:p w14:paraId="7AC06AAA">
                  <w:pPr>
                    <w:pStyle w:val="83"/>
                    <w:rPr>
                      <w:rFonts w:hint="default"/>
                    </w:rPr>
                  </w:pPr>
                  <w:r>
                    <w:t>2</w:t>
                  </w:r>
                </w:p>
              </w:tc>
              <w:tc>
                <w:tcPr>
                  <w:tcW w:w="839" w:type="pct"/>
                  <w:vAlign w:val="center"/>
                </w:tcPr>
                <w:p w14:paraId="42C90301">
                  <w:pPr>
                    <w:pStyle w:val="83"/>
                    <w:rPr>
                      <w:rFonts w:hint="default"/>
                    </w:rPr>
                  </w:pPr>
                  <w:r>
                    <w:t>COD</w:t>
                  </w:r>
                </w:p>
              </w:tc>
              <w:tc>
                <w:tcPr>
                  <w:tcW w:w="816" w:type="pct"/>
                  <w:vAlign w:val="center"/>
                </w:tcPr>
                <w:p w14:paraId="348511F5">
                  <w:pPr>
                    <w:pStyle w:val="83"/>
                    <w:rPr>
                      <w:rFonts w:hint="default"/>
                    </w:rPr>
                  </w:pPr>
                  <w:r>
                    <w:t>mg/L</w:t>
                  </w:r>
                </w:p>
              </w:tc>
              <w:tc>
                <w:tcPr>
                  <w:tcW w:w="2862" w:type="pct"/>
                  <w:vAlign w:val="center"/>
                </w:tcPr>
                <w:p w14:paraId="700EC09D">
                  <w:pPr>
                    <w:pStyle w:val="83"/>
                    <w:rPr>
                      <w:rFonts w:hint="default"/>
                    </w:rPr>
                  </w:pPr>
                  <w:r>
                    <w:t>50</w:t>
                  </w:r>
                </w:p>
              </w:tc>
            </w:tr>
            <w:tr w14:paraId="7FB762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Align w:val="center"/>
                </w:tcPr>
                <w:p w14:paraId="7FE5617E">
                  <w:pPr>
                    <w:pStyle w:val="83"/>
                    <w:rPr>
                      <w:rFonts w:hint="default"/>
                    </w:rPr>
                  </w:pPr>
                  <w:r>
                    <w:t>3</w:t>
                  </w:r>
                </w:p>
              </w:tc>
              <w:tc>
                <w:tcPr>
                  <w:tcW w:w="839" w:type="pct"/>
                  <w:vAlign w:val="center"/>
                </w:tcPr>
                <w:p w14:paraId="1DDA2832">
                  <w:pPr>
                    <w:pStyle w:val="83"/>
                    <w:rPr>
                      <w:rFonts w:hint="default"/>
                    </w:rPr>
                  </w:pPr>
                  <w:r>
                    <w:t>BOD5</w:t>
                  </w:r>
                </w:p>
              </w:tc>
              <w:tc>
                <w:tcPr>
                  <w:tcW w:w="816" w:type="pct"/>
                  <w:vAlign w:val="center"/>
                </w:tcPr>
                <w:p w14:paraId="5544CA20">
                  <w:pPr>
                    <w:pStyle w:val="83"/>
                    <w:rPr>
                      <w:rFonts w:hint="default"/>
                    </w:rPr>
                  </w:pPr>
                  <w:r>
                    <w:t>mg/L</w:t>
                  </w:r>
                </w:p>
              </w:tc>
              <w:tc>
                <w:tcPr>
                  <w:tcW w:w="2862" w:type="pct"/>
                  <w:vAlign w:val="center"/>
                </w:tcPr>
                <w:p w14:paraId="4B0AFDCC">
                  <w:pPr>
                    <w:pStyle w:val="83"/>
                    <w:rPr>
                      <w:rFonts w:hint="default"/>
                    </w:rPr>
                  </w:pPr>
                  <w:r>
                    <w:t>10</w:t>
                  </w:r>
                </w:p>
              </w:tc>
            </w:tr>
            <w:tr w14:paraId="255B5E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Align w:val="center"/>
                </w:tcPr>
                <w:p w14:paraId="394DE86A">
                  <w:pPr>
                    <w:pStyle w:val="83"/>
                    <w:rPr>
                      <w:rFonts w:hint="default"/>
                    </w:rPr>
                  </w:pPr>
                  <w:r>
                    <w:t>4</w:t>
                  </w:r>
                </w:p>
              </w:tc>
              <w:tc>
                <w:tcPr>
                  <w:tcW w:w="839" w:type="pct"/>
                  <w:vAlign w:val="center"/>
                </w:tcPr>
                <w:p w14:paraId="7CD9EEC4">
                  <w:pPr>
                    <w:pStyle w:val="83"/>
                    <w:rPr>
                      <w:rFonts w:hint="default"/>
                    </w:rPr>
                  </w:pPr>
                  <w:r>
                    <w:t>氨氮</w:t>
                  </w:r>
                </w:p>
              </w:tc>
              <w:tc>
                <w:tcPr>
                  <w:tcW w:w="816" w:type="pct"/>
                  <w:vAlign w:val="center"/>
                </w:tcPr>
                <w:p w14:paraId="4FA9C140">
                  <w:pPr>
                    <w:pStyle w:val="83"/>
                    <w:rPr>
                      <w:rFonts w:hint="default"/>
                    </w:rPr>
                  </w:pPr>
                  <w:r>
                    <w:t>mg/L</w:t>
                  </w:r>
                </w:p>
              </w:tc>
              <w:tc>
                <w:tcPr>
                  <w:tcW w:w="2862" w:type="pct"/>
                  <w:vAlign w:val="center"/>
                </w:tcPr>
                <w:p w14:paraId="3E678B64">
                  <w:pPr>
                    <w:pStyle w:val="83"/>
                    <w:rPr>
                      <w:rFonts w:hint="default"/>
                    </w:rPr>
                  </w:pPr>
                  <w:r>
                    <w:t>5</w:t>
                  </w:r>
                </w:p>
              </w:tc>
            </w:tr>
            <w:tr w14:paraId="3E6A92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Align w:val="center"/>
                </w:tcPr>
                <w:p w14:paraId="3D4C33DE">
                  <w:pPr>
                    <w:pStyle w:val="83"/>
                    <w:rPr>
                      <w:rFonts w:hint="default"/>
                    </w:rPr>
                  </w:pPr>
                  <w:r>
                    <w:t>5</w:t>
                  </w:r>
                </w:p>
              </w:tc>
              <w:tc>
                <w:tcPr>
                  <w:tcW w:w="839" w:type="pct"/>
                  <w:vAlign w:val="center"/>
                </w:tcPr>
                <w:p w14:paraId="2F6EB2C0">
                  <w:pPr>
                    <w:pStyle w:val="83"/>
                    <w:rPr>
                      <w:rFonts w:hint="default"/>
                    </w:rPr>
                  </w:pPr>
                  <w:r>
                    <w:t>SS</w:t>
                  </w:r>
                </w:p>
              </w:tc>
              <w:tc>
                <w:tcPr>
                  <w:tcW w:w="816" w:type="pct"/>
                  <w:vAlign w:val="center"/>
                </w:tcPr>
                <w:p w14:paraId="44CC4731">
                  <w:pPr>
                    <w:pStyle w:val="83"/>
                    <w:rPr>
                      <w:rFonts w:hint="default"/>
                    </w:rPr>
                  </w:pPr>
                  <w:r>
                    <w:t>mg/L</w:t>
                  </w:r>
                </w:p>
              </w:tc>
              <w:tc>
                <w:tcPr>
                  <w:tcW w:w="2862" w:type="pct"/>
                  <w:vAlign w:val="center"/>
                </w:tcPr>
                <w:p w14:paraId="6BD3FBAA">
                  <w:pPr>
                    <w:pStyle w:val="83"/>
                    <w:rPr>
                      <w:rFonts w:hint="default"/>
                    </w:rPr>
                  </w:pPr>
                  <w:r>
                    <w:t>10</w:t>
                  </w:r>
                </w:p>
              </w:tc>
            </w:tr>
            <w:tr w14:paraId="289309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2" w:type="pct"/>
                  <w:vAlign w:val="center"/>
                </w:tcPr>
                <w:p w14:paraId="19939D23">
                  <w:pPr>
                    <w:pStyle w:val="83"/>
                    <w:rPr>
                      <w:rFonts w:hint="default"/>
                    </w:rPr>
                  </w:pPr>
                  <w:r>
                    <w:t>6</w:t>
                  </w:r>
                </w:p>
              </w:tc>
              <w:tc>
                <w:tcPr>
                  <w:tcW w:w="839" w:type="pct"/>
                  <w:vAlign w:val="center"/>
                </w:tcPr>
                <w:p w14:paraId="4F00180A">
                  <w:pPr>
                    <w:pStyle w:val="83"/>
                    <w:rPr>
                      <w:rFonts w:hint="default"/>
                    </w:rPr>
                  </w:pPr>
                  <w:r>
                    <w:t>石油类</w:t>
                  </w:r>
                </w:p>
              </w:tc>
              <w:tc>
                <w:tcPr>
                  <w:tcW w:w="816" w:type="pct"/>
                  <w:vAlign w:val="center"/>
                </w:tcPr>
                <w:p w14:paraId="51A706AE">
                  <w:pPr>
                    <w:pStyle w:val="83"/>
                    <w:rPr>
                      <w:rFonts w:hint="default"/>
                    </w:rPr>
                  </w:pPr>
                  <w:r>
                    <w:t>mg/L</w:t>
                  </w:r>
                </w:p>
              </w:tc>
              <w:tc>
                <w:tcPr>
                  <w:tcW w:w="2862" w:type="pct"/>
                  <w:vAlign w:val="center"/>
                </w:tcPr>
                <w:p w14:paraId="0FB83341">
                  <w:pPr>
                    <w:pStyle w:val="83"/>
                    <w:rPr>
                      <w:rFonts w:hint="default"/>
                    </w:rPr>
                  </w:pPr>
                  <w:r>
                    <w:t>1</w:t>
                  </w:r>
                </w:p>
              </w:tc>
            </w:tr>
          </w:tbl>
          <w:p w14:paraId="2BE4FDC4">
            <w:pPr>
              <w:pStyle w:val="4"/>
              <w:spacing w:before="120" w:after="0" w:afterLines="0"/>
            </w:pPr>
            <w:r>
              <w:rPr>
                <w:rFonts w:hint="eastAsia"/>
              </w:rPr>
              <w:t>3.3.3 厂界噪声排放标准</w:t>
            </w:r>
          </w:p>
          <w:p w14:paraId="0AE81C5A">
            <w:pPr>
              <w:ind w:firstLine="480"/>
            </w:pPr>
            <w:r>
              <w:rPr>
                <w:rFonts w:hint="eastAsia"/>
              </w:rPr>
              <w:t>项目所在区域声环境功能区划为3类，运营期噪声执行《工业企业厂界环境噪声排放标准》（GB12348-2008）表1的3类标准限值。详见表3.3-6。</w:t>
            </w:r>
          </w:p>
          <w:p w14:paraId="05945B80">
            <w:pPr>
              <w:pStyle w:val="13"/>
            </w:pPr>
            <w:r>
              <w:rPr>
                <w:rFonts w:hint="eastAsia"/>
              </w:rPr>
              <w:t>表3.3-5  《工业企业厂界环境噪声排放标准》（GB12348-2008）</w:t>
            </w:r>
          </w:p>
          <w:tbl>
            <w:tblPr>
              <w:tblStyle w:val="1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1525"/>
              <w:gridCol w:w="946"/>
              <w:gridCol w:w="868"/>
              <w:gridCol w:w="3289"/>
            </w:tblGrid>
            <w:tr w14:paraId="600D62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7" w:type="pct"/>
                  <w:vAlign w:val="center"/>
                </w:tcPr>
                <w:p w14:paraId="2786F6D2">
                  <w:pPr>
                    <w:pStyle w:val="83"/>
                    <w:rPr>
                      <w:rFonts w:hint="default" w:ascii="Times New Roman" w:hAnsi="Times New Roman" w:eastAsia="宋体" w:cs="Times New Roman"/>
                    </w:rPr>
                  </w:pPr>
                  <w:r>
                    <w:rPr>
                      <w:rFonts w:hint="default" w:ascii="Times New Roman" w:hAnsi="Times New Roman" w:eastAsia="宋体" w:cs="Times New Roman"/>
                    </w:rPr>
                    <w:t>位置</w:t>
                  </w:r>
                </w:p>
              </w:tc>
              <w:tc>
                <w:tcPr>
                  <w:tcW w:w="927" w:type="pct"/>
                  <w:vAlign w:val="center"/>
                </w:tcPr>
                <w:p w14:paraId="7FB7AE67">
                  <w:pPr>
                    <w:pStyle w:val="83"/>
                    <w:rPr>
                      <w:rFonts w:hint="default" w:ascii="Times New Roman" w:hAnsi="Times New Roman" w:eastAsia="宋体" w:cs="Times New Roman"/>
                    </w:rPr>
                  </w:pPr>
                  <w:r>
                    <w:rPr>
                      <w:rFonts w:hint="default" w:ascii="Times New Roman" w:hAnsi="Times New Roman" w:eastAsia="宋体" w:cs="Times New Roman"/>
                    </w:rPr>
                    <w:t>厂界外声环境功能区类别</w:t>
                  </w:r>
                </w:p>
              </w:tc>
              <w:tc>
                <w:tcPr>
                  <w:tcW w:w="575" w:type="pct"/>
                  <w:vAlign w:val="center"/>
                </w:tcPr>
                <w:p w14:paraId="44AA96A2">
                  <w:pPr>
                    <w:pStyle w:val="83"/>
                    <w:rPr>
                      <w:rFonts w:hint="default" w:ascii="Times New Roman" w:hAnsi="Times New Roman" w:eastAsia="宋体" w:cs="Times New Roman"/>
                    </w:rPr>
                  </w:pPr>
                  <w:r>
                    <w:rPr>
                      <w:rFonts w:hint="default" w:ascii="Times New Roman" w:hAnsi="Times New Roman" w:eastAsia="宋体" w:cs="Times New Roman"/>
                    </w:rPr>
                    <w:t>昼间dB(A)</w:t>
                  </w:r>
                </w:p>
              </w:tc>
              <w:tc>
                <w:tcPr>
                  <w:tcW w:w="528" w:type="pct"/>
                  <w:vAlign w:val="center"/>
                </w:tcPr>
                <w:p w14:paraId="5F61B05F">
                  <w:pPr>
                    <w:pStyle w:val="83"/>
                    <w:rPr>
                      <w:rFonts w:hint="default" w:ascii="Times New Roman" w:hAnsi="Times New Roman" w:eastAsia="宋体" w:cs="Times New Roman"/>
                    </w:rPr>
                  </w:pPr>
                  <w:r>
                    <w:rPr>
                      <w:rFonts w:hint="default" w:ascii="Times New Roman" w:hAnsi="Times New Roman" w:eastAsia="宋体" w:cs="Times New Roman"/>
                    </w:rPr>
                    <w:t>夜间dB(A)</w:t>
                  </w:r>
                </w:p>
              </w:tc>
              <w:tc>
                <w:tcPr>
                  <w:tcW w:w="2000" w:type="pct"/>
                  <w:vAlign w:val="center"/>
                </w:tcPr>
                <w:p w14:paraId="68510210">
                  <w:pPr>
                    <w:pStyle w:val="83"/>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备注</w:t>
                  </w:r>
                </w:p>
              </w:tc>
            </w:tr>
            <w:tr w14:paraId="54C4E1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7" w:type="pct"/>
                  <w:vAlign w:val="center"/>
                </w:tcPr>
                <w:p w14:paraId="4F9B710B">
                  <w:pPr>
                    <w:pStyle w:val="83"/>
                    <w:rPr>
                      <w:rFonts w:hint="default" w:ascii="Times New Roman" w:hAnsi="Times New Roman" w:eastAsia="宋体" w:cs="Times New Roman"/>
                    </w:rPr>
                  </w:pPr>
                  <w:r>
                    <w:rPr>
                      <w:rFonts w:hint="default" w:ascii="Times New Roman" w:hAnsi="Times New Roman" w:eastAsia="宋体" w:cs="Times New Roman"/>
                    </w:rPr>
                    <w:t>项目厂界外1m</w:t>
                  </w:r>
                </w:p>
              </w:tc>
              <w:tc>
                <w:tcPr>
                  <w:tcW w:w="927" w:type="pct"/>
                  <w:vAlign w:val="center"/>
                </w:tcPr>
                <w:p w14:paraId="194C8CEA">
                  <w:pPr>
                    <w:pStyle w:val="83"/>
                    <w:rPr>
                      <w:rFonts w:hint="default" w:ascii="Times New Roman" w:hAnsi="Times New Roman" w:eastAsia="宋体" w:cs="Times New Roman"/>
                    </w:rPr>
                  </w:pPr>
                  <w:r>
                    <w:rPr>
                      <w:rFonts w:hint="default" w:ascii="Times New Roman" w:hAnsi="Times New Roman" w:eastAsia="宋体" w:cs="Times New Roman"/>
                    </w:rPr>
                    <w:t>3</w:t>
                  </w:r>
                </w:p>
              </w:tc>
              <w:tc>
                <w:tcPr>
                  <w:tcW w:w="575" w:type="pct"/>
                  <w:vAlign w:val="center"/>
                </w:tcPr>
                <w:p w14:paraId="28C69F49">
                  <w:pPr>
                    <w:pStyle w:val="83"/>
                    <w:rPr>
                      <w:rFonts w:hint="default" w:ascii="Times New Roman" w:hAnsi="Times New Roman" w:eastAsia="宋体" w:cs="Times New Roman"/>
                    </w:rPr>
                  </w:pPr>
                  <w:r>
                    <w:rPr>
                      <w:rFonts w:hint="default" w:ascii="Times New Roman" w:hAnsi="Times New Roman" w:eastAsia="宋体" w:cs="Times New Roman"/>
                    </w:rPr>
                    <w:t>65</w:t>
                  </w:r>
                </w:p>
              </w:tc>
              <w:tc>
                <w:tcPr>
                  <w:tcW w:w="528" w:type="pct"/>
                  <w:vAlign w:val="center"/>
                </w:tcPr>
                <w:p w14:paraId="66D988C9">
                  <w:pPr>
                    <w:pStyle w:val="83"/>
                    <w:rPr>
                      <w:rFonts w:hint="default" w:ascii="Times New Roman" w:hAnsi="Times New Roman" w:eastAsia="宋体" w:cs="Times New Roman"/>
                    </w:rPr>
                  </w:pPr>
                  <w:r>
                    <w:rPr>
                      <w:rFonts w:hint="default" w:ascii="Times New Roman" w:hAnsi="Times New Roman" w:eastAsia="宋体" w:cs="Times New Roman"/>
                    </w:rPr>
                    <w:t>55</w:t>
                  </w:r>
                </w:p>
              </w:tc>
              <w:tc>
                <w:tcPr>
                  <w:tcW w:w="2000" w:type="pct"/>
                  <w:vAlign w:val="center"/>
                </w:tcPr>
                <w:p w14:paraId="1D98B862">
                  <w:pPr>
                    <w:pStyle w:val="83"/>
                    <w:rPr>
                      <w:rFonts w:hint="default" w:ascii="Times New Roman" w:hAnsi="Times New Roman" w:eastAsia="宋体" w:cs="Times New Roman"/>
                      <w:highlight w:val="none"/>
                    </w:rPr>
                  </w:pPr>
                  <w:r>
                    <w:rPr>
                      <w:rFonts w:hint="default" w:ascii="Times New Roman" w:hAnsi="Times New Roman" w:eastAsia="宋体" w:cs="Times New Roman"/>
                      <w:highlight w:val="none"/>
                    </w:rPr>
                    <w:t>夜间频发噪声的最大声级超过限值的幅度不得高于</w:t>
                  </w:r>
                  <w:r>
                    <w:rPr>
                      <w:rFonts w:hint="eastAsia" w:ascii="Times New Roman" w:hAnsi="Times New Roman" w:eastAsia="宋体" w:cs="Times New Roman"/>
                      <w:highlight w:val="none"/>
                      <w:lang w:val="en-US" w:eastAsia="zh-CN"/>
                    </w:rPr>
                    <w:t>10</w:t>
                  </w:r>
                  <w:r>
                    <w:rPr>
                      <w:rFonts w:hint="default" w:ascii="Times New Roman" w:hAnsi="Times New Roman" w:eastAsia="宋体" w:cs="Times New Roman"/>
                      <w:highlight w:val="none"/>
                    </w:rPr>
                    <w:t>dB(A)</w:t>
                  </w:r>
                </w:p>
                <w:p w14:paraId="712929DF">
                  <w:pPr>
                    <w:pStyle w:val="83"/>
                    <w:rPr>
                      <w:rFonts w:hint="default" w:ascii="Times New Roman" w:hAnsi="Times New Roman" w:eastAsia="宋体" w:cs="Times New Roman"/>
                    </w:rPr>
                  </w:pPr>
                  <w:r>
                    <w:rPr>
                      <w:rFonts w:hint="default" w:ascii="Times New Roman" w:hAnsi="Times New Roman" w:eastAsia="宋体" w:cs="Times New Roman"/>
                      <w:highlight w:val="none"/>
                    </w:rPr>
                    <w:t>夜间偶发噪声的最大声级超过限值的幅度不得高于</w:t>
                  </w:r>
                  <w:r>
                    <w:rPr>
                      <w:rFonts w:hint="eastAsia" w:ascii="Times New Roman" w:hAnsi="Times New Roman" w:eastAsia="宋体" w:cs="Times New Roman"/>
                      <w:highlight w:val="none"/>
                      <w:lang w:val="en-US" w:eastAsia="zh-CN"/>
                    </w:rPr>
                    <w:t>1</w:t>
                  </w:r>
                  <w:r>
                    <w:rPr>
                      <w:rFonts w:hint="eastAsia" w:cs="Times New Roman"/>
                      <w:highlight w:val="none"/>
                      <w:lang w:val="en-US" w:eastAsia="zh-CN"/>
                    </w:rPr>
                    <w:t>5</w:t>
                  </w:r>
                  <w:r>
                    <w:rPr>
                      <w:rFonts w:hint="default" w:ascii="Times New Roman" w:hAnsi="Times New Roman" w:eastAsia="宋体" w:cs="Times New Roman"/>
                      <w:highlight w:val="none"/>
                    </w:rPr>
                    <w:t>dB(A)</w:t>
                  </w:r>
                </w:p>
              </w:tc>
            </w:tr>
          </w:tbl>
          <w:p w14:paraId="30DE3AC7">
            <w:pPr>
              <w:pStyle w:val="4"/>
              <w:spacing w:before="120" w:after="0" w:afterLines="0"/>
            </w:pPr>
            <w:r>
              <w:rPr>
                <w:rFonts w:hint="eastAsia"/>
              </w:rPr>
              <w:t>3.3.4 固废排放标准</w:t>
            </w:r>
          </w:p>
          <w:p w14:paraId="5881C207">
            <w:pPr>
              <w:ind w:firstLine="480"/>
            </w:pPr>
            <w:r>
              <w:rPr>
                <w:rFonts w:hint="eastAsia"/>
              </w:rPr>
              <w:t>一般工业固废按《一般工业固体废物贮存和填埋污染控制标准》（GB18599-2020）的要求处置；危险废物按照《危险废物贮存污染控制标准》（GB18597-2023）的要求处置；危险废物外运处置执行《危险废物转移管理办法》。</w:t>
            </w:r>
          </w:p>
        </w:tc>
      </w:tr>
      <w:tr w14:paraId="149084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3330" w:hRule="atLeast"/>
          <w:jc w:val="center"/>
        </w:trPr>
        <w:tc>
          <w:tcPr>
            <w:tcW w:w="347" w:type="pct"/>
            <w:vAlign w:val="center"/>
          </w:tcPr>
          <w:p w14:paraId="08BD71E3">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总量</w:t>
            </w:r>
          </w:p>
          <w:p w14:paraId="66C6CCCE">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控制</w:t>
            </w:r>
          </w:p>
          <w:p w14:paraId="73ABF5A4">
            <w:pPr>
              <w:adjustRightInd w:val="0"/>
              <w:snapToGrid w:val="0"/>
              <w:ind w:firstLine="0" w:firstLineChars="0"/>
              <w:jc w:val="center"/>
              <w:rPr>
                <w:rFonts w:hint="eastAsia" w:ascii="宋体" w:hAnsi="宋体" w:cs="宋体"/>
                <w:kern w:val="0"/>
                <w:sz w:val="21"/>
                <w:szCs w:val="21"/>
              </w:rPr>
            </w:pPr>
            <w:r>
              <w:rPr>
                <w:rFonts w:hint="eastAsia" w:ascii="宋体" w:hAnsi="宋体" w:cs="宋体"/>
                <w:kern w:val="0"/>
                <w:sz w:val="21"/>
                <w:szCs w:val="21"/>
              </w:rPr>
              <w:t>指标</w:t>
            </w:r>
          </w:p>
        </w:tc>
        <w:tc>
          <w:tcPr>
            <w:tcW w:w="4652" w:type="pct"/>
          </w:tcPr>
          <w:p w14:paraId="26FB899E">
            <w:pPr>
              <w:pStyle w:val="3"/>
              <w:spacing w:before="120" w:after="0" w:afterLines="0"/>
            </w:pPr>
            <w:r>
              <w:rPr>
                <w:rFonts w:hint="eastAsia"/>
              </w:rPr>
              <w:t>3.4 总量控制指标</w:t>
            </w:r>
          </w:p>
          <w:p w14:paraId="1ADB41C0">
            <w:pPr>
              <w:ind w:firstLine="480"/>
            </w:pPr>
            <w:r>
              <w:rPr>
                <w:rFonts w:hint="eastAsia"/>
              </w:rPr>
              <w:t>根据《福建省建设项目主要污染物排放总量指标管理办法（试行）的通知》（闽环发〔2014〕13号）、《福建省关于全面实施排污权有偿使用和交易工作的意见》（闽政〔2016〕54号）等文件要求，现阶段福建省主要污染物排放总量指标为COD、NH</w:t>
            </w:r>
            <w:r>
              <w:rPr>
                <w:rFonts w:hint="eastAsia"/>
                <w:vertAlign w:val="subscript"/>
              </w:rPr>
              <w:t>3</w:t>
            </w:r>
            <w:r>
              <w:rPr>
                <w:rFonts w:hint="eastAsia"/>
              </w:rPr>
              <w:t>-N、SO</w:t>
            </w:r>
            <w:r>
              <w:rPr>
                <w:rFonts w:hint="eastAsia"/>
                <w:vertAlign w:val="subscript"/>
              </w:rPr>
              <w:t>2</w:t>
            </w:r>
            <w:r>
              <w:rPr>
                <w:rFonts w:hint="eastAsia"/>
              </w:rPr>
              <w:t>、NOx。同时，根据《福建省大气污染防治条例》，结合《福州市环境保护局关于印发福州市大气污染联防联控联治工作方案的通知》（榕环保综〔2018〕386号）等文件要求，VOCs指标也列入总量控制行列。</w:t>
            </w:r>
          </w:p>
          <w:p w14:paraId="687623EF">
            <w:pPr>
              <w:ind w:firstLine="480"/>
            </w:pPr>
            <w:r>
              <w:rPr>
                <w:rFonts w:hint="eastAsia"/>
              </w:rPr>
              <w:t>本项目运营过程中大气污染物主要为挥发性有机物（以非甲烷总烃表征），排放量1.105t/a。根据《福州市环境保护局关于印发&lt;福州市建设项目主要污染物排放总量指标管理实施细则（修订）&gt;的通知》（榕环保综〔2017〕90号）以及《福州市生态环境局关于落实“奋勇争先”行动进一步服务和促进民营经济高质量发展的通知》（榕环保综〔2025〕47号）等相关规定，新增挥发性有机物排污总量按照1.2倍调剂。本项目建成投产前，建设单位应向生态环境主管部门申请区域总量削减替代。</w:t>
            </w:r>
          </w:p>
          <w:p w14:paraId="174D8914">
            <w:pPr>
              <w:ind w:firstLine="480"/>
            </w:pPr>
            <w:r>
              <w:rPr>
                <w:rFonts w:hint="eastAsia"/>
              </w:rPr>
              <w:t>本项目新增外排废水6898.50t/a，其中生活废水2394.40t/a、生产废水（反渗透浓水）4504.10t/a，经厂区预处理设施处理达标后通过市政管网排入滨海工业区污水处理厂进行后续处理，滨海工业区污水处理厂出水执行一级A排放标准（COD浓度≤50mg/L、氨氮≤5mg/L）。根据《福建省环保厅关于进一步明确排污权工作有关问题的通知》（闽环保财〔2017〕22号），现有工业排污单位的水污染物的初始排污权只核定工业废水部分，因此本次项目需申请废水污染物总量为COD 0.23t/a、氨氮0.023t/a。福建永荣锦江股份有限公司应尽快向排污权交易机构申购所需总量指标，并按照环保行政主管部门出具的排污权交易来源限值条件进行交易。</w:t>
            </w:r>
          </w:p>
        </w:tc>
      </w:tr>
    </w:tbl>
    <w:p w14:paraId="07344FD8">
      <w:pPr>
        <w:pStyle w:val="14"/>
        <w:spacing w:before="0" w:beforeAutospacing="0" w:after="0" w:afterAutospacing="0"/>
        <w:ind w:firstLine="0" w:firstLineChars="0"/>
        <w:jc w:val="center"/>
        <w:outlineLvl w:val="0"/>
        <w:rPr>
          <w:rFonts w:hint="eastAsia" w:ascii="黑体" w:hAnsi="黑体" w:eastAsia="黑体"/>
          <w:snapToGrid w:val="0"/>
          <w:sz w:val="30"/>
          <w:szCs w:val="30"/>
        </w:rPr>
      </w:pPr>
      <w:r>
        <w:rPr>
          <w:rFonts w:ascii="黑体" w:hAnsi="黑体" w:eastAsia="黑体"/>
          <w:snapToGrid w:val="0"/>
          <w:sz w:val="36"/>
          <w:szCs w:val="36"/>
        </w:rPr>
        <w:br w:type="page"/>
      </w:r>
      <w:r>
        <w:rPr>
          <w:rFonts w:hint="eastAsia" w:ascii="黑体" w:hAnsi="黑体" w:eastAsia="黑体"/>
          <w:snapToGrid w:val="0"/>
          <w:sz w:val="30"/>
          <w:szCs w:val="30"/>
        </w:rPr>
        <w:t>四、主要环境影响和保护措施</w:t>
      </w:r>
    </w:p>
    <w:tbl>
      <w:tblPr>
        <w:tblStyle w:val="17"/>
        <w:tblW w:w="95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453"/>
        <w:gridCol w:w="9072"/>
      </w:tblGrid>
      <w:tr w14:paraId="7C2E3A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10" w:hRule="atLeast"/>
          <w:jc w:val="center"/>
        </w:trPr>
        <w:tc>
          <w:tcPr>
            <w:tcW w:w="453" w:type="dxa"/>
            <w:tcMar>
              <w:left w:w="28" w:type="dxa"/>
              <w:right w:w="28" w:type="dxa"/>
            </w:tcMar>
            <w:vAlign w:val="center"/>
          </w:tcPr>
          <w:p w14:paraId="7CE7BE92">
            <w:pPr>
              <w:pStyle w:val="14"/>
              <w:adjustRightInd w:val="0"/>
              <w:snapToGrid w:val="0"/>
              <w:spacing w:before="0" w:beforeAutospacing="0" w:after="0" w:afterAutospacing="0"/>
              <w:ind w:firstLine="0" w:firstLineChars="0"/>
              <w:jc w:val="center"/>
              <w:rPr>
                <w:rFonts w:hint="eastAsia" w:cs="宋体"/>
                <w:kern w:val="2"/>
                <w:sz w:val="21"/>
                <w:szCs w:val="21"/>
              </w:rPr>
            </w:pPr>
            <w:r>
              <w:rPr>
                <w:rFonts w:hint="eastAsia" w:cs="宋体"/>
                <w:kern w:val="2"/>
                <w:sz w:val="21"/>
                <w:szCs w:val="21"/>
              </w:rPr>
              <w:t>施工期环境保护措施</w:t>
            </w:r>
          </w:p>
        </w:tc>
        <w:tc>
          <w:tcPr>
            <w:tcW w:w="9072" w:type="dxa"/>
          </w:tcPr>
          <w:p w14:paraId="6186F494">
            <w:pPr>
              <w:pStyle w:val="3"/>
              <w:spacing w:before="120" w:after="0" w:afterLines="0"/>
            </w:pPr>
            <w:r>
              <w:rPr>
                <w:rFonts w:hint="eastAsia"/>
              </w:rPr>
              <w:t>4.1 施工期环境保护措施</w:t>
            </w:r>
          </w:p>
          <w:p w14:paraId="1161B041">
            <w:pPr>
              <w:ind w:firstLine="480"/>
            </w:pPr>
            <w:r>
              <w:rPr>
                <w:rFonts w:hint="eastAsia"/>
              </w:rPr>
              <w:t>本次项目地点位于长乐区湖南镇鹏程路，在企业已征用地范围内新建一座6#中试车间进行生产。</w:t>
            </w:r>
          </w:p>
          <w:p w14:paraId="6BB362F6">
            <w:pPr>
              <w:pStyle w:val="4"/>
              <w:spacing w:before="120" w:after="0" w:afterLines="0"/>
            </w:pPr>
            <w:r>
              <w:rPr>
                <w:rFonts w:hint="eastAsia"/>
              </w:rPr>
              <w:t>4.1.1 施工期环境空气污染控制措施</w:t>
            </w:r>
          </w:p>
          <w:p w14:paraId="5BE85DCB">
            <w:pPr>
              <w:ind w:firstLine="480"/>
            </w:pPr>
            <w:r>
              <w:rPr>
                <w:rFonts w:hint="eastAsia"/>
              </w:rPr>
              <w:t>①建设单位应加强施工期的环境管理，与施工单位签订施工期环境管理合同，合理安排施工工序，按有关环保措施要求进行施工；</w:t>
            </w:r>
          </w:p>
          <w:p w14:paraId="7C631A45">
            <w:pPr>
              <w:ind w:firstLine="480"/>
            </w:pPr>
            <w:r>
              <w:rPr>
                <w:rFonts w:hint="eastAsia"/>
              </w:rPr>
              <w:t>②必须严格限制运输车辆超载，以避免沙土泄漏；</w:t>
            </w:r>
          </w:p>
          <w:p w14:paraId="00F3CDFE">
            <w:pPr>
              <w:ind w:firstLine="480"/>
            </w:pPr>
            <w:r>
              <w:rPr>
                <w:rFonts w:hint="eastAsia"/>
              </w:rPr>
              <w:t>③提倡使用集中运输的散装水泥。施工用的混凝土应由搅拌车送入工地浇筑，施工现场不设置水泥搅拌站，可大大减少扬尘量。</w:t>
            </w:r>
          </w:p>
          <w:p w14:paraId="243245BE">
            <w:pPr>
              <w:ind w:firstLine="480"/>
            </w:pPr>
            <w:r>
              <w:rPr>
                <w:rFonts w:hint="eastAsia"/>
              </w:rPr>
              <w:t>④施工场界应设围墙，这对减少施工扬尘和对环境的污染有明显的抑制作用，同时可改善工地景观；</w:t>
            </w:r>
          </w:p>
          <w:p w14:paraId="37AA53E8">
            <w:pPr>
              <w:ind w:firstLine="480"/>
            </w:pPr>
            <w:r>
              <w:rPr>
                <w:rFonts w:hint="eastAsia"/>
              </w:rPr>
              <w:t>⑤完善施工工地的路网，尽可能铺设夯实的水泥路面，可降低耗油，减少车辆尾气污染物排放量及施工工地的道路扬尘量。</w:t>
            </w:r>
          </w:p>
          <w:p w14:paraId="1C61AE02">
            <w:pPr>
              <w:ind w:firstLine="480"/>
            </w:pPr>
            <w:r>
              <w:rPr>
                <w:rFonts w:hint="eastAsia"/>
              </w:rPr>
              <w:t>通过采取以上措施，可减小施工废气对周边大气环境的影响，且在经济及技术上可行。</w:t>
            </w:r>
          </w:p>
          <w:p w14:paraId="6A5D3FDE">
            <w:pPr>
              <w:pStyle w:val="4"/>
              <w:spacing w:before="120" w:after="0" w:afterLines="0"/>
            </w:pPr>
            <w:r>
              <w:rPr>
                <w:rFonts w:hint="eastAsia"/>
              </w:rPr>
              <w:t>4.1.2 施工期水环境控制措施</w:t>
            </w:r>
          </w:p>
          <w:p w14:paraId="166809E2">
            <w:pPr>
              <w:ind w:firstLine="480"/>
            </w:pPr>
            <w:r>
              <w:rPr>
                <w:rFonts w:hint="eastAsia"/>
              </w:rPr>
              <w:t>①合理安排施工时间，尽量避免在雨季施工，以减少因雨水冲刷造成的泥沙流失入水体；</w:t>
            </w:r>
          </w:p>
          <w:p w14:paraId="304FDB99">
            <w:pPr>
              <w:ind w:firstLine="480"/>
            </w:pPr>
            <w:r>
              <w:rPr>
                <w:rFonts w:hint="eastAsia"/>
              </w:rPr>
              <w:t>②禁止施工人员随意丢弃生活废弃物、施工废渣等。</w:t>
            </w:r>
          </w:p>
          <w:p w14:paraId="02A854C7">
            <w:pPr>
              <w:ind w:firstLine="480"/>
            </w:pPr>
            <w:r>
              <w:rPr>
                <w:rFonts w:hint="eastAsia"/>
              </w:rPr>
              <w:t>③施工砂石料、弃渣等要在合适地点堆放；</w:t>
            </w:r>
          </w:p>
          <w:p w14:paraId="0EC901C1">
            <w:pPr>
              <w:ind w:firstLine="480"/>
            </w:pPr>
            <w:r>
              <w:rPr>
                <w:rFonts w:hint="eastAsia"/>
              </w:rPr>
              <w:t>④施工的砂石料冲洗废水和施工钻孔桩泥浆废水等建议经沉淀池净化处理后，清水可用于施工场地喷洒抑尘；施工机械修理、冲洗废水先沉淀除砂后，再经隔油沉淀池处理后可回用作为施工场地喷洒抑尘、水泥路面养护用水；</w:t>
            </w:r>
          </w:p>
          <w:p w14:paraId="50550A14">
            <w:pPr>
              <w:ind w:firstLine="480"/>
            </w:pPr>
            <w:r>
              <w:rPr>
                <w:rFonts w:hint="eastAsia"/>
              </w:rPr>
              <w:t>⑤本项目施工人员生活污水依托厂区现有化粪池处理后接入市政污水管网，对周边水体环境影响不大。</w:t>
            </w:r>
          </w:p>
          <w:p w14:paraId="69707E40">
            <w:pPr>
              <w:pStyle w:val="4"/>
              <w:spacing w:before="120" w:after="0" w:afterLines="0"/>
            </w:pPr>
            <w:r>
              <w:rPr>
                <w:rFonts w:hint="eastAsia"/>
              </w:rPr>
              <w:t>4.1.3 施工期噪声污染控制措施</w:t>
            </w:r>
          </w:p>
          <w:p w14:paraId="1BA8470D">
            <w:pPr>
              <w:ind w:firstLine="480"/>
            </w:pPr>
            <w:r>
              <w:rPr>
                <w:rFonts w:hint="eastAsia"/>
              </w:rPr>
              <w:t>①加强施工管理，严格遵守长乐区建筑施工噪声管理规定，尽可能避免或减轻施工噪声对环境的影响；</w:t>
            </w:r>
          </w:p>
          <w:p w14:paraId="21BA837C">
            <w:pPr>
              <w:ind w:firstLine="480"/>
            </w:pPr>
            <w:r>
              <w:rPr>
                <w:rFonts w:hint="eastAsia"/>
              </w:rPr>
              <w:t>②合理安排施工期和工时，特别是要控制夜间的高噪声作业。若确因施工需要又无法避开时，应报环保主管部门批准，并征得周围群众谅解后方可施工。</w:t>
            </w:r>
          </w:p>
          <w:p w14:paraId="0B52E3A6">
            <w:pPr>
              <w:ind w:firstLine="480"/>
            </w:pPr>
            <w:r>
              <w:rPr>
                <w:rFonts w:hint="eastAsia"/>
              </w:rPr>
              <w:t>③施工机械尽量选用低噪声型设备，加强对作业机械及运输车辆的维修保养，保证机械在正常工况下施工，降低其辐射声级。</w:t>
            </w:r>
          </w:p>
          <w:p w14:paraId="05F4023E">
            <w:pPr>
              <w:ind w:firstLine="480"/>
            </w:pPr>
            <w:r>
              <w:rPr>
                <w:rFonts w:hint="eastAsia"/>
              </w:rPr>
              <w:t>④车辆进出施工工地时应限速并减少或杜绝鸣笛，严禁在施工工地抛扔钢管、脚手架，把人为造成的噪声控制在最低水平。</w:t>
            </w:r>
          </w:p>
          <w:p w14:paraId="7D06BB11">
            <w:pPr>
              <w:ind w:firstLine="480"/>
            </w:pPr>
            <w:r>
              <w:rPr>
                <w:rFonts w:hint="eastAsia"/>
              </w:rPr>
              <w:t>⑤施工过程中施工厂界噪声应严格执行《建筑施工噪声排放标准》（GB12523-2025）中的标准限值要求。</w:t>
            </w:r>
          </w:p>
          <w:p w14:paraId="06438460">
            <w:pPr>
              <w:pStyle w:val="4"/>
              <w:spacing w:before="120" w:after="0" w:afterLines="0"/>
            </w:pPr>
            <w:r>
              <w:rPr>
                <w:rFonts w:hint="eastAsia"/>
              </w:rPr>
              <w:t>4.1.4 施工期固体废物环境保护措施</w:t>
            </w:r>
          </w:p>
          <w:p w14:paraId="6739FA77">
            <w:pPr>
              <w:ind w:firstLine="480"/>
            </w:pPr>
            <w:r>
              <w:rPr>
                <w:rFonts w:hint="eastAsia"/>
              </w:rPr>
              <w:t>本项目施工期固废主要有建筑垃圾、开挖土石方和施工人员的生活垃圾。针对项目产生的建筑垃圾和生活垃圾，拟采取以下措施：</w:t>
            </w:r>
          </w:p>
          <w:p w14:paraId="364A8BC9">
            <w:pPr>
              <w:ind w:firstLine="480"/>
            </w:pPr>
            <w:r>
              <w:rPr>
                <w:rFonts w:hint="eastAsia"/>
              </w:rPr>
              <w:t>①对建筑垃圾要进行收集并在固定地点集中暂存，尽量缩短暂存时间，争取日产日清。同时要做好建筑垃圾暂存点的防护工作，避免风吹、雨淋散失或流失；</w:t>
            </w:r>
          </w:p>
          <w:p w14:paraId="64E16EB7">
            <w:pPr>
              <w:ind w:firstLine="480"/>
            </w:pPr>
            <w:r>
              <w:rPr>
                <w:rFonts w:hint="eastAsia"/>
              </w:rPr>
              <w:t>②在施工现场设置防雨的生活垃圾周转储存容器，生活垃圾必须集中投入到垃圾箱中，最终交由当地环卫部门清运和统一集中处置。</w:t>
            </w:r>
          </w:p>
          <w:p w14:paraId="3761545F">
            <w:pPr>
              <w:ind w:firstLine="480"/>
            </w:pPr>
            <w:r>
              <w:rPr>
                <w:rFonts w:hint="eastAsia"/>
              </w:rPr>
              <w:t>③施工时产生的建筑垃圾中无毒的废渣土、废砖头等可外运综合利用，指定专人负责，严禁随意倾倒堆放。</w:t>
            </w:r>
          </w:p>
          <w:p w14:paraId="2BEE9DF3">
            <w:pPr>
              <w:ind w:firstLine="480"/>
            </w:pPr>
            <w:r>
              <w:rPr>
                <w:rFonts w:hint="eastAsia"/>
              </w:rPr>
              <w:t>④建筑垃圾中废钢筋、包装水泥袋、塑料袋、废纸箱等由有资质的回收部门回收，加以再生利用。渣土等可委托当地有关部门统一负责运往指定地点填埋处置。</w:t>
            </w:r>
          </w:p>
        </w:tc>
      </w:tr>
      <w:tr w14:paraId="6CBC8E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6810" w:hRule="atLeast"/>
          <w:jc w:val="center"/>
        </w:trPr>
        <w:tc>
          <w:tcPr>
            <w:tcW w:w="453" w:type="dxa"/>
            <w:tcMar>
              <w:left w:w="28" w:type="dxa"/>
              <w:right w:w="28" w:type="dxa"/>
            </w:tcMar>
            <w:vAlign w:val="center"/>
          </w:tcPr>
          <w:p w14:paraId="147A0A4B">
            <w:pPr>
              <w:adjustRightInd w:val="0"/>
              <w:snapToGrid w:val="0"/>
              <w:ind w:firstLine="0" w:firstLineChars="0"/>
              <w:jc w:val="center"/>
              <w:rPr>
                <w:rFonts w:hint="eastAsia" w:ascii="宋体" w:hAnsi="宋体" w:cs="宋体"/>
                <w:bCs/>
                <w:sz w:val="21"/>
                <w:szCs w:val="21"/>
              </w:rPr>
            </w:pPr>
            <w:r>
              <w:rPr>
                <w:rFonts w:hint="eastAsia" w:ascii="宋体" w:hAnsi="宋体" w:cs="宋体"/>
                <w:bCs/>
                <w:sz w:val="21"/>
                <w:szCs w:val="21"/>
              </w:rPr>
              <w:t>运营期环境影响和保护措施</w:t>
            </w:r>
          </w:p>
        </w:tc>
        <w:tc>
          <w:tcPr>
            <w:tcW w:w="9072" w:type="dxa"/>
          </w:tcPr>
          <w:p w14:paraId="28E9992B">
            <w:pPr>
              <w:pStyle w:val="3"/>
              <w:spacing w:before="120" w:after="0" w:afterLines="0"/>
            </w:pPr>
            <w:r>
              <w:rPr>
                <w:rFonts w:hint="eastAsia"/>
              </w:rPr>
              <w:t>4.2 运营期环境影响和保护措施</w:t>
            </w:r>
          </w:p>
          <w:p w14:paraId="24A5C9C2">
            <w:pPr>
              <w:pStyle w:val="4"/>
              <w:spacing w:before="120" w:after="0" w:afterLines="0"/>
            </w:pPr>
            <w:r>
              <w:rPr>
                <w:rFonts w:hint="eastAsia"/>
              </w:rPr>
              <w:t>4.2.1 大气环境影响和保护措施</w:t>
            </w:r>
          </w:p>
          <w:p w14:paraId="0739E7BB">
            <w:pPr>
              <w:pStyle w:val="5"/>
            </w:pPr>
            <w:r>
              <w:rPr>
                <w:rFonts w:hint="eastAsia"/>
              </w:rPr>
              <w:t>4.2.1.1 废气污染源强核算与分析</w:t>
            </w:r>
          </w:p>
          <w:p w14:paraId="537B92A7">
            <w:pPr>
              <w:ind w:firstLine="480"/>
            </w:pPr>
            <w:r>
              <w:rPr>
                <w:rFonts w:hint="eastAsia"/>
              </w:rPr>
              <w:t>本次扩建项目新增废气主要是纺丝工序产生的单体抽吸废气、纺丝上油工序产生的油剂废气、组件清洗工序产生的煅烧废气、再生造粒工序产生的熔融废气、实验室试剂调配产生的实验废气和成品研发测试过程中产生的研发废气。</w:t>
            </w:r>
          </w:p>
          <w:p w14:paraId="46B5E077">
            <w:pPr>
              <w:ind w:firstLine="480"/>
            </w:pPr>
            <w:r>
              <w:rPr>
                <w:rFonts w:hint="eastAsia"/>
              </w:rPr>
              <w:t>1.纤维研发平台</w:t>
            </w:r>
          </w:p>
          <w:p w14:paraId="4A71203A">
            <w:pPr>
              <w:ind w:firstLine="480"/>
            </w:pPr>
            <w:bookmarkStart w:id="7" w:name="_Hlk198066363"/>
            <w:r>
              <w:rPr>
                <w:rFonts w:hint="eastAsia"/>
              </w:rPr>
              <w:t>（1）纺丝上油工序油剂废气</w:t>
            </w:r>
            <w:bookmarkEnd w:id="7"/>
          </w:p>
          <w:p w14:paraId="70EE3998">
            <w:pPr>
              <w:ind w:firstLine="480"/>
            </w:pPr>
            <w:bookmarkStart w:id="8" w:name="_Hlk198066380"/>
            <w:r>
              <w:rPr>
                <w:rFonts w:hint="eastAsia"/>
              </w:rPr>
              <w:t>丝束在上油和卷绕过程中</w:t>
            </w:r>
            <w:bookmarkEnd w:id="8"/>
            <w:r>
              <w:rPr>
                <w:rFonts w:hint="eastAsia"/>
              </w:rPr>
              <w:t>，由于刚刚凝固的丝束温度达到110℃，因此会有少量的纺丝油剂与其接触后挥发成油雾颗粒。整个纺丝卷绕系统均处于密闭箱体内，通过负压集气经管道将油剂废气抽出，废气收集效率为95%，</w:t>
            </w:r>
            <w:bookmarkStart w:id="9" w:name="OLE_LINK10"/>
            <w:r>
              <w:rPr>
                <w:rFonts w:hint="eastAsia"/>
              </w:rPr>
              <w:t>集气后废气由1套静电吸附装置处理后经1根18m排气筒排放（P1），配备的风机风量为36000m</w:t>
            </w:r>
            <w:r>
              <w:rPr>
                <w:rFonts w:hint="eastAsia"/>
                <w:vertAlign w:val="superscript"/>
              </w:rPr>
              <w:t>3</w:t>
            </w:r>
            <w:r>
              <w:rPr>
                <w:rFonts w:hint="eastAsia"/>
              </w:rPr>
              <w:t>/h，以每年运行时间8760h计。</w:t>
            </w:r>
            <w:bookmarkEnd w:id="9"/>
            <w:bookmarkStart w:id="10" w:name="_Hlk198066451"/>
            <w:r>
              <w:rPr>
                <w:rFonts w:hint="eastAsia"/>
              </w:rPr>
              <w:t>类比《福建景丰科技有限公司年产7万吨智能化、功能性绿色锦纶纤维项目竣工环境保护验收监测报告》（2025.12），纺丝工程上油工序排气筒进口非甲烷总烃最大监测浓度为3.74mg/m</w:t>
            </w:r>
            <w:r>
              <w:rPr>
                <w:rFonts w:hint="eastAsia"/>
                <w:vertAlign w:val="superscript"/>
              </w:rPr>
              <w:t>3</w:t>
            </w:r>
            <w:r>
              <w:rPr>
                <w:rFonts w:hint="eastAsia"/>
              </w:rPr>
              <w:t>，颗粒物最大监测浓度为18.4mg/m</w:t>
            </w:r>
            <w:r>
              <w:rPr>
                <w:rFonts w:hint="eastAsia"/>
                <w:vertAlign w:val="superscript"/>
              </w:rPr>
              <w:t>3</w:t>
            </w:r>
            <w:r>
              <w:rPr>
                <w:rFonts w:hint="eastAsia"/>
              </w:rPr>
              <w:t>。考虑最不利情况，本次纺丝工程上油工序废气挥发性有机物（以非甲烷总烃表征）产生浓度取5mg/m</w:t>
            </w:r>
            <w:r>
              <w:rPr>
                <w:rFonts w:hint="eastAsia"/>
                <w:vertAlign w:val="superscript"/>
              </w:rPr>
              <w:t>3</w:t>
            </w:r>
            <w:r>
              <w:rPr>
                <w:rFonts w:hint="eastAsia"/>
              </w:rPr>
              <w:t>，颗粒物产生浓度取20mg/m</w:t>
            </w:r>
            <w:r>
              <w:rPr>
                <w:rFonts w:hint="eastAsia"/>
                <w:vertAlign w:val="superscript"/>
              </w:rPr>
              <w:t>3</w:t>
            </w:r>
            <w:r>
              <w:rPr>
                <w:rFonts w:hint="eastAsia"/>
              </w:rPr>
              <w:t>。根据《福州市合成纤维制造业挥发性有机物整治验收技术标准》要求，纺丝油烟处理设施净化效率不低于80%，本项目去除效率按80%考虑。则本次扩建项目纺丝生产线油剂废气中非甲烷总烃的产生量为1.58t/a，排放浓度0.95mg/m</w:t>
            </w:r>
            <w:r>
              <w:rPr>
                <w:rFonts w:hint="eastAsia"/>
                <w:vertAlign w:val="superscript"/>
              </w:rPr>
              <w:t>3</w:t>
            </w:r>
            <w:r>
              <w:rPr>
                <w:rFonts w:hint="eastAsia"/>
              </w:rPr>
              <w:t>，有组织排放量为0.30t/a（排放速率0.034kg/h），无组织排放量为0.08t/a（排放速率0.009kg/h）；颗粒物的产生量为6.31t/a，排放浓度3.8mg/m</w:t>
            </w:r>
            <w:r>
              <w:rPr>
                <w:rFonts w:hint="eastAsia"/>
                <w:vertAlign w:val="superscript"/>
              </w:rPr>
              <w:t>3</w:t>
            </w:r>
            <w:r>
              <w:rPr>
                <w:rFonts w:hint="eastAsia"/>
              </w:rPr>
              <w:t>，有组织排放量为1.20t/a（排放速率0.137kg/h），无组织排放量为0.32t/a（排放速率0.036kg/h）。</w:t>
            </w:r>
            <w:bookmarkEnd w:id="10"/>
          </w:p>
          <w:p w14:paraId="7E2464F7">
            <w:pPr>
              <w:ind w:firstLine="480"/>
            </w:pPr>
            <w:r>
              <w:rPr>
                <w:rFonts w:hint="eastAsia"/>
              </w:rPr>
              <w:t>（2）组件煅烧废气</w:t>
            </w:r>
          </w:p>
          <w:p w14:paraId="55425589">
            <w:pPr>
              <w:ind w:firstLine="480"/>
            </w:pPr>
            <w:bookmarkStart w:id="11" w:name="_Hlk198066537"/>
            <w:r>
              <w:rPr>
                <w:rFonts w:hint="eastAsia"/>
              </w:rPr>
              <w:t>纺丝组件、喷丝板和过滤器等组件在真空煅烧炉内煅烧过程中</w:t>
            </w:r>
            <w:bookmarkEnd w:id="11"/>
            <w:r>
              <w:rPr>
                <w:rFonts w:hint="eastAsia"/>
              </w:rPr>
              <w:t>，由于组件黏附的废胶块在清洗过程中分解、催化氧化过程中会有废气产生，</w:t>
            </w:r>
            <w:bookmarkStart w:id="12" w:name="_Hlk198066626"/>
            <w:r>
              <w:rPr>
                <w:rFonts w:hint="eastAsia"/>
              </w:rPr>
              <w:t>集气后废气与再生造粒熔融废气（再生切片、改性工塑生产线）一起由1套静电吸附装置处理后经1根18m排气筒排放（P3）</w:t>
            </w:r>
            <w:bookmarkEnd w:id="12"/>
            <w:r>
              <w:rPr>
                <w:rFonts w:hint="eastAsia"/>
              </w:rPr>
              <w:t>。该部分废气成分主要为挥发性有机物（以非甲烷总烃表征）。</w:t>
            </w:r>
          </w:p>
          <w:p w14:paraId="6CD841B5">
            <w:pPr>
              <w:ind w:firstLine="480"/>
            </w:pPr>
            <w:bookmarkStart w:id="13" w:name="OLE_LINK9"/>
            <w:r>
              <w:rPr>
                <w:rFonts w:hint="eastAsia"/>
              </w:rPr>
              <w:t>类比《福建景丰科技有限公司年产7万吨智能化、功能性绿色锦纶纤维项目竣工环境保护验收监测报告》（2025.12），真空煅烧炉废气中非甲烷总烃最大排放浓度为0.83mg/m</w:t>
            </w:r>
            <w:r>
              <w:rPr>
                <w:rFonts w:hint="eastAsia"/>
                <w:vertAlign w:val="superscript"/>
              </w:rPr>
              <w:t>3</w:t>
            </w:r>
            <w:r>
              <w:rPr>
                <w:rFonts w:hint="eastAsia"/>
              </w:rPr>
              <w:t>，考虑最不利情况，本项目组件煅烧废气非甲烷总烃排放浓度取1.5mg/m</w:t>
            </w:r>
            <w:r>
              <w:rPr>
                <w:rFonts w:hint="eastAsia"/>
                <w:vertAlign w:val="superscript"/>
              </w:rPr>
              <w:t>3</w:t>
            </w:r>
            <w:r>
              <w:rPr>
                <w:rFonts w:hint="eastAsia"/>
              </w:rPr>
              <w:t>。配备的风机风量为36000m</w:t>
            </w:r>
            <w:r>
              <w:rPr>
                <w:rFonts w:hint="eastAsia"/>
                <w:vertAlign w:val="superscript"/>
              </w:rPr>
              <w:t>3</w:t>
            </w:r>
            <w:r>
              <w:rPr>
                <w:rFonts w:hint="eastAsia"/>
              </w:rPr>
              <w:t>/h，以每年运行时间1728h计（每月144h），项目废气收集率按95%考虑，去除率按80%考虑。本次扩建项目煅烧废气中非甲烷总烃有组织排放量为0.093t/a（排放速率0.054kg/h），无组织排放量为0.025t/a（排放速率0.014kg/h）</w:t>
            </w:r>
            <w:bookmarkEnd w:id="13"/>
            <w:r>
              <w:rPr>
                <w:rFonts w:hint="eastAsia"/>
              </w:rPr>
              <w:t>，反推得非甲烷总烃产生量为0.49t/a，产生浓度为7.89mg/m</w:t>
            </w:r>
            <w:r>
              <w:rPr>
                <w:rFonts w:hint="eastAsia"/>
                <w:vertAlign w:val="superscript"/>
              </w:rPr>
              <w:t>3</w:t>
            </w:r>
            <w:r>
              <w:rPr>
                <w:rFonts w:hint="eastAsia"/>
              </w:rPr>
              <w:t>。</w:t>
            </w:r>
          </w:p>
          <w:p w14:paraId="3F5DADE5">
            <w:pPr>
              <w:ind w:firstLine="480"/>
            </w:pPr>
            <w:r>
              <w:rPr>
                <w:rFonts w:hint="eastAsia"/>
              </w:rPr>
              <w:t>（3）单体抽吸废气</w:t>
            </w:r>
          </w:p>
          <w:p w14:paraId="07E50ED3">
            <w:pPr>
              <w:ind w:firstLine="480"/>
            </w:pPr>
            <w:bookmarkStart w:id="14" w:name="_Hlk198066688"/>
            <w:r>
              <w:rPr>
                <w:rFonts w:hint="eastAsia"/>
              </w:rPr>
              <w:t>纺丝过程产生的己内酰胺单体进入单体抽吸循环系统经抽吸罩收集后由水喷淋 装置吸收</w:t>
            </w:r>
            <w:bookmarkEnd w:id="14"/>
            <w:r>
              <w:rPr>
                <w:rFonts w:hint="eastAsia"/>
              </w:rPr>
              <w:t>，</w:t>
            </w:r>
            <w:bookmarkStart w:id="15" w:name="_Hlk198066705"/>
            <w:r>
              <w:rPr>
                <w:rFonts w:hint="eastAsia"/>
              </w:rPr>
              <w:t>气相己内酰胺单体大部分溶于水中送至聚合工程单体回收系统进行单体回收，少量未吸收气态己内酰胺经排气筒达标排放。</w:t>
            </w:r>
            <w:bookmarkEnd w:id="15"/>
            <w:r>
              <w:rPr>
                <w:rFonts w:hint="eastAsia"/>
              </w:rPr>
              <w:t>纺丝生产过程工艺废气主要污染物为挥发性有机物（以非甲烷总烃表征）和颗粒物。</w:t>
            </w:r>
          </w:p>
          <w:p w14:paraId="797665F4">
            <w:pPr>
              <w:ind w:firstLine="480"/>
            </w:pPr>
            <w:bookmarkStart w:id="16" w:name="_Hlk198066738"/>
            <w:r>
              <w:rPr>
                <w:rFonts w:hint="eastAsia"/>
              </w:rPr>
              <w:t>类比《福建景丰科技有限公司年产7万吨智能化、功能性绿色锦纶纤维项目竣工环境保护验收监测报告》（2025.12），单体抽吸水喷淋装置外排的单体抽吸废气中非甲烷总烃排放浓度监测结果的最大值为1.25mg/m</w:t>
            </w:r>
            <w:r>
              <w:rPr>
                <w:rFonts w:hint="eastAsia"/>
                <w:vertAlign w:val="superscript"/>
              </w:rPr>
              <w:t>3</w:t>
            </w:r>
            <w:r>
              <w:rPr>
                <w:rFonts w:hint="eastAsia"/>
              </w:rPr>
              <w:t>、颗粒物排放浓度监测结果的最大值为4.5mg/m</w:t>
            </w:r>
            <w:r>
              <w:rPr>
                <w:rFonts w:hint="eastAsia"/>
                <w:vertAlign w:val="superscript"/>
              </w:rPr>
              <w:t>3</w:t>
            </w:r>
            <w:r>
              <w:rPr>
                <w:rFonts w:hint="eastAsia"/>
              </w:rPr>
              <w:t>。考虑最不利情况，本项目单体抽吸废气中非甲烷总烃的排放浓度取2mg/m</w:t>
            </w:r>
            <w:r>
              <w:rPr>
                <w:rFonts w:hint="eastAsia"/>
                <w:vertAlign w:val="superscript"/>
              </w:rPr>
              <w:t>3</w:t>
            </w:r>
            <w:r>
              <w:rPr>
                <w:rFonts w:hint="eastAsia"/>
              </w:rPr>
              <w:t>，颗粒物的排放浓度取6mg/m</w:t>
            </w:r>
            <w:r>
              <w:rPr>
                <w:rFonts w:hint="eastAsia"/>
                <w:vertAlign w:val="superscript"/>
              </w:rPr>
              <w:t>3</w:t>
            </w:r>
            <w:r>
              <w:rPr>
                <w:rFonts w:hint="eastAsia"/>
              </w:rPr>
              <w:t>。运营期排气筒平均风量为10800m</w:t>
            </w:r>
            <w:r>
              <w:rPr>
                <w:rFonts w:hint="eastAsia"/>
                <w:vertAlign w:val="superscript"/>
              </w:rPr>
              <w:t>3</w:t>
            </w:r>
            <w:r>
              <w:rPr>
                <w:rFonts w:hint="eastAsia"/>
              </w:rPr>
              <w:t>/h，以每年运行时间8760h计，采用负压集气，废气收集效率为95%。参考《广东省工业源挥发性有机物减排量核算方法（2023修订版）》，水喷淋对挥发性有机物的处理效率取30%，单体抽吸循环系统以回收去除己内酰胺单体为主，产生废气中的颗粒物和挥发性有机物中的主要成分为己内酰胺单体，因此采用单体抽吸水喷淋装置预期对颗粒物和挥发性有机物的去除效果基本一致，则本次纺丝生产工艺废气经单体抽吸水喷淋装置处理后，对颗粒物的去除率以30%计。则单体抽吸废气中非甲烷总烃的有组织排放量为0.19t/a（排放速率0.022kg/h），无组织排放量为0.014t/a（排放速率0.002kg/h）；颗粒物的有组织排放量为0.57t/a（排放速率0.065kg/h），无组织排放量为0.043t/a（排放速率0.005kg/h）。反推得单体抽吸废气非甲烷总烃的产生量为0.28t/a，产生浓度为3.01mg/m</w:t>
            </w:r>
            <w:r>
              <w:rPr>
                <w:rFonts w:hint="eastAsia"/>
                <w:vertAlign w:val="superscript"/>
              </w:rPr>
              <w:t>3</w:t>
            </w:r>
            <w:r>
              <w:rPr>
                <w:rFonts w:hint="eastAsia"/>
              </w:rPr>
              <w:t>；颗粒物的产生量为0.85t/a，产生浓度为9.02mg/m</w:t>
            </w:r>
            <w:r>
              <w:rPr>
                <w:rFonts w:hint="eastAsia"/>
                <w:vertAlign w:val="superscript"/>
              </w:rPr>
              <w:t>3</w:t>
            </w:r>
            <w:r>
              <w:rPr>
                <w:rFonts w:hint="eastAsia"/>
              </w:rPr>
              <w:t>。</w:t>
            </w:r>
          </w:p>
          <w:p w14:paraId="4E322F69">
            <w:pPr>
              <w:ind w:firstLine="480"/>
            </w:pPr>
            <w:r>
              <w:rPr>
                <w:rFonts w:hint="eastAsia"/>
              </w:rPr>
              <w:t>2.新材料研发平台</w:t>
            </w:r>
          </w:p>
          <w:bookmarkEnd w:id="16"/>
          <w:p w14:paraId="7651AD07">
            <w:pPr>
              <w:ind w:firstLine="480"/>
            </w:pPr>
            <w:bookmarkStart w:id="17" w:name="_Hlk198066843"/>
            <w:r>
              <w:rPr>
                <w:rFonts w:hint="eastAsia"/>
              </w:rPr>
              <w:t>（1）再生造粒工序熔融废气</w:t>
            </w:r>
            <w:bookmarkEnd w:id="17"/>
          </w:p>
          <w:p w14:paraId="3667D63C">
            <w:pPr>
              <w:ind w:firstLine="480"/>
            </w:pPr>
            <w:r>
              <w:rPr>
                <w:rFonts w:hint="eastAsia"/>
              </w:rPr>
              <w:t>废丝和废切片（来自企业现有纺丝工程和聚合工程，不涉及废塑料等其他废弃物料）加热熔融过程中会产生少量有机废气随熔体从螺杆挤出头溢出，通过集气罩收集，集</w:t>
            </w:r>
            <w:bookmarkStart w:id="18" w:name="_Hlk198066919"/>
            <w:r>
              <w:rPr>
                <w:rFonts w:hint="eastAsia"/>
              </w:rPr>
              <w:t>气后废气与纺丝生产线组件煅烧废气</w:t>
            </w:r>
            <w:bookmarkEnd w:id="18"/>
            <w:r>
              <w:rPr>
                <w:rFonts w:hint="eastAsia"/>
              </w:rPr>
              <w:t>一起由1套静电吸附装置处理后经1根18m排气筒排放（P3）。该部分废气成分主要为挥发性有机物（以非甲烷总烃表征）。</w:t>
            </w:r>
          </w:p>
          <w:p w14:paraId="48929CD4">
            <w:pPr>
              <w:ind w:firstLine="480"/>
            </w:pPr>
            <w:r>
              <w:rPr>
                <w:rFonts w:hint="eastAsia"/>
              </w:rPr>
              <w:t>类比《福建永荣锦江股份有限公司年产1万吨低碳再生切片、改性工塑项目竣工环境保护验收监测报告》（2025.06），熔融废气中非甲烷总烃最大排放浓度为0.55mg/m</w:t>
            </w:r>
            <w:r>
              <w:rPr>
                <w:rFonts w:hint="eastAsia"/>
                <w:vertAlign w:val="superscript"/>
              </w:rPr>
              <w:t>3</w:t>
            </w:r>
            <w:r>
              <w:rPr>
                <w:rFonts w:hint="eastAsia"/>
              </w:rPr>
              <w:t>，考虑最不利情况，本项目熔融废气非甲烷总烃排放浓度取1mg/m</w:t>
            </w:r>
            <w:r>
              <w:rPr>
                <w:rFonts w:hint="eastAsia"/>
                <w:vertAlign w:val="superscript"/>
              </w:rPr>
              <w:t>3</w:t>
            </w:r>
            <w:r>
              <w:rPr>
                <w:rFonts w:hint="eastAsia"/>
              </w:rPr>
              <w:t>。配备的风机风量为36000m</w:t>
            </w:r>
            <w:r>
              <w:rPr>
                <w:rFonts w:hint="eastAsia"/>
                <w:vertAlign w:val="superscript"/>
              </w:rPr>
              <w:t>3</w:t>
            </w:r>
            <w:r>
              <w:rPr>
                <w:rFonts w:hint="eastAsia"/>
              </w:rPr>
              <w:t>/h，以每年运行时间2920h计，项目废气收集率按65%考虑，去除率按80%考虑。本次扩建项目熔融废气中非甲烷总烃有组织排放量为0.11t/a（排放速率0.036kg/h），无组织排放量为0.283t/a（排放速率0.097kg/h），反推得非甲烷总烃产生量为0.81t/a，产生浓度为7.69mg/m</w:t>
            </w:r>
            <w:r>
              <w:rPr>
                <w:rFonts w:hint="eastAsia"/>
                <w:vertAlign w:val="superscript"/>
              </w:rPr>
              <w:t>3</w:t>
            </w:r>
            <w:r>
              <w:rPr>
                <w:rFonts w:hint="eastAsia"/>
              </w:rPr>
              <w:t>。</w:t>
            </w:r>
          </w:p>
          <w:p w14:paraId="3B975379">
            <w:pPr>
              <w:ind w:firstLine="480"/>
            </w:pPr>
            <w:r>
              <w:rPr>
                <w:rFonts w:hint="eastAsia"/>
              </w:rPr>
              <w:t>3.实验室</w:t>
            </w:r>
          </w:p>
          <w:p w14:paraId="376A165C">
            <w:pPr>
              <w:ind w:firstLine="480"/>
            </w:pPr>
            <w:r>
              <w:rPr>
                <w:rFonts w:hint="eastAsia"/>
              </w:rPr>
              <w:t>（1）研发废气</w:t>
            </w:r>
          </w:p>
          <w:p w14:paraId="7BE8933F">
            <w:pPr>
              <w:ind w:firstLine="480"/>
            </w:pPr>
            <w:r>
              <w:rPr>
                <w:rFonts w:hint="eastAsia"/>
              </w:rPr>
              <w:t>研发测试过程使用的熔融指数仪、热变形温度测定仪、毛细管/旋转流变仪、织物阻燃性能测试仪、水热合成釜、差示扫描量热仪等设备运行过程会因升温产生少量有机废气。此类设备集中布置于车间3楼的2#试制检测间内，废气由与设备相连的管道收集后经1套烟气净化处理系统（水喷淋+活性炭吸附）处理后由1根18m排气筒（P4）排放。该部分废气成分主要为挥发性有机物（以非甲烷总烃表征）。</w:t>
            </w:r>
          </w:p>
          <w:p w14:paraId="2465D133">
            <w:pPr>
              <w:ind w:firstLine="480"/>
            </w:pPr>
            <w:r>
              <w:rPr>
                <w:rFonts w:hint="eastAsia"/>
              </w:rPr>
              <w:t>设备全年运行时间按800小时计，约有500吨成品长丝和切片由以上设备进行性能测试和研发。根据《排放源统计调查产排污核算方法和系数手册》，本项目属于“2821 锦纶纤维”，挥发性有机物产污系数为56.16g/t-产品，则研发废气中挥发性有机物（以非甲烷总烃表征）的产生量为0.028t/a。设备采用密闭管道负压集气，配套风机风量10000m</w:t>
            </w:r>
            <w:r>
              <w:rPr>
                <w:rFonts w:hint="eastAsia"/>
                <w:vertAlign w:val="superscript"/>
              </w:rPr>
              <w:t>3</w:t>
            </w:r>
            <w:r>
              <w:rPr>
                <w:rFonts w:hint="eastAsia"/>
              </w:rPr>
              <w:t>/h，废气收集效率为95%。参考《主要污染物总量减排核算技术指南（2022修订版）》，水喷淋+活性炭吸附对挥发性有机物的处理效率取40%，则研发废气中非甲烷总烃有组织排放量为0.016t/a（排放速率0.02kg/h），无组织排放量为0.001t/a（排放速率0.002kg/h）</w:t>
            </w:r>
          </w:p>
          <w:p w14:paraId="711747FF">
            <w:pPr>
              <w:ind w:firstLine="480"/>
            </w:pPr>
            <w:r>
              <w:rPr>
                <w:rFonts w:hint="eastAsia"/>
              </w:rPr>
              <w:t>（2）实验废气</w:t>
            </w:r>
          </w:p>
          <w:p w14:paraId="253203DD">
            <w:pPr>
              <w:ind w:firstLine="480"/>
            </w:pPr>
            <w:r>
              <w:rPr>
                <w:rFonts w:hint="eastAsia"/>
              </w:rPr>
              <w:t>项目配套实验室使用多种有机溶剂调配样品测试溶液，试剂调配过程中产生极少量酸性气体和有机废气由通风橱收集后经1套烟气净化处理系统（水喷淋+活性炭吸附）处理后经1根18m排气筒排放（P4）。实验废气属于间歇性排放且废气量很小，本次评价仅做定性分析。项目实验室试剂调配均在操作台进行，台面上方设置通风橱，实验废气经通风橱收集后进入水喷淋塔，酸雾和可溶性有机废气可扩散溶于水雾，大幅降低废气浓度，残余废气进入高碘值活性炭层，依靠分子间范德华力物理吸附捕捉喷淋未去除的有机分子，最终达到净化气体的效果。</w:t>
            </w:r>
          </w:p>
          <w:p w14:paraId="0ACB0370">
            <w:pPr>
              <w:pStyle w:val="13"/>
              <w:rPr>
                <w:highlight w:val="none"/>
              </w:rPr>
            </w:pPr>
            <w:r>
              <w:rPr>
                <w:rFonts w:hint="eastAsia"/>
                <w:highlight w:val="none"/>
              </w:rPr>
              <w:t>表4.2-1  本次扩建废气污染物三本账一览表</w:t>
            </w:r>
          </w:p>
          <w:tbl>
            <w:tblPr>
              <w:tblStyle w:val="18"/>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307"/>
              <w:gridCol w:w="685"/>
              <w:gridCol w:w="1312"/>
              <w:gridCol w:w="1433"/>
              <w:gridCol w:w="1607"/>
              <w:gridCol w:w="1609"/>
            </w:tblGrid>
            <w:tr w14:paraId="10EC6A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8" w:type="pct"/>
                  <w:vAlign w:val="center"/>
                </w:tcPr>
                <w:p w14:paraId="294FA479">
                  <w:pPr>
                    <w:pStyle w:val="83"/>
                    <w:rPr>
                      <w:rFonts w:hint="default"/>
                      <w:highlight w:val="none"/>
                    </w:rPr>
                  </w:pPr>
                  <w:r>
                    <w:rPr>
                      <w:highlight w:val="none"/>
                    </w:rPr>
                    <w:t>污染因子</w:t>
                  </w:r>
                </w:p>
              </w:tc>
              <w:tc>
                <w:tcPr>
                  <w:tcW w:w="382" w:type="pct"/>
                  <w:vAlign w:val="center"/>
                </w:tcPr>
                <w:p w14:paraId="6F65860E">
                  <w:pPr>
                    <w:pStyle w:val="83"/>
                    <w:rPr>
                      <w:rFonts w:hint="default"/>
                      <w:highlight w:val="none"/>
                    </w:rPr>
                  </w:pPr>
                  <w:r>
                    <w:rPr>
                      <w:highlight w:val="none"/>
                    </w:rPr>
                    <w:t>单位</w:t>
                  </w:r>
                </w:p>
              </w:tc>
              <w:tc>
                <w:tcPr>
                  <w:tcW w:w="732" w:type="pct"/>
                  <w:vAlign w:val="center"/>
                </w:tcPr>
                <w:p w14:paraId="24D4A798">
                  <w:pPr>
                    <w:pStyle w:val="83"/>
                    <w:rPr>
                      <w:rFonts w:hint="default"/>
                      <w:highlight w:val="none"/>
                    </w:rPr>
                  </w:pPr>
                  <w:r>
                    <w:rPr>
                      <w:highlight w:val="none"/>
                    </w:rPr>
                    <w:t>现有工程排放量</w:t>
                  </w:r>
                </w:p>
              </w:tc>
              <w:tc>
                <w:tcPr>
                  <w:tcW w:w="800" w:type="pct"/>
                  <w:vAlign w:val="center"/>
                </w:tcPr>
                <w:p w14:paraId="0E7BD27E">
                  <w:pPr>
                    <w:pStyle w:val="83"/>
                    <w:rPr>
                      <w:rFonts w:hint="default" w:eastAsia="宋体"/>
                      <w:highlight w:val="none"/>
                      <w:lang w:val="en-US" w:eastAsia="zh-CN"/>
                    </w:rPr>
                  </w:pPr>
                  <w:r>
                    <w:rPr>
                      <w:rFonts w:hint="eastAsia"/>
                      <w:highlight w:val="none"/>
                      <w:lang w:val="en-US" w:eastAsia="zh-CN"/>
                    </w:rPr>
                    <w:t>在建工程排放量</w:t>
                  </w:r>
                </w:p>
              </w:tc>
              <w:tc>
                <w:tcPr>
                  <w:tcW w:w="897" w:type="pct"/>
                  <w:vAlign w:val="center"/>
                </w:tcPr>
                <w:p w14:paraId="0D2E4A43">
                  <w:pPr>
                    <w:pStyle w:val="83"/>
                    <w:rPr>
                      <w:rFonts w:hint="default"/>
                      <w:highlight w:val="none"/>
                    </w:rPr>
                  </w:pPr>
                  <w:r>
                    <w:rPr>
                      <w:highlight w:val="none"/>
                    </w:rPr>
                    <w:t>本工程新增排放量</w:t>
                  </w:r>
                </w:p>
              </w:tc>
              <w:tc>
                <w:tcPr>
                  <w:tcW w:w="898" w:type="pct"/>
                  <w:vAlign w:val="center"/>
                </w:tcPr>
                <w:p w14:paraId="43E3B03A">
                  <w:pPr>
                    <w:pStyle w:val="83"/>
                    <w:rPr>
                      <w:rFonts w:hint="default"/>
                      <w:highlight w:val="none"/>
                    </w:rPr>
                  </w:pPr>
                  <w:r>
                    <w:rPr>
                      <w:highlight w:val="none"/>
                    </w:rPr>
                    <w:t>扩建后全厂排放量</w:t>
                  </w:r>
                </w:p>
              </w:tc>
            </w:tr>
            <w:tr w14:paraId="41D6B6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8" w:type="pct"/>
                  <w:vAlign w:val="center"/>
                </w:tcPr>
                <w:p w14:paraId="58B5EB07">
                  <w:pPr>
                    <w:pStyle w:val="83"/>
                    <w:rPr>
                      <w:rFonts w:hint="default"/>
                      <w:highlight w:val="none"/>
                    </w:rPr>
                  </w:pPr>
                  <w:r>
                    <w:rPr>
                      <w:highlight w:val="none"/>
                    </w:rPr>
                    <w:t>氮氧化物</w:t>
                  </w:r>
                </w:p>
              </w:tc>
              <w:tc>
                <w:tcPr>
                  <w:tcW w:w="382" w:type="pct"/>
                  <w:vAlign w:val="center"/>
                </w:tcPr>
                <w:p w14:paraId="56063F16">
                  <w:pPr>
                    <w:pStyle w:val="83"/>
                    <w:rPr>
                      <w:rFonts w:hint="default"/>
                      <w:highlight w:val="none"/>
                    </w:rPr>
                  </w:pPr>
                  <w:r>
                    <w:rPr>
                      <w:highlight w:val="none"/>
                    </w:rPr>
                    <w:t>t/a</w:t>
                  </w:r>
                </w:p>
              </w:tc>
              <w:tc>
                <w:tcPr>
                  <w:tcW w:w="732" w:type="pct"/>
                  <w:vAlign w:val="center"/>
                </w:tcPr>
                <w:p w14:paraId="48AF1D23">
                  <w:pPr>
                    <w:pStyle w:val="83"/>
                    <w:rPr>
                      <w:rFonts w:hint="eastAsia" w:eastAsia="宋体"/>
                      <w:highlight w:val="none"/>
                      <w:lang w:eastAsia="zh-CN"/>
                    </w:rPr>
                  </w:pPr>
                  <w:r>
                    <w:rPr>
                      <w:highlight w:val="none"/>
                    </w:rPr>
                    <w:t>19.</w:t>
                  </w:r>
                  <w:r>
                    <w:rPr>
                      <w:rFonts w:hint="eastAsia"/>
                      <w:highlight w:val="none"/>
                      <w:lang w:val="en-US" w:eastAsia="zh-CN"/>
                    </w:rPr>
                    <w:t>1</w:t>
                  </w:r>
                </w:p>
              </w:tc>
              <w:tc>
                <w:tcPr>
                  <w:tcW w:w="800" w:type="pct"/>
                  <w:vAlign w:val="center"/>
                </w:tcPr>
                <w:p w14:paraId="5E4FEE40">
                  <w:pPr>
                    <w:pStyle w:val="83"/>
                    <w:rPr>
                      <w:rFonts w:hint="eastAsia" w:eastAsia="宋体"/>
                      <w:highlight w:val="none"/>
                      <w:lang w:val="en-US" w:eastAsia="zh-CN"/>
                    </w:rPr>
                  </w:pPr>
                  <w:r>
                    <w:rPr>
                      <w:rFonts w:hint="eastAsia"/>
                      <w:highlight w:val="none"/>
                      <w:lang w:val="en-US" w:eastAsia="zh-CN"/>
                    </w:rPr>
                    <w:t>-</w:t>
                  </w:r>
                </w:p>
              </w:tc>
              <w:tc>
                <w:tcPr>
                  <w:tcW w:w="897" w:type="pct"/>
                  <w:vAlign w:val="center"/>
                </w:tcPr>
                <w:p w14:paraId="00FDA202">
                  <w:pPr>
                    <w:pStyle w:val="83"/>
                    <w:rPr>
                      <w:rFonts w:hint="eastAsia" w:eastAsia="宋体"/>
                      <w:highlight w:val="none"/>
                      <w:lang w:eastAsia="zh-CN"/>
                    </w:rPr>
                  </w:pPr>
                  <w:r>
                    <w:rPr>
                      <w:rFonts w:hint="eastAsia"/>
                      <w:highlight w:val="none"/>
                      <w:lang w:val="en-US" w:eastAsia="zh-CN"/>
                    </w:rPr>
                    <w:t>-</w:t>
                  </w:r>
                </w:p>
              </w:tc>
              <w:tc>
                <w:tcPr>
                  <w:tcW w:w="898" w:type="pct"/>
                  <w:vAlign w:val="center"/>
                </w:tcPr>
                <w:p w14:paraId="1D3CD57C">
                  <w:pPr>
                    <w:pStyle w:val="83"/>
                    <w:rPr>
                      <w:rFonts w:hint="eastAsia" w:eastAsia="宋体"/>
                      <w:highlight w:val="none"/>
                      <w:lang w:eastAsia="zh-CN"/>
                    </w:rPr>
                  </w:pPr>
                  <w:r>
                    <w:rPr>
                      <w:highlight w:val="none"/>
                    </w:rPr>
                    <w:t>19.</w:t>
                  </w:r>
                  <w:r>
                    <w:rPr>
                      <w:rFonts w:hint="eastAsia"/>
                      <w:highlight w:val="none"/>
                      <w:lang w:val="en-US" w:eastAsia="zh-CN"/>
                    </w:rPr>
                    <w:t>1</w:t>
                  </w:r>
                </w:p>
              </w:tc>
            </w:tr>
            <w:tr w14:paraId="50AFAD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8" w:type="pct"/>
                  <w:vAlign w:val="center"/>
                </w:tcPr>
                <w:p w14:paraId="652C4017">
                  <w:pPr>
                    <w:pStyle w:val="83"/>
                    <w:rPr>
                      <w:rFonts w:hint="default"/>
                      <w:highlight w:val="none"/>
                    </w:rPr>
                  </w:pPr>
                  <w:r>
                    <w:rPr>
                      <w:highlight w:val="none"/>
                    </w:rPr>
                    <w:t>颗粒物</w:t>
                  </w:r>
                </w:p>
              </w:tc>
              <w:tc>
                <w:tcPr>
                  <w:tcW w:w="382" w:type="pct"/>
                  <w:vAlign w:val="center"/>
                </w:tcPr>
                <w:p w14:paraId="6DA39DF3">
                  <w:pPr>
                    <w:pStyle w:val="83"/>
                    <w:rPr>
                      <w:rFonts w:hint="default"/>
                      <w:highlight w:val="none"/>
                    </w:rPr>
                  </w:pPr>
                  <w:r>
                    <w:rPr>
                      <w:highlight w:val="none"/>
                    </w:rPr>
                    <w:t>t/a</w:t>
                  </w:r>
                </w:p>
              </w:tc>
              <w:tc>
                <w:tcPr>
                  <w:tcW w:w="732" w:type="pct"/>
                  <w:vAlign w:val="center"/>
                </w:tcPr>
                <w:p w14:paraId="38EF6D30">
                  <w:pPr>
                    <w:pStyle w:val="83"/>
                    <w:rPr>
                      <w:rFonts w:hint="default" w:eastAsia="宋体"/>
                      <w:highlight w:val="none"/>
                      <w:lang w:val="en-US" w:eastAsia="zh-CN"/>
                    </w:rPr>
                  </w:pPr>
                  <w:r>
                    <w:rPr>
                      <w:rFonts w:hint="eastAsia"/>
                      <w:highlight w:val="none"/>
                      <w:lang w:val="en-US" w:eastAsia="zh-CN"/>
                    </w:rPr>
                    <w:t>9.08</w:t>
                  </w:r>
                </w:p>
              </w:tc>
              <w:tc>
                <w:tcPr>
                  <w:tcW w:w="800" w:type="pct"/>
                  <w:vAlign w:val="center"/>
                </w:tcPr>
                <w:p w14:paraId="78B9952C">
                  <w:pPr>
                    <w:pStyle w:val="83"/>
                    <w:rPr>
                      <w:rFonts w:hint="default" w:eastAsia="宋体"/>
                      <w:highlight w:val="none"/>
                      <w:lang w:val="en-US" w:eastAsia="zh-CN"/>
                    </w:rPr>
                  </w:pPr>
                  <w:r>
                    <w:rPr>
                      <w:rFonts w:hint="eastAsia"/>
                      <w:highlight w:val="none"/>
                      <w:lang w:val="en-US" w:eastAsia="zh-CN"/>
                    </w:rPr>
                    <w:t>1.52</w:t>
                  </w:r>
                </w:p>
              </w:tc>
              <w:tc>
                <w:tcPr>
                  <w:tcW w:w="897" w:type="pct"/>
                  <w:vAlign w:val="center"/>
                </w:tcPr>
                <w:p w14:paraId="543C924B">
                  <w:pPr>
                    <w:pStyle w:val="83"/>
                    <w:rPr>
                      <w:rFonts w:hint="default"/>
                      <w:highlight w:val="none"/>
                    </w:rPr>
                  </w:pPr>
                  <w:r>
                    <w:rPr>
                      <w:highlight w:val="none"/>
                    </w:rPr>
                    <w:t>2.12</w:t>
                  </w:r>
                </w:p>
              </w:tc>
              <w:tc>
                <w:tcPr>
                  <w:tcW w:w="898" w:type="pct"/>
                  <w:vAlign w:val="center"/>
                </w:tcPr>
                <w:p w14:paraId="32C52881">
                  <w:pPr>
                    <w:pStyle w:val="83"/>
                    <w:rPr>
                      <w:rFonts w:hint="default" w:eastAsia="宋体"/>
                      <w:highlight w:val="none"/>
                      <w:lang w:val="en-US" w:eastAsia="zh-CN"/>
                    </w:rPr>
                  </w:pPr>
                  <w:r>
                    <w:rPr>
                      <w:rFonts w:hint="eastAsia"/>
                      <w:highlight w:val="none"/>
                      <w:lang w:val="en-US" w:eastAsia="zh-CN"/>
                    </w:rPr>
                    <w:t>12.72</w:t>
                  </w:r>
                </w:p>
              </w:tc>
            </w:tr>
            <w:tr w14:paraId="74ADDD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8" w:type="pct"/>
                  <w:vAlign w:val="center"/>
                </w:tcPr>
                <w:p w14:paraId="7EADB852">
                  <w:pPr>
                    <w:pStyle w:val="83"/>
                    <w:rPr>
                      <w:rFonts w:hint="default"/>
                      <w:highlight w:val="none"/>
                    </w:rPr>
                  </w:pPr>
                  <w:r>
                    <w:rPr>
                      <w:highlight w:val="none"/>
                    </w:rPr>
                    <w:t>二氧化硫</w:t>
                  </w:r>
                </w:p>
              </w:tc>
              <w:tc>
                <w:tcPr>
                  <w:tcW w:w="382" w:type="pct"/>
                  <w:vAlign w:val="center"/>
                </w:tcPr>
                <w:p w14:paraId="6985151A">
                  <w:pPr>
                    <w:pStyle w:val="83"/>
                    <w:rPr>
                      <w:rFonts w:hint="default"/>
                      <w:highlight w:val="none"/>
                    </w:rPr>
                  </w:pPr>
                  <w:r>
                    <w:rPr>
                      <w:highlight w:val="none"/>
                    </w:rPr>
                    <w:t>t/a</w:t>
                  </w:r>
                </w:p>
              </w:tc>
              <w:tc>
                <w:tcPr>
                  <w:tcW w:w="732" w:type="pct"/>
                  <w:vAlign w:val="center"/>
                </w:tcPr>
                <w:p w14:paraId="31877544">
                  <w:pPr>
                    <w:pStyle w:val="83"/>
                    <w:rPr>
                      <w:rFonts w:hint="default" w:eastAsia="宋体"/>
                      <w:highlight w:val="none"/>
                      <w:lang w:val="en-US" w:eastAsia="zh-CN"/>
                    </w:rPr>
                  </w:pPr>
                  <w:r>
                    <w:rPr>
                      <w:rFonts w:hint="eastAsia"/>
                      <w:highlight w:val="none"/>
                      <w:lang w:val="en-US" w:eastAsia="zh-CN"/>
                    </w:rPr>
                    <w:t>11.73</w:t>
                  </w:r>
                </w:p>
              </w:tc>
              <w:tc>
                <w:tcPr>
                  <w:tcW w:w="800" w:type="pct"/>
                  <w:vAlign w:val="center"/>
                </w:tcPr>
                <w:p w14:paraId="1C846862">
                  <w:pPr>
                    <w:pStyle w:val="83"/>
                    <w:rPr>
                      <w:rFonts w:hint="eastAsia" w:eastAsia="宋体"/>
                      <w:highlight w:val="none"/>
                      <w:lang w:val="en-US" w:eastAsia="zh-CN"/>
                    </w:rPr>
                  </w:pPr>
                  <w:r>
                    <w:rPr>
                      <w:rFonts w:hint="eastAsia"/>
                      <w:highlight w:val="none"/>
                      <w:lang w:val="en-US" w:eastAsia="zh-CN"/>
                    </w:rPr>
                    <w:t>-</w:t>
                  </w:r>
                </w:p>
              </w:tc>
              <w:tc>
                <w:tcPr>
                  <w:tcW w:w="897" w:type="pct"/>
                  <w:vAlign w:val="center"/>
                </w:tcPr>
                <w:p w14:paraId="34AA7DFB">
                  <w:pPr>
                    <w:pStyle w:val="83"/>
                    <w:rPr>
                      <w:rFonts w:hint="eastAsia" w:eastAsia="宋体"/>
                      <w:highlight w:val="none"/>
                      <w:lang w:eastAsia="zh-CN"/>
                    </w:rPr>
                  </w:pPr>
                  <w:r>
                    <w:rPr>
                      <w:rFonts w:hint="eastAsia"/>
                      <w:highlight w:val="none"/>
                      <w:lang w:val="en-US" w:eastAsia="zh-CN"/>
                    </w:rPr>
                    <w:t>-</w:t>
                  </w:r>
                </w:p>
              </w:tc>
              <w:tc>
                <w:tcPr>
                  <w:tcW w:w="898" w:type="pct"/>
                  <w:vAlign w:val="center"/>
                </w:tcPr>
                <w:p w14:paraId="0BAFDC94">
                  <w:pPr>
                    <w:pStyle w:val="83"/>
                    <w:rPr>
                      <w:rFonts w:hint="default"/>
                      <w:highlight w:val="none"/>
                    </w:rPr>
                  </w:pPr>
                  <w:r>
                    <w:rPr>
                      <w:highlight w:val="none"/>
                    </w:rPr>
                    <w:t>12.83</w:t>
                  </w:r>
                </w:p>
              </w:tc>
            </w:tr>
            <w:tr w14:paraId="184F2C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88" w:type="pct"/>
                  <w:vAlign w:val="center"/>
                </w:tcPr>
                <w:p w14:paraId="4D22D89D">
                  <w:pPr>
                    <w:pStyle w:val="83"/>
                    <w:rPr>
                      <w:rFonts w:hint="eastAsia" w:eastAsia="宋体"/>
                      <w:highlight w:val="none"/>
                      <w:lang w:eastAsia="zh-CN"/>
                    </w:rPr>
                  </w:pPr>
                  <w:r>
                    <w:rPr>
                      <w:highlight w:val="none"/>
                    </w:rPr>
                    <w:t>挥发性有机物</w:t>
                  </w:r>
                </w:p>
              </w:tc>
              <w:tc>
                <w:tcPr>
                  <w:tcW w:w="382" w:type="pct"/>
                  <w:vAlign w:val="center"/>
                </w:tcPr>
                <w:p w14:paraId="4CDCE277">
                  <w:pPr>
                    <w:pStyle w:val="83"/>
                    <w:rPr>
                      <w:rFonts w:hint="default"/>
                      <w:highlight w:val="none"/>
                    </w:rPr>
                  </w:pPr>
                  <w:r>
                    <w:rPr>
                      <w:highlight w:val="none"/>
                    </w:rPr>
                    <w:t>t/a</w:t>
                  </w:r>
                </w:p>
              </w:tc>
              <w:tc>
                <w:tcPr>
                  <w:tcW w:w="732" w:type="pct"/>
                  <w:vAlign w:val="center"/>
                </w:tcPr>
                <w:p w14:paraId="50E8CA7E">
                  <w:pPr>
                    <w:pStyle w:val="83"/>
                    <w:rPr>
                      <w:rFonts w:hint="default" w:eastAsia="宋体"/>
                      <w:highlight w:val="none"/>
                      <w:lang w:val="en-US" w:eastAsia="zh-CN"/>
                    </w:rPr>
                  </w:pPr>
                  <w:r>
                    <w:rPr>
                      <w:rFonts w:hint="eastAsia"/>
                      <w:highlight w:val="none"/>
                      <w:lang w:val="en-US" w:eastAsia="zh-CN"/>
                    </w:rPr>
                    <w:t>17.87</w:t>
                  </w:r>
                </w:p>
              </w:tc>
              <w:tc>
                <w:tcPr>
                  <w:tcW w:w="800" w:type="pct"/>
                  <w:vAlign w:val="center"/>
                </w:tcPr>
                <w:p w14:paraId="1E6BE226">
                  <w:pPr>
                    <w:pStyle w:val="83"/>
                    <w:rPr>
                      <w:rFonts w:hint="default" w:eastAsia="宋体"/>
                      <w:highlight w:val="none"/>
                      <w:lang w:val="en-US" w:eastAsia="zh-CN"/>
                    </w:rPr>
                  </w:pPr>
                  <w:r>
                    <w:rPr>
                      <w:rFonts w:hint="eastAsia"/>
                      <w:highlight w:val="none"/>
                      <w:lang w:val="en-US" w:eastAsia="zh-CN"/>
                    </w:rPr>
                    <w:t>1.96</w:t>
                  </w:r>
                </w:p>
              </w:tc>
              <w:tc>
                <w:tcPr>
                  <w:tcW w:w="897" w:type="pct"/>
                  <w:vAlign w:val="center"/>
                </w:tcPr>
                <w:p w14:paraId="0DAD26C2">
                  <w:pPr>
                    <w:pStyle w:val="83"/>
                    <w:rPr>
                      <w:rFonts w:hint="default"/>
                      <w:highlight w:val="none"/>
                    </w:rPr>
                  </w:pPr>
                  <w:r>
                    <w:rPr>
                      <w:highlight w:val="none"/>
                    </w:rPr>
                    <w:t>1.105</w:t>
                  </w:r>
                </w:p>
              </w:tc>
              <w:tc>
                <w:tcPr>
                  <w:tcW w:w="898" w:type="pct"/>
                  <w:vAlign w:val="center"/>
                </w:tcPr>
                <w:p w14:paraId="46B491EE">
                  <w:pPr>
                    <w:pStyle w:val="83"/>
                    <w:rPr>
                      <w:rFonts w:hint="default" w:eastAsia="宋体"/>
                      <w:highlight w:val="none"/>
                      <w:lang w:val="en-US" w:eastAsia="zh-CN"/>
                    </w:rPr>
                  </w:pPr>
                  <w:r>
                    <w:rPr>
                      <w:rFonts w:hint="eastAsia"/>
                      <w:highlight w:val="none"/>
                      <w:lang w:val="en-US" w:eastAsia="zh-CN"/>
                    </w:rPr>
                    <w:t>20.935</w:t>
                  </w:r>
                </w:p>
              </w:tc>
            </w:tr>
            <w:tr w14:paraId="693AC8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6"/>
                  <w:vAlign w:val="center"/>
                </w:tcPr>
                <w:p w14:paraId="1566E3CD">
                  <w:pPr>
                    <w:pStyle w:val="83"/>
                    <w:jc w:val="left"/>
                    <w:rPr>
                      <w:sz w:val="18"/>
                      <w:szCs w:val="18"/>
                      <w:highlight w:val="none"/>
                    </w:rPr>
                  </w:pPr>
                  <w:r>
                    <w:rPr>
                      <w:sz w:val="18"/>
                      <w:szCs w:val="18"/>
                      <w:highlight w:val="none"/>
                    </w:rPr>
                    <w:t>备注：</w:t>
                  </w:r>
                  <w:r>
                    <w:rPr>
                      <w:rFonts w:hint="eastAsia"/>
                      <w:sz w:val="18"/>
                      <w:szCs w:val="18"/>
                      <w:highlight w:val="none"/>
                      <w:lang w:val="en-US" w:eastAsia="zh-CN"/>
                    </w:rPr>
                    <w:t>①</w:t>
                  </w:r>
                  <w:r>
                    <w:rPr>
                      <w:sz w:val="18"/>
                      <w:szCs w:val="18"/>
                      <w:highlight w:val="none"/>
                    </w:rPr>
                    <w:t>挥发性有机物以非甲烷总烃表征。</w:t>
                  </w:r>
                </w:p>
                <w:p w14:paraId="1EDE87A5">
                  <w:pPr>
                    <w:pStyle w:val="83"/>
                    <w:jc w:val="left"/>
                    <w:rPr>
                      <w:rFonts w:hint="eastAsia" w:eastAsia="宋体"/>
                      <w:sz w:val="18"/>
                      <w:szCs w:val="18"/>
                      <w:highlight w:val="none"/>
                      <w:lang w:val="en-US" w:eastAsia="zh-CN"/>
                    </w:rPr>
                  </w:pPr>
                  <w:r>
                    <w:rPr>
                      <w:rFonts w:hint="eastAsia"/>
                      <w:sz w:val="18"/>
                      <w:szCs w:val="18"/>
                      <w:highlight w:val="none"/>
                      <w:lang w:val="en-US" w:eastAsia="zh-CN"/>
                    </w:rPr>
                    <w:t>②</w:t>
                  </w:r>
                  <w:r>
                    <w:rPr>
                      <w:rFonts w:hint="eastAsia"/>
                      <w:b w:val="0"/>
                      <w:bCs w:val="0"/>
                      <w:sz w:val="18"/>
                      <w:szCs w:val="18"/>
                      <w:highlight w:val="none"/>
                      <w:lang w:val="en-US" w:eastAsia="zh-CN"/>
                    </w:rPr>
                    <w:t>在建工程指“福建永荣锦江股份有限公司年产6万吨绿色再生、功能性、差异化高速纺锦纶纺丝及加弹智能化生产技术提升及成套装备国产化开发应用项目”。</w:t>
                  </w:r>
                </w:p>
              </w:tc>
            </w:tr>
          </w:tbl>
          <w:p w14:paraId="26D18DF1">
            <w:pPr>
              <w:pStyle w:val="5"/>
            </w:pPr>
            <w:r>
              <w:rPr>
                <w:rFonts w:hint="eastAsia"/>
              </w:rPr>
              <w:t>4.2.1.2 达标排放分析</w:t>
            </w:r>
          </w:p>
          <w:p w14:paraId="503F0F6C">
            <w:pPr>
              <w:ind w:firstLine="480"/>
            </w:pPr>
            <w:r>
              <w:rPr>
                <w:rFonts w:hint="eastAsia"/>
              </w:rPr>
              <w:t>本项目单体抽吸工序非甲烷总烃排放浓度为2mg/m</w:t>
            </w:r>
            <w:r>
              <w:rPr>
                <w:rFonts w:hint="eastAsia"/>
                <w:vertAlign w:val="superscript"/>
              </w:rPr>
              <w:t>3</w:t>
            </w:r>
            <w:r>
              <w:rPr>
                <w:rFonts w:hint="eastAsia"/>
              </w:rPr>
              <w:t>，颗粒物排放浓度为6mg/m</w:t>
            </w:r>
            <w:r>
              <w:rPr>
                <w:rFonts w:hint="eastAsia"/>
                <w:vertAlign w:val="superscript"/>
              </w:rPr>
              <w:t>3</w:t>
            </w:r>
            <w:r>
              <w:rPr>
                <w:rFonts w:hint="eastAsia"/>
              </w:rPr>
              <w:t>；上油工序非甲烷总烃排放浓度为0.95mg/m</w:t>
            </w:r>
            <w:r>
              <w:rPr>
                <w:rFonts w:hint="eastAsia"/>
                <w:vertAlign w:val="superscript"/>
              </w:rPr>
              <w:t>3</w:t>
            </w:r>
            <w:r>
              <w:rPr>
                <w:rFonts w:hint="eastAsia"/>
              </w:rPr>
              <w:t>，颗粒物排放浓度为3.8mg/m</w:t>
            </w:r>
            <w:r>
              <w:rPr>
                <w:rFonts w:hint="eastAsia"/>
                <w:vertAlign w:val="superscript"/>
              </w:rPr>
              <w:t>3</w:t>
            </w:r>
            <w:r>
              <w:rPr>
                <w:rFonts w:hint="eastAsia"/>
              </w:rPr>
              <w:t>；组件煅烧工序非甲烷总烃排放浓度为1.5mg/m</w:t>
            </w:r>
            <w:r>
              <w:rPr>
                <w:rFonts w:hint="eastAsia"/>
                <w:vertAlign w:val="superscript"/>
              </w:rPr>
              <w:t>3</w:t>
            </w:r>
            <w:r>
              <w:rPr>
                <w:rFonts w:hint="eastAsia"/>
              </w:rPr>
              <w:t>；再生造粒工序非甲烷总烃排放浓度为1mg/m</w:t>
            </w:r>
            <w:r>
              <w:rPr>
                <w:rFonts w:hint="eastAsia"/>
                <w:vertAlign w:val="superscript"/>
              </w:rPr>
              <w:t>3</w:t>
            </w:r>
            <w:r>
              <w:rPr>
                <w:rFonts w:hint="eastAsia"/>
              </w:rPr>
              <w:t>；研发废气非甲烷总烃排放浓度为2mg/m</w:t>
            </w:r>
            <w:r>
              <w:rPr>
                <w:rFonts w:hint="eastAsia"/>
                <w:vertAlign w:val="superscript"/>
              </w:rPr>
              <w:t>3</w:t>
            </w:r>
            <w:r>
              <w:rPr>
                <w:rFonts w:hint="eastAsia"/>
              </w:rPr>
              <w:t>，均能满足《合成树脂工业污染物排放标准》（GB31572-2015，含2024年修改单）表5大气污染物特别排放限值中的相应标准要求（颗粒物排放浓度≤20mg/m</w:t>
            </w:r>
            <w:r>
              <w:rPr>
                <w:rFonts w:hint="eastAsia"/>
                <w:vertAlign w:val="superscript"/>
              </w:rPr>
              <w:t>3</w:t>
            </w:r>
            <w:r>
              <w:rPr>
                <w:rFonts w:hint="eastAsia"/>
              </w:rPr>
              <w:t>、非甲烷总烃排放浓度≤60mg/m</w:t>
            </w:r>
            <w:r>
              <w:rPr>
                <w:rFonts w:hint="eastAsia"/>
                <w:vertAlign w:val="superscript"/>
              </w:rPr>
              <w:t>3</w:t>
            </w:r>
            <w:r>
              <w:rPr>
                <w:rFonts w:hint="eastAsia"/>
              </w:rPr>
              <w:t>）。</w:t>
            </w:r>
          </w:p>
          <w:p w14:paraId="1E3F76E8">
            <w:pPr>
              <w:ind w:firstLine="480"/>
            </w:pPr>
            <w:r>
              <w:rPr>
                <w:rFonts w:hint="eastAsia"/>
              </w:rPr>
              <w:t>根据表4.2-3废气污染源源强核算结果及相关参数一览表，项目非甲烷总烃排放量为1.105t/a，则项目单位产品非甲烷总烃排放量为0.0398kg/t，符合《合成树脂工业污染物排放标准》（GB31572-2015，含2024年修改单）表5中的规定（单位产品非甲烷总烃排放量≤0.3kg/t 产品）。</w:t>
            </w:r>
          </w:p>
          <w:p w14:paraId="03C15F80">
            <w:pPr>
              <w:ind w:firstLine="480"/>
            </w:pPr>
            <w:r>
              <w:rPr>
                <w:rFonts w:hint="eastAsia"/>
              </w:rPr>
              <w:t>综上所述，本次扩建项目外排废气均可以满足达标排放的要求。</w:t>
            </w:r>
          </w:p>
          <w:p w14:paraId="2C797456">
            <w:pPr>
              <w:pStyle w:val="5"/>
            </w:pPr>
            <w:r>
              <w:rPr>
                <w:rFonts w:hint="eastAsia"/>
              </w:rPr>
              <w:t>4.2.1.3 污染物非正常排放量核算</w:t>
            </w:r>
          </w:p>
          <w:p w14:paraId="4A70E1FB">
            <w:pPr>
              <w:ind w:firstLine="480"/>
            </w:pPr>
            <w:r>
              <w:rPr>
                <w:rFonts w:hint="eastAsia"/>
              </w:rPr>
              <w:t>本项目废气处理设施故障非正常工况主要考虑：因风机故障或环保设施检修，导致废气处置设施效率降低至30%，造成废气非正常排放，废气非正常排放量核算见下表：</w:t>
            </w:r>
          </w:p>
          <w:p w14:paraId="679A32BF">
            <w:pPr>
              <w:pStyle w:val="13"/>
            </w:pPr>
            <w:r>
              <w:rPr>
                <w:rFonts w:hint="eastAsia"/>
              </w:rPr>
              <w:t>表4.2-1  污染物非正常排放量核算</w:t>
            </w:r>
          </w:p>
          <w:tbl>
            <w:tblPr>
              <w:tblStyle w:val="18"/>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65"/>
              <w:gridCol w:w="1450"/>
              <w:gridCol w:w="1692"/>
              <w:gridCol w:w="1236"/>
              <w:gridCol w:w="1172"/>
              <w:gridCol w:w="995"/>
              <w:gridCol w:w="1143"/>
            </w:tblGrid>
            <w:tr w14:paraId="0876B7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6" w:type="pct"/>
                  <w:tcBorders>
                    <w:tl2br w:val="nil"/>
                    <w:tr2bl w:val="nil"/>
                  </w:tcBorders>
                  <w:vAlign w:val="center"/>
                </w:tcPr>
                <w:p w14:paraId="2199BE0D">
                  <w:pPr>
                    <w:pStyle w:val="83"/>
                    <w:rPr>
                      <w:rFonts w:hint="default"/>
                    </w:rPr>
                  </w:pPr>
                  <w:r>
                    <w:t>污染源</w:t>
                  </w:r>
                </w:p>
              </w:tc>
              <w:tc>
                <w:tcPr>
                  <w:tcW w:w="809" w:type="pct"/>
                  <w:tcBorders>
                    <w:tl2br w:val="nil"/>
                    <w:tr2bl w:val="nil"/>
                  </w:tcBorders>
                  <w:vAlign w:val="center"/>
                </w:tcPr>
                <w:p w14:paraId="221CCB72">
                  <w:pPr>
                    <w:pStyle w:val="83"/>
                    <w:rPr>
                      <w:rFonts w:hint="default"/>
                    </w:rPr>
                  </w:pPr>
                  <w:r>
                    <w:t>污染物</w:t>
                  </w:r>
                </w:p>
              </w:tc>
              <w:tc>
                <w:tcPr>
                  <w:tcW w:w="944" w:type="pct"/>
                  <w:tcBorders>
                    <w:tl2br w:val="nil"/>
                    <w:tr2bl w:val="nil"/>
                  </w:tcBorders>
                  <w:vAlign w:val="center"/>
                </w:tcPr>
                <w:p w14:paraId="45B59C45">
                  <w:pPr>
                    <w:pStyle w:val="83"/>
                    <w:rPr>
                      <w:rFonts w:hint="default"/>
                    </w:rPr>
                  </w:pPr>
                  <w:r>
                    <w:t>非正常排放浓度</w:t>
                  </w:r>
                </w:p>
                <w:p w14:paraId="6338E452">
                  <w:pPr>
                    <w:pStyle w:val="83"/>
                    <w:rPr>
                      <w:rFonts w:hint="default"/>
                    </w:rPr>
                  </w:pPr>
                  <w:r>
                    <w:t>mg/m</w:t>
                  </w:r>
                  <w:r>
                    <w:rPr>
                      <w:vertAlign w:val="superscript"/>
                    </w:rPr>
                    <w:t>3</w:t>
                  </w:r>
                </w:p>
              </w:tc>
              <w:tc>
                <w:tcPr>
                  <w:tcW w:w="690" w:type="pct"/>
                  <w:tcBorders>
                    <w:tl2br w:val="nil"/>
                    <w:tr2bl w:val="nil"/>
                  </w:tcBorders>
                  <w:vAlign w:val="center"/>
                </w:tcPr>
                <w:p w14:paraId="189C1527">
                  <w:pPr>
                    <w:pStyle w:val="83"/>
                    <w:rPr>
                      <w:rFonts w:hint="default"/>
                    </w:rPr>
                  </w:pPr>
                  <w:r>
                    <w:t>单次持续时间h</w:t>
                  </w:r>
                </w:p>
              </w:tc>
              <w:tc>
                <w:tcPr>
                  <w:tcW w:w="654" w:type="pct"/>
                  <w:tcBorders>
                    <w:tl2br w:val="nil"/>
                    <w:tr2bl w:val="nil"/>
                  </w:tcBorders>
                  <w:vAlign w:val="center"/>
                </w:tcPr>
                <w:p w14:paraId="36E43A35">
                  <w:pPr>
                    <w:pStyle w:val="83"/>
                    <w:rPr>
                      <w:rFonts w:hint="default"/>
                    </w:rPr>
                  </w:pPr>
                  <w:r>
                    <w:t>排放量t/a</w:t>
                  </w:r>
                </w:p>
              </w:tc>
              <w:tc>
                <w:tcPr>
                  <w:tcW w:w="555" w:type="pct"/>
                  <w:tcBorders>
                    <w:tl2br w:val="nil"/>
                    <w:tr2bl w:val="nil"/>
                  </w:tcBorders>
                  <w:vAlign w:val="center"/>
                </w:tcPr>
                <w:p w14:paraId="6C99D034">
                  <w:pPr>
                    <w:pStyle w:val="83"/>
                    <w:rPr>
                      <w:rFonts w:hint="default"/>
                    </w:rPr>
                  </w:pPr>
                  <w:r>
                    <w:t>年发生频次</w:t>
                  </w:r>
                </w:p>
              </w:tc>
              <w:tc>
                <w:tcPr>
                  <w:tcW w:w="638" w:type="pct"/>
                  <w:tcBorders>
                    <w:tl2br w:val="nil"/>
                    <w:tr2bl w:val="nil"/>
                  </w:tcBorders>
                  <w:vAlign w:val="center"/>
                </w:tcPr>
                <w:p w14:paraId="63D549A2">
                  <w:pPr>
                    <w:pStyle w:val="83"/>
                    <w:rPr>
                      <w:rFonts w:hint="default"/>
                    </w:rPr>
                  </w:pPr>
                  <w:r>
                    <w:t>应对措施</w:t>
                  </w:r>
                </w:p>
              </w:tc>
            </w:tr>
            <w:tr w14:paraId="3D16C0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6" w:type="pct"/>
                  <w:vMerge w:val="restart"/>
                  <w:tcBorders>
                    <w:tl2br w:val="nil"/>
                    <w:tr2bl w:val="nil"/>
                  </w:tcBorders>
                  <w:vAlign w:val="center"/>
                </w:tcPr>
                <w:p w14:paraId="4D7129EF">
                  <w:pPr>
                    <w:pStyle w:val="83"/>
                    <w:rPr>
                      <w:rFonts w:hint="default"/>
                    </w:rPr>
                  </w:pPr>
                  <w:r>
                    <w:t>P1排气筒</w:t>
                  </w:r>
                </w:p>
              </w:tc>
              <w:tc>
                <w:tcPr>
                  <w:tcW w:w="809" w:type="pct"/>
                  <w:tcBorders>
                    <w:tl2br w:val="nil"/>
                    <w:tr2bl w:val="nil"/>
                  </w:tcBorders>
                  <w:vAlign w:val="center"/>
                </w:tcPr>
                <w:p w14:paraId="0962979C">
                  <w:pPr>
                    <w:pStyle w:val="83"/>
                    <w:rPr>
                      <w:rFonts w:hint="default"/>
                    </w:rPr>
                  </w:pPr>
                  <w:r>
                    <w:t>非甲烷总烃</w:t>
                  </w:r>
                </w:p>
              </w:tc>
              <w:tc>
                <w:tcPr>
                  <w:tcW w:w="944" w:type="pct"/>
                  <w:tcBorders>
                    <w:tl2br w:val="nil"/>
                    <w:tr2bl w:val="nil"/>
                  </w:tcBorders>
                  <w:vAlign w:val="center"/>
                </w:tcPr>
                <w:p w14:paraId="265EF0B9">
                  <w:pPr>
                    <w:pStyle w:val="83"/>
                    <w:rPr>
                      <w:rFonts w:hint="default"/>
                    </w:rPr>
                  </w:pPr>
                  <w:r>
                    <w:t>29.19</w:t>
                  </w:r>
                </w:p>
              </w:tc>
              <w:tc>
                <w:tcPr>
                  <w:tcW w:w="690" w:type="pct"/>
                  <w:tcBorders>
                    <w:tl2br w:val="nil"/>
                    <w:tr2bl w:val="nil"/>
                  </w:tcBorders>
                  <w:vAlign w:val="center"/>
                </w:tcPr>
                <w:p w14:paraId="2345B3C3">
                  <w:pPr>
                    <w:pStyle w:val="83"/>
                    <w:rPr>
                      <w:rFonts w:hint="default"/>
                    </w:rPr>
                  </w:pPr>
                  <w:r>
                    <w:t>1</w:t>
                  </w:r>
                </w:p>
              </w:tc>
              <w:tc>
                <w:tcPr>
                  <w:tcW w:w="1172" w:type="dxa"/>
                  <w:tcBorders>
                    <w:tl2br w:val="nil"/>
                    <w:tr2bl w:val="nil"/>
                  </w:tcBorders>
                  <w:vAlign w:val="center"/>
                </w:tcPr>
                <w:p w14:paraId="440E0F6A">
                  <w:pPr>
                    <w:pStyle w:val="83"/>
                    <w:rPr>
                      <w:rFonts w:hint="default"/>
                    </w:rPr>
                  </w:pPr>
                  <w:r>
                    <w:t>3.33</w:t>
                  </w:r>
                </w:p>
              </w:tc>
              <w:tc>
                <w:tcPr>
                  <w:tcW w:w="555" w:type="pct"/>
                  <w:tcBorders>
                    <w:tl2br w:val="nil"/>
                    <w:tr2bl w:val="nil"/>
                  </w:tcBorders>
                  <w:vAlign w:val="center"/>
                </w:tcPr>
                <w:p w14:paraId="6A722B99">
                  <w:pPr>
                    <w:pStyle w:val="83"/>
                    <w:rPr>
                      <w:rFonts w:hint="default"/>
                    </w:rPr>
                  </w:pPr>
                  <w:r>
                    <w:t>1</w:t>
                  </w:r>
                </w:p>
              </w:tc>
              <w:tc>
                <w:tcPr>
                  <w:tcW w:w="638" w:type="pct"/>
                  <w:vMerge w:val="restart"/>
                  <w:tcBorders>
                    <w:tl2br w:val="nil"/>
                    <w:tr2bl w:val="nil"/>
                  </w:tcBorders>
                  <w:vAlign w:val="center"/>
                </w:tcPr>
                <w:p w14:paraId="38FF8179">
                  <w:pPr>
                    <w:pStyle w:val="83"/>
                    <w:rPr>
                      <w:rFonts w:hint="default"/>
                    </w:rPr>
                  </w:pPr>
                  <w:r>
                    <w:t>停产检修</w:t>
                  </w:r>
                </w:p>
              </w:tc>
            </w:tr>
            <w:tr w14:paraId="7C3ACF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6" w:type="pct"/>
                  <w:vMerge w:val="continue"/>
                  <w:tcBorders>
                    <w:tl2br w:val="nil"/>
                    <w:tr2bl w:val="nil"/>
                  </w:tcBorders>
                  <w:vAlign w:val="center"/>
                </w:tcPr>
                <w:p w14:paraId="2CD90634">
                  <w:pPr>
                    <w:pStyle w:val="83"/>
                    <w:rPr>
                      <w:rFonts w:hint="default"/>
                    </w:rPr>
                  </w:pPr>
                </w:p>
              </w:tc>
              <w:tc>
                <w:tcPr>
                  <w:tcW w:w="809" w:type="pct"/>
                  <w:tcBorders>
                    <w:tl2br w:val="nil"/>
                    <w:tr2bl w:val="nil"/>
                  </w:tcBorders>
                  <w:vAlign w:val="center"/>
                </w:tcPr>
                <w:p w14:paraId="1CCFB4E9">
                  <w:pPr>
                    <w:pStyle w:val="83"/>
                    <w:rPr>
                      <w:rFonts w:hint="default"/>
                    </w:rPr>
                  </w:pPr>
                  <w:r>
                    <w:t>颗粒物</w:t>
                  </w:r>
                </w:p>
              </w:tc>
              <w:tc>
                <w:tcPr>
                  <w:tcW w:w="944" w:type="pct"/>
                  <w:tcBorders>
                    <w:tl2br w:val="nil"/>
                    <w:tr2bl w:val="nil"/>
                  </w:tcBorders>
                  <w:vAlign w:val="center"/>
                </w:tcPr>
                <w:p w14:paraId="675C1513">
                  <w:pPr>
                    <w:pStyle w:val="83"/>
                    <w:rPr>
                      <w:rFonts w:hint="default"/>
                    </w:rPr>
                  </w:pPr>
                  <w:r>
                    <w:t>116.56</w:t>
                  </w:r>
                </w:p>
              </w:tc>
              <w:tc>
                <w:tcPr>
                  <w:tcW w:w="690" w:type="pct"/>
                  <w:tcBorders>
                    <w:tl2br w:val="nil"/>
                    <w:tr2bl w:val="nil"/>
                  </w:tcBorders>
                  <w:vAlign w:val="center"/>
                </w:tcPr>
                <w:p w14:paraId="52A17037">
                  <w:pPr>
                    <w:pStyle w:val="83"/>
                    <w:rPr>
                      <w:rFonts w:hint="default"/>
                    </w:rPr>
                  </w:pPr>
                  <w:r>
                    <w:t>1</w:t>
                  </w:r>
                </w:p>
              </w:tc>
              <w:tc>
                <w:tcPr>
                  <w:tcW w:w="1172" w:type="dxa"/>
                  <w:tcBorders>
                    <w:tl2br w:val="nil"/>
                    <w:tr2bl w:val="nil"/>
                  </w:tcBorders>
                  <w:vAlign w:val="center"/>
                </w:tcPr>
                <w:p w14:paraId="165AC08E">
                  <w:pPr>
                    <w:pStyle w:val="83"/>
                    <w:rPr>
                      <w:rFonts w:hint="default"/>
                    </w:rPr>
                  </w:pPr>
                  <w:r>
                    <w:t>13.31</w:t>
                  </w:r>
                </w:p>
              </w:tc>
              <w:tc>
                <w:tcPr>
                  <w:tcW w:w="555" w:type="pct"/>
                  <w:tcBorders>
                    <w:tl2br w:val="nil"/>
                    <w:tr2bl w:val="nil"/>
                  </w:tcBorders>
                  <w:vAlign w:val="center"/>
                </w:tcPr>
                <w:p w14:paraId="3299C182">
                  <w:pPr>
                    <w:pStyle w:val="83"/>
                    <w:rPr>
                      <w:rFonts w:hint="default"/>
                    </w:rPr>
                  </w:pPr>
                  <w:r>
                    <w:t>1</w:t>
                  </w:r>
                </w:p>
              </w:tc>
              <w:tc>
                <w:tcPr>
                  <w:tcW w:w="638" w:type="pct"/>
                  <w:vMerge w:val="continue"/>
                  <w:tcBorders>
                    <w:tl2br w:val="nil"/>
                    <w:tr2bl w:val="nil"/>
                  </w:tcBorders>
                  <w:vAlign w:val="center"/>
                </w:tcPr>
                <w:p w14:paraId="4FA15B5D">
                  <w:pPr>
                    <w:pStyle w:val="83"/>
                    <w:rPr>
                      <w:rFonts w:hint="default"/>
                    </w:rPr>
                  </w:pPr>
                </w:p>
              </w:tc>
            </w:tr>
            <w:tr w14:paraId="7C31B5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6" w:type="pct"/>
                  <w:vMerge w:val="restart"/>
                  <w:tcBorders>
                    <w:tl2br w:val="nil"/>
                    <w:tr2bl w:val="nil"/>
                  </w:tcBorders>
                  <w:vAlign w:val="center"/>
                </w:tcPr>
                <w:p w14:paraId="77255459">
                  <w:pPr>
                    <w:pStyle w:val="83"/>
                    <w:rPr>
                      <w:rFonts w:hint="default"/>
                    </w:rPr>
                  </w:pPr>
                  <w:r>
                    <w:t>P2排气筒</w:t>
                  </w:r>
                </w:p>
              </w:tc>
              <w:tc>
                <w:tcPr>
                  <w:tcW w:w="809" w:type="pct"/>
                  <w:tcBorders>
                    <w:tl2br w:val="nil"/>
                    <w:tr2bl w:val="nil"/>
                  </w:tcBorders>
                  <w:vAlign w:val="center"/>
                </w:tcPr>
                <w:p w14:paraId="6E21D0A4">
                  <w:pPr>
                    <w:pStyle w:val="83"/>
                    <w:rPr>
                      <w:rFonts w:hint="default"/>
                    </w:rPr>
                  </w:pPr>
                  <w:r>
                    <w:t>非甲烷总烃</w:t>
                  </w:r>
                </w:p>
              </w:tc>
              <w:tc>
                <w:tcPr>
                  <w:tcW w:w="944" w:type="pct"/>
                  <w:tcBorders>
                    <w:tl2br w:val="nil"/>
                    <w:tr2bl w:val="nil"/>
                  </w:tcBorders>
                  <w:vAlign w:val="center"/>
                </w:tcPr>
                <w:p w14:paraId="224E1C97">
                  <w:pPr>
                    <w:pStyle w:val="83"/>
                    <w:rPr>
                      <w:rFonts w:hint="default"/>
                    </w:rPr>
                  </w:pPr>
                  <w:r>
                    <w:t>17.24</w:t>
                  </w:r>
                </w:p>
              </w:tc>
              <w:tc>
                <w:tcPr>
                  <w:tcW w:w="690" w:type="pct"/>
                  <w:tcBorders>
                    <w:tl2br w:val="nil"/>
                    <w:tr2bl w:val="nil"/>
                  </w:tcBorders>
                  <w:vAlign w:val="center"/>
                </w:tcPr>
                <w:p w14:paraId="29AB8DD2">
                  <w:pPr>
                    <w:pStyle w:val="83"/>
                    <w:rPr>
                      <w:rFonts w:hint="default"/>
                    </w:rPr>
                  </w:pPr>
                  <w:r>
                    <w:t>1</w:t>
                  </w:r>
                </w:p>
              </w:tc>
              <w:tc>
                <w:tcPr>
                  <w:tcW w:w="1172" w:type="dxa"/>
                  <w:tcBorders>
                    <w:tl2br w:val="nil"/>
                    <w:tr2bl w:val="nil"/>
                  </w:tcBorders>
                  <w:vAlign w:val="center"/>
                </w:tcPr>
                <w:p w14:paraId="356C7746">
                  <w:pPr>
                    <w:pStyle w:val="83"/>
                    <w:rPr>
                      <w:rFonts w:hint="default"/>
                    </w:rPr>
                  </w:pPr>
                  <w:r>
                    <w:t>1.97</w:t>
                  </w:r>
                </w:p>
              </w:tc>
              <w:tc>
                <w:tcPr>
                  <w:tcW w:w="555" w:type="pct"/>
                  <w:tcBorders>
                    <w:tl2br w:val="nil"/>
                    <w:tr2bl w:val="nil"/>
                  </w:tcBorders>
                  <w:vAlign w:val="center"/>
                </w:tcPr>
                <w:p w14:paraId="1D2884EF">
                  <w:pPr>
                    <w:pStyle w:val="83"/>
                    <w:rPr>
                      <w:rFonts w:hint="default"/>
                    </w:rPr>
                  </w:pPr>
                  <w:r>
                    <w:t>1</w:t>
                  </w:r>
                </w:p>
              </w:tc>
              <w:tc>
                <w:tcPr>
                  <w:tcW w:w="638" w:type="pct"/>
                  <w:vMerge w:val="continue"/>
                  <w:tcBorders>
                    <w:tl2br w:val="nil"/>
                    <w:tr2bl w:val="nil"/>
                  </w:tcBorders>
                  <w:vAlign w:val="center"/>
                </w:tcPr>
                <w:p w14:paraId="368089C2">
                  <w:pPr>
                    <w:pStyle w:val="83"/>
                    <w:rPr>
                      <w:rFonts w:hint="default"/>
                    </w:rPr>
                  </w:pPr>
                </w:p>
              </w:tc>
            </w:tr>
            <w:tr w14:paraId="358C65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6" w:type="pct"/>
                  <w:vMerge w:val="continue"/>
                  <w:tcBorders>
                    <w:tl2br w:val="nil"/>
                    <w:tr2bl w:val="nil"/>
                  </w:tcBorders>
                  <w:vAlign w:val="center"/>
                </w:tcPr>
                <w:p w14:paraId="1A0D3ADC">
                  <w:pPr>
                    <w:pStyle w:val="83"/>
                    <w:rPr>
                      <w:rFonts w:hint="default"/>
                    </w:rPr>
                  </w:pPr>
                </w:p>
              </w:tc>
              <w:tc>
                <w:tcPr>
                  <w:tcW w:w="809" w:type="pct"/>
                  <w:tcBorders>
                    <w:tl2br w:val="nil"/>
                    <w:tr2bl w:val="nil"/>
                  </w:tcBorders>
                  <w:vAlign w:val="center"/>
                </w:tcPr>
                <w:p w14:paraId="0897BC81">
                  <w:pPr>
                    <w:pStyle w:val="83"/>
                    <w:rPr>
                      <w:rFonts w:hint="default"/>
                    </w:rPr>
                  </w:pPr>
                  <w:r>
                    <w:t>颗粒物</w:t>
                  </w:r>
                </w:p>
              </w:tc>
              <w:tc>
                <w:tcPr>
                  <w:tcW w:w="944" w:type="pct"/>
                  <w:tcBorders>
                    <w:tl2br w:val="nil"/>
                    <w:tr2bl w:val="nil"/>
                  </w:tcBorders>
                  <w:vAlign w:val="center"/>
                </w:tcPr>
                <w:p w14:paraId="40274547">
                  <w:pPr>
                    <w:pStyle w:val="83"/>
                    <w:rPr>
                      <w:rFonts w:hint="default"/>
                    </w:rPr>
                  </w:pPr>
                  <w:r>
                    <w:t>55.42</w:t>
                  </w:r>
                </w:p>
              </w:tc>
              <w:tc>
                <w:tcPr>
                  <w:tcW w:w="690" w:type="pct"/>
                  <w:tcBorders>
                    <w:tl2br w:val="nil"/>
                    <w:tr2bl w:val="nil"/>
                  </w:tcBorders>
                  <w:vAlign w:val="center"/>
                </w:tcPr>
                <w:p w14:paraId="3D999946">
                  <w:pPr>
                    <w:pStyle w:val="83"/>
                    <w:rPr>
                      <w:rFonts w:hint="default"/>
                    </w:rPr>
                  </w:pPr>
                  <w:r>
                    <w:t>1</w:t>
                  </w:r>
                </w:p>
              </w:tc>
              <w:tc>
                <w:tcPr>
                  <w:tcW w:w="1172" w:type="dxa"/>
                  <w:tcBorders>
                    <w:tl2br w:val="nil"/>
                    <w:tr2bl w:val="nil"/>
                  </w:tcBorders>
                  <w:vAlign w:val="center"/>
                </w:tcPr>
                <w:p w14:paraId="4899DC29">
                  <w:pPr>
                    <w:pStyle w:val="83"/>
                    <w:rPr>
                      <w:rFonts w:hint="default"/>
                    </w:rPr>
                  </w:pPr>
                  <w:r>
                    <w:t>6.33</w:t>
                  </w:r>
                </w:p>
              </w:tc>
              <w:tc>
                <w:tcPr>
                  <w:tcW w:w="555" w:type="pct"/>
                  <w:tcBorders>
                    <w:tl2br w:val="nil"/>
                    <w:tr2bl w:val="nil"/>
                  </w:tcBorders>
                  <w:vAlign w:val="center"/>
                </w:tcPr>
                <w:p w14:paraId="519FE08B">
                  <w:pPr>
                    <w:pStyle w:val="83"/>
                    <w:rPr>
                      <w:rFonts w:hint="default"/>
                    </w:rPr>
                  </w:pPr>
                  <w:r>
                    <w:t>1</w:t>
                  </w:r>
                </w:p>
              </w:tc>
              <w:tc>
                <w:tcPr>
                  <w:tcW w:w="638" w:type="pct"/>
                  <w:vMerge w:val="continue"/>
                  <w:tcBorders>
                    <w:tl2br w:val="nil"/>
                    <w:tr2bl w:val="nil"/>
                  </w:tcBorders>
                  <w:vAlign w:val="center"/>
                </w:tcPr>
                <w:p w14:paraId="7D76118E">
                  <w:pPr>
                    <w:pStyle w:val="83"/>
                    <w:rPr>
                      <w:rFonts w:hint="default"/>
                    </w:rPr>
                  </w:pPr>
                </w:p>
              </w:tc>
            </w:tr>
            <w:tr w14:paraId="41A115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6" w:type="pct"/>
                  <w:tcBorders>
                    <w:tl2br w:val="nil"/>
                    <w:tr2bl w:val="nil"/>
                  </w:tcBorders>
                  <w:vAlign w:val="center"/>
                </w:tcPr>
                <w:p w14:paraId="661915C5">
                  <w:pPr>
                    <w:pStyle w:val="83"/>
                    <w:rPr>
                      <w:rFonts w:hint="default"/>
                    </w:rPr>
                  </w:pPr>
                  <w:r>
                    <w:t>P3排气筒</w:t>
                  </w:r>
                </w:p>
              </w:tc>
              <w:tc>
                <w:tcPr>
                  <w:tcW w:w="809" w:type="pct"/>
                  <w:tcBorders>
                    <w:tl2br w:val="nil"/>
                    <w:tr2bl w:val="nil"/>
                  </w:tcBorders>
                  <w:vAlign w:val="center"/>
                </w:tcPr>
                <w:p w14:paraId="6B650BDE">
                  <w:pPr>
                    <w:pStyle w:val="83"/>
                    <w:rPr>
                      <w:rFonts w:hint="default"/>
                    </w:rPr>
                  </w:pPr>
                  <w:r>
                    <w:t>非甲烷总烃</w:t>
                  </w:r>
                </w:p>
              </w:tc>
              <w:tc>
                <w:tcPr>
                  <w:tcW w:w="944" w:type="pct"/>
                  <w:tcBorders>
                    <w:tl2br w:val="nil"/>
                    <w:tr2bl w:val="nil"/>
                  </w:tcBorders>
                  <w:vAlign w:val="center"/>
                </w:tcPr>
                <w:p w14:paraId="1E8533AB">
                  <w:pPr>
                    <w:pStyle w:val="83"/>
                    <w:rPr>
                      <w:rFonts w:hint="default"/>
                    </w:rPr>
                  </w:pPr>
                  <w:r>
                    <w:t>23.89</w:t>
                  </w:r>
                </w:p>
              </w:tc>
              <w:tc>
                <w:tcPr>
                  <w:tcW w:w="690" w:type="pct"/>
                  <w:tcBorders>
                    <w:tl2br w:val="nil"/>
                    <w:tr2bl w:val="nil"/>
                  </w:tcBorders>
                  <w:vAlign w:val="center"/>
                </w:tcPr>
                <w:p w14:paraId="771BEFE0">
                  <w:pPr>
                    <w:pStyle w:val="83"/>
                    <w:rPr>
                      <w:rFonts w:hint="default"/>
                    </w:rPr>
                  </w:pPr>
                  <w:r>
                    <w:t>1</w:t>
                  </w:r>
                </w:p>
              </w:tc>
              <w:tc>
                <w:tcPr>
                  <w:tcW w:w="654" w:type="pct"/>
                  <w:tcBorders>
                    <w:tl2br w:val="nil"/>
                    <w:tr2bl w:val="nil"/>
                  </w:tcBorders>
                  <w:vAlign w:val="center"/>
                </w:tcPr>
                <w:p w14:paraId="05CE4C87">
                  <w:pPr>
                    <w:pStyle w:val="83"/>
                    <w:rPr>
                      <w:rFonts w:hint="default"/>
                    </w:rPr>
                  </w:pPr>
                  <w:r>
                    <w:t>8.18</w:t>
                  </w:r>
                </w:p>
              </w:tc>
              <w:tc>
                <w:tcPr>
                  <w:tcW w:w="555" w:type="pct"/>
                  <w:tcBorders>
                    <w:tl2br w:val="nil"/>
                    <w:tr2bl w:val="nil"/>
                  </w:tcBorders>
                  <w:vAlign w:val="center"/>
                </w:tcPr>
                <w:p w14:paraId="565A9D1A">
                  <w:pPr>
                    <w:pStyle w:val="83"/>
                    <w:rPr>
                      <w:rFonts w:hint="default"/>
                    </w:rPr>
                  </w:pPr>
                  <w:r>
                    <w:t>1</w:t>
                  </w:r>
                </w:p>
              </w:tc>
              <w:tc>
                <w:tcPr>
                  <w:tcW w:w="638" w:type="pct"/>
                  <w:vMerge w:val="continue"/>
                  <w:tcBorders>
                    <w:tl2br w:val="nil"/>
                    <w:tr2bl w:val="nil"/>
                  </w:tcBorders>
                  <w:vAlign w:val="center"/>
                </w:tcPr>
                <w:p w14:paraId="6D49C1EA">
                  <w:pPr>
                    <w:pStyle w:val="83"/>
                    <w:rPr>
                      <w:rFonts w:hint="default"/>
                    </w:rPr>
                  </w:pPr>
                </w:p>
              </w:tc>
            </w:tr>
            <w:tr w14:paraId="500840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06" w:type="pct"/>
                  <w:tcBorders>
                    <w:tl2br w:val="nil"/>
                    <w:tr2bl w:val="nil"/>
                  </w:tcBorders>
                  <w:vAlign w:val="center"/>
                </w:tcPr>
                <w:p w14:paraId="5BB68A8F">
                  <w:pPr>
                    <w:pStyle w:val="83"/>
                    <w:rPr>
                      <w:rFonts w:hint="default"/>
                    </w:rPr>
                  </w:pPr>
                  <w:r>
                    <w:t>P4排气筒</w:t>
                  </w:r>
                </w:p>
              </w:tc>
              <w:tc>
                <w:tcPr>
                  <w:tcW w:w="809" w:type="pct"/>
                  <w:tcBorders>
                    <w:tl2br w:val="nil"/>
                    <w:tr2bl w:val="nil"/>
                  </w:tcBorders>
                  <w:vAlign w:val="center"/>
                </w:tcPr>
                <w:p w14:paraId="04EE6BAA">
                  <w:pPr>
                    <w:pStyle w:val="83"/>
                    <w:rPr>
                      <w:rFonts w:hint="default"/>
                    </w:rPr>
                  </w:pPr>
                  <w:r>
                    <w:t>非甲烷总烃</w:t>
                  </w:r>
                </w:p>
              </w:tc>
              <w:tc>
                <w:tcPr>
                  <w:tcW w:w="944" w:type="pct"/>
                  <w:tcBorders>
                    <w:tl2br w:val="nil"/>
                    <w:tr2bl w:val="nil"/>
                  </w:tcBorders>
                  <w:vAlign w:val="center"/>
                </w:tcPr>
                <w:p w14:paraId="49A518D2">
                  <w:pPr>
                    <w:pStyle w:val="83"/>
                    <w:rPr>
                      <w:rFonts w:hint="default"/>
                    </w:rPr>
                  </w:pPr>
                  <w:r>
                    <w:t>1.86</w:t>
                  </w:r>
                </w:p>
              </w:tc>
              <w:tc>
                <w:tcPr>
                  <w:tcW w:w="690" w:type="pct"/>
                  <w:tcBorders>
                    <w:tl2br w:val="nil"/>
                    <w:tr2bl w:val="nil"/>
                  </w:tcBorders>
                  <w:vAlign w:val="center"/>
                </w:tcPr>
                <w:p w14:paraId="5DB615BE">
                  <w:pPr>
                    <w:pStyle w:val="83"/>
                    <w:rPr>
                      <w:rFonts w:hint="default"/>
                    </w:rPr>
                  </w:pPr>
                  <w:r>
                    <w:t>1</w:t>
                  </w:r>
                </w:p>
              </w:tc>
              <w:tc>
                <w:tcPr>
                  <w:tcW w:w="654" w:type="pct"/>
                  <w:tcBorders>
                    <w:tl2br w:val="nil"/>
                    <w:tr2bl w:val="nil"/>
                  </w:tcBorders>
                  <w:vAlign w:val="center"/>
                </w:tcPr>
                <w:p w14:paraId="2D6CF19E">
                  <w:pPr>
                    <w:pStyle w:val="83"/>
                    <w:rPr>
                      <w:rFonts w:hint="default"/>
                    </w:rPr>
                  </w:pPr>
                  <w:r>
                    <w:t>2.33</w:t>
                  </w:r>
                </w:p>
              </w:tc>
              <w:tc>
                <w:tcPr>
                  <w:tcW w:w="555" w:type="pct"/>
                  <w:tcBorders>
                    <w:tl2br w:val="nil"/>
                    <w:tr2bl w:val="nil"/>
                  </w:tcBorders>
                  <w:vAlign w:val="center"/>
                </w:tcPr>
                <w:p w14:paraId="477DFAD6">
                  <w:pPr>
                    <w:pStyle w:val="83"/>
                    <w:rPr>
                      <w:rFonts w:hint="default"/>
                    </w:rPr>
                  </w:pPr>
                  <w:r>
                    <w:t>1</w:t>
                  </w:r>
                </w:p>
              </w:tc>
              <w:tc>
                <w:tcPr>
                  <w:tcW w:w="638" w:type="pct"/>
                  <w:vMerge w:val="continue"/>
                  <w:tcBorders>
                    <w:tl2br w:val="nil"/>
                    <w:tr2bl w:val="nil"/>
                  </w:tcBorders>
                  <w:vAlign w:val="center"/>
                </w:tcPr>
                <w:p w14:paraId="470CC5AC">
                  <w:pPr>
                    <w:pStyle w:val="83"/>
                    <w:rPr>
                      <w:rFonts w:hint="default"/>
                    </w:rPr>
                  </w:pPr>
                </w:p>
              </w:tc>
            </w:tr>
          </w:tbl>
          <w:p w14:paraId="67AC140D">
            <w:pPr>
              <w:ind w:firstLine="480"/>
            </w:pPr>
            <w:r>
              <w:rPr>
                <w:rFonts w:hint="eastAsia"/>
              </w:rPr>
              <w:t>发生事故时，建设单位应立即停止相应生产工序作业，待设备修复正常后再重新投产，采取以上应对措施后，非正常排放对周边影响是短暂的，但是建设单位依然要尽量避免，日常落实设备维护，保证处理效率。</w:t>
            </w:r>
          </w:p>
          <w:p w14:paraId="4F8A2D69">
            <w:pPr>
              <w:pStyle w:val="5"/>
            </w:pPr>
            <w:r>
              <w:rPr>
                <w:rFonts w:hint="eastAsia"/>
              </w:rPr>
              <w:t>4.2.1.4 大气环境防护距离</w:t>
            </w:r>
          </w:p>
          <w:p w14:paraId="02FCE433">
            <w:pPr>
              <w:ind w:firstLine="480"/>
            </w:pPr>
            <w:r>
              <w:rPr>
                <w:rFonts w:hint="eastAsia"/>
              </w:rPr>
              <w:t>根据企业现有工程环评报告及批复，企业现有大气环境防护距离为一、二期聚合车间边界外400m、三期聚合车间边界外200m、罐区边界外100m、污水处理站边界外100m的包络范围，防护距离范围位于企业厂区范围内。本次扩建项目主要废气污染物为非甲烷总烃、颗粒物，不涉及排放有毒有害气体，无需设置大气专项评价，项目废气经烟气净化处理设施处理后可达标排放，无需设置大气环境防护距离。</w:t>
            </w:r>
          </w:p>
          <w:p w14:paraId="3ACB1DD8">
            <w:pPr>
              <w:pStyle w:val="5"/>
            </w:pPr>
            <w:r>
              <w:rPr>
                <w:rFonts w:hint="eastAsia"/>
              </w:rPr>
              <w:t>4.2.1.5 废气治理措施可行性</w:t>
            </w:r>
          </w:p>
          <w:p w14:paraId="1D44AC7C">
            <w:pPr>
              <w:ind w:firstLine="480"/>
            </w:pPr>
            <w:r>
              <w:rPr>
                <w:rFonts w:hint="eastAsia"/>
              </w:rPr>
              <w:t>1.治理措施可行性</w:t>
            </w:r>
          </w:p>
          <w:p w14:paraId="6E99C053">
            <w:pPr>
              <w:ind w:firstLine="480"/>
            </w:pPr>
            <w:r>
              <w:rPr>
                <w:rFonts w:hint="eastAsia"/>
              </w:rPr>
              <w:t>本项目新增废气主要是纺丝工序产生的单体抽吸废气、上油工序产生的油剂废气、组件清洗工序产生的煅烧废气、再生造粒工序产生的熔融废气、样品研发检验工序产生的研发废气、实验室试剂调配过程中产生的实验废气。废气治理措施见图4.2-1。</w:t>
            </w:r>
          </w:p>
          <w:p w14:paraId="1B742199">
            <w:pPr>
              <w:pStyle w:val="6"/>
            </w:pPr>
            <w:r>
              <w:rPr>
                <w:rFonts w:hint="eastAsia"/>
              </w:rPr>
              <w:object>
                <v:shape id="_x0000_i1029" o:spt="75" type="#_x0000_t75" style="height:255.2pt;width:433.05pt;" o:ole="t" filled="f" o:preferrelative="t" stroked="f" coordsize="21600,21600">
                  <v:path/>
                  <v:fill on="f" focussize="0,0"/>
                  <v:stroke on="f" joinstyle="miter"/>
                  <v:imagedata r:id="rId38" o:title=""/>
                  <o:lock v:ext="edit" aspectratio="t"/>
                  <w10:wrap type="none"/>
                  <w10:anchorlock/>
                </v:shape>
                <o:OLEObject Type="Embed" ProgID="Visio.Drawing.15" ShapeID="_x0000_i1029" DrawAspect="Content" ObjectID="_1468075728" r:id="rId37">
                  <o:LockedField>false</o:LockedField>
                </o:OLEObject>
              </w:object>
            </w:r>
          </w:p>
          <w:p w14:paraId="51399E5B">
            <w:pPr>
              <w:pStyle w:val="13"/>
            </w:pPr>
            <w:r>
              <w:rPr>
                <w:rFonts w:hint="eastAsia"/>
              </w:rPr>
              <w:t>图4.2-1  项目废气治理措施示意图</w:t>
            </w:r>
          </w:p>
          <w:p w14:paraId="2A7CF69B">
            <w:pPr>
              <w:ind w:firstLine="480"/>
            </w:pPr>
            <w:r>
              <w:rPr>
                <w:rFonts w:hint="eastAsia"/>
              </w:rPr>
              <w:t>（1）静电除尘技术原理</w:t>
            </w:r>
          </w:p>
          <w:p w14:paraId="170D6137">
            <w:pPr>
              <w:ind w:firstLine="480"/>
            </w:pPr>
            <w:r>
              <w:rPr>
                <w:rFonts w:hint="eastAsia"/>
              </w:rPr>
              <w:t>上油工序产生的油剂废气经1套静电吸附装置处理达标后，通过1根18m高排气筒排放；组件清洗工序产生的煅烧废气和再生造粒工序产生的熔融废气共同经1套静电吸附装置处理达标后，通过1根18m高排气筒排放。</w:t>
            </w:r>
          </w:p>
          <w:p w14:paraId="77574AB3">
            <w:pPr>
              <w:ind w:firstLine="480"/>
            </w:pPr>
            <w:r>
              <w:rPr>
                <w:rFonts w:hint="eastAsia"/>
              </w:rPr>
              <w:t>静电除尘装置采用电场，利用阴极在高压电场中发射出来的电子，以及由电子碰撞空气分子而产生的负离子来捕捉烟尘粒子，使烟雾粒子带电，再利用电场作用，使带电烟雾粒子被阳极所吸附，以达到除油雾和单体颗粒等微小颗粒的目的。由于电子的直径非常小，其粒径比烟雾粒子的粒径要小很多数量级。而且电场中电子密度很高，处在电场中的烟尘粒子很容易被电子捕捉。烟雾粒子在电场中的荷电是遵循一定机理的必然现象，而不是简单的偶然碰撞引起的。其中包括电场荷电荷扩散荷电。带电粒子在电场中会受到电场力（库仑力）的作用，其结果是烟尘粒子被吸附到阳极上，特别适用于捕捉粒径较小的和重量较轻的烟尘粒子。在静电除烟雾里，电功率主要是用来发射电子和推动烟尘粒子，与空气几乎不产生作用，因此静电场的能耗小，阻力也较小，因此，利用静电的方法来净化油雾和单体颗粒可以达到很好的效果。</w:t>
            </w:r>
          </w:p>
          <w:p w14:paraId="6AD9BF6B">
            <w:pPr>
              <w:ind w:firstLine="480"/>
            </w:pPr>
            <w:r>
              <w:rPr>
                <w:rFonts w:hint="eastAsia"/>
              </w:rPr>
              <w:t>高压静电吸附技术属于《福州市合成纤维制造业 挥发性有机物整治验收技术标准》（2018年4月）以及《排污许可证申请与核发技术规范 化学纤维制造业》（HJ1102-2020）中推荐的用于处理纺丝油烟废气的可行性技术。企业现有纺丝工程及周边新创锦纶、景丰科技等多家同类纺丝企业均使用高压静电吸附装置处理纺丝油剂废气，能够实现废气长期稳定达标。</w:t>
            </w:r>
          </w:p>
          <w:p w14:paraId="3E915898">
            <w:pPr>
              <w:ind w:firstLine="480"/>
            </w:pPr>
            <w:r>
              <w:rPr>
                <w:rFonts w:hint="eastAsia"/>
              </w:rPr>
              <w:t>（2）单体抽吸系统水喷淋</w:t>
            </w:r>
          </w:p>
          <w:p w14:paraId="69008846">
            <w:pPr>
              <w:ind w:firstLine="480"/>
            </w:pPr>
            <w:r>
              <w:rPr>
                <w:rFonts w:hint="eastAsia"/>
              </w:rPr>
              <w:t>纺丝工序产生的单体抽吸废气成分主要是气态己内酰胺，单体抽吸水喷淋装置的技术原理是将进入单体抽吸循环系统的气态己内酰胺溶于水，剩余少量气体经1根18m排气筒排放。</w:t>
            </w:r>
          </w:p>
          <w:p w14:paraId="5478C317">
            <w:pPr>
              <w:ind w:firstLine="480"/>
            </w:pPr>
            <w:r>
              <w:rPr>
                <w:rFonts w:hint="eastAsia"/>
              </w:rPr>
              <w:t>（3）水喷淋+活性炭吸附</w:t>
            </w:r>
          </w:p>
          <w:p w14:paraId="37E12525">
            <w:pPr>
              <w:ind w:firstLine="480"/>
            </w:pPr>
            <w:r>
              <w:rPr>
                <w:rFonts w:hint="eastAsia"/>
              </w:rPr>
              <w:t>实验室试剂调配过程中会产生微量酸雾和有机废气，部分研发设备运行过程中温度升高，样品会挥发少量有机废气。废气从喷淋塔底进入，洗涤液从塔顶喷淋而下。通过填料层的强化，废气与液体充分接触，废气中的酸雾颗粒和水溶性有机物被水滴捕获并随水流进入循环水箱，实现初步分离，降低废气浓度。喷淋塔出口处串联高效除雾器，降低废气含湿量，避免水雾进入活性炭吸附装置，导致活性炭受潮板结，孔隙堵塞，降低吸附效率。残余气体进入活性炭吸附箱，活性炭内部拥有大量微小的孔隙，比表面积巨大，当废气通过活性炭层时，有机分子在范德华力的作用下，被活性炭的微孔捕捉，将有机物从气流中剥离，达到进一步净化气体的效果。</w:t>
            </w:r>
          </w:p>
          <w:p w14:paraId="535AC379">
            <w:pPr>
              <w:ind w:firstLine="480"/>
            </w:pPr>
            <w:r>
              <w:rPr>
                <w:rFonts w:hint="eastAsia"/>
              </w:rPr>
              <w:t>采用颗粒活性炭作为吸附剂时，其碘值不宜低于800mg/g，采用蜂窝活性炭作为吸附剂时，其碘值不宜低于650mg/g，采用活性炭纤维作为吸附剂时，其比表面积不低于1100m</w:t>
            </w:r>
            <w:r>
              <w:rPr>
                <w:rFonts w:hint="eastAsia"/>
                <w:vertAlign w:val="superscript"/>
              </w:rPr>
              <w:t>2</w:t>
            </w:r>
            <w:r>
              <w:rPr>
                <w:rFonts w:hint="eastAsia"/>
              </w:rPr>
              <w:t>/g（BET法）。一次性活性炭吸附工艺宜采用颗粒活性炭作为吸附剂。活性炭、活性炭纤维产品销售时应提供产品质量证明材料。</w:t>
            </w:r>
          </w:p>
          <w:p w14:paraId="5C09DA4A">
            <w:pPr>
              <w:ind w:firstLine="480"/>
            </w:pPr>
            <w:r>
              <w:rPr>
                <w:rFonts w:hint="eastAsia"/>
              </w:rPr>
              <w:t>根据《排污许可证申请与核发技术规范 化学纤维制造业》（HJ1102-2020）表A.1排污单位生产单元或设施废气治理可行技术，参照表中对本项目涉及相关废气的治理措施要求如表4.2-2所示。</w:t>
            </w:r>
          </w:p>
          <w:p w14:paraId="010820DA">
            <w:pPr>
              <w:pStyle w:val="13"/>
            </w:pPr>
            <w:r>
              <w:rPr>
                <w:rFonts w:hint="eastAsia"/>
              </w:rPr>
              <w:t>表4.2-2  与化学纤维制造业排污单位废气可行技术比较分析</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88"/>
              <w:gridCol w:w="888"/>
              <w:gridCol w:w="1185"/>
              <w:gridCol w:w="1354"/>
              <w:gridCol w:w="1291"/>
              <w:gridCol w:w="1655"/>
              <w:gridCol w:w="988"/>
            </w:tblGrid>
            <w:tr w14:paraId="7654CB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 w:type="pct"/>
                  <w:vAlign w:val="center"/>
                </w:tcPr>
                <w:p w14:paraId="2FE1081D">
                  <w:pPr>
                    <w:pStyle w:val="83"/>
                    <w:rPr>
                      <w:rFonts w:hint="default"/>
                    </w:rPr>
                  </w:pPr>
                  <w:r>
                    <w:t>化纤类型</w:t>
                  </w:r>
                </w:p>
              </w:tc>
              <w:tc>
                <w:tcPr>
                  <w:tcW w:w="990" w:type="pct"/>
                  <w:gridSpan w:val="2"/>
                  <w:vAlign w:val="center"/>
                </w:tcPr>
                <w:p w14:paraId="67010DDC">
                  <w:pPr>
                    <w:pStyle w:val="83"/>
                    <w:rPr>
                      <w:rFonts w:hint="default"/>
                    </w:rPr>
                  </w:pPr>
                  <w:r>
                    <w:t>生产单元或设施废气</w:t>
                  </w:r>
                </w:p>
              </w:tc>
              <w:tc>
                <w:tcPr>
                  <w:tcW w:w="661" w:type="pct"/>
                  <w:vAlign w:val="center"/>
                </w:tcPr>
                <w:p w14:paraId="2E7DA7A6">
                  <w:pPr>
                    <w:pStyle w:val="83"/>
                    <w:rPr>
                      <w:rFonts w:hint="default"/>
                    </w:rPr>
                  </w:pPr>
                  <w:r>
                    <w:t>主要污染物项目</w:t>
                  </w:r>
                </w:p>
              </w:tc>
              <w:tc>
                <w:tcPr>
                  <w:tcW w:w="755" w:type="pct"/>
                  <w:vAlign w:val="center"/>
                </w:tcPr>
                <w:p w14:paraId="25954AB2">
                  <w:pPr>
                    <w:pStyle w:val="83"/>
                    <w:rPr>
                      <w:rFonts w:hint="default"/>
                    </w:rPr>
                  </w:pPr>
                  <w:r>
                    <w:t>可行技术</w:t>
                  </w:r>
                </w:p>
              </w:tc>
              <w:tc>
                <w:tcPr>
                  <w:tcW w:w="720" w:type="pct"/>
                  <w:vAlign w:val="center"/>
                </w:tcPr>
                <w:p w14:paraId="6B5F5BC3">
                  <w:pPr>
                    <w:pStyle w:val="83"/>
                    <w:rPr>
                      <w:rFonts w:hint="default"/>
                    </w:rPr>
                  </w:pPr>
                  <w:r>
                    <w:t>本项目涉及工序</w:t>
                  </w:r>
                </w:p>
              </w:tc>
              <w:tc>
                <w:tcPr>
                  <w:tcW w:w="923" w:type="pct"/>
                  <w:vAlign w:val="center"/>
                </w:tcPr>
                <w:p w14:paraId="44504485">
                  <w:pPr>
                    <w:pStyle w:val="83"/>
                    <w:rPr>
                      <w:rFonts w:hint="default"/>
                    </w:rPr>
                  </w:pPr>
                  <w:r>
                    <w:t>本项目采取治理技术</w:t>
                  </w:r>
                </w:p>
              </w:tc>
              <w:tc>
                <w:tcPr>
                  <w:tcW w:w="551" w:type="pct"/>
                  <w:vAlign w:val="center"/>
                </w:tcPr>
                <w:p w14:paraId="566185BF">
                  <w:pPr>
                    <w:pStyle w:val="83"/>
                    <w:rPr>
                      <w:rFonts w:hint="default"/>
                    </w:rPr>
                  </w:pPr>
                  <w:r>
                    <w:t>符合性</w:t>
                  </w:r>
                </w:p>
              </w:tc>
            </w:tr>
            <w:tr w14:paraId="07F55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396" w:type="pct"/>
                  <w:vMerge w:val="restart"/>
                  <w:vAlign w:val="center"/>
                </w:tcPr>
                <w:p w14:paraId="2E158249">
                  <w:pPr>
                    <w:pStyle w:val="83"/>
                    <w:rPr>
                      <w:rFonts w:hint="default"/>
                    </w:rPr>
                  </w:pPr>
                  <w:r>
                    <w:t>锦纶</w:t>
                  </w:r>
                </w:p>
              </w:tc>
              <w:tc>
                <w:tcPr>
                  <w:tcW w:w="495" w:type="pct"/>
                  <w:vAlign w:val="center"/>
                </w:tcPr>
                <w:p w14:paraId="0A34026A">
                  <w:pPr>
                    <w:pStyle w:val="83"/>
                    <w:rPr>
                      <w:rFonts w:hint="default"/>
                    </w:rPr>
                  </w:pPr>
                  <w:r>
                    <w:t>真空煅烧</w:t>
                  </w:r>
                </w:p>
              </w:tc>
              <w:tc>
                <w:tcPr>
                  <w:tcW w:w="495" w:type="pct"/>
                  <w:vAlign w:val="center"/>
                </w:tcPr>
                <w:p w14:paraId="084D5276">
                  <w:pPr>
                    <w:pStyle w:val="83"/>
                    <w:rPr>
                      <w:rFonts w:hint="default"/>
                    </w:rPr>
                  </w:pPr>
                  <w:r>
                    <w:t>煅烧炉尾气</w:t>
                  </w:r>
                </w:p>
              </w:tc>
              <w:tc>
                <w:tcPr>
                  <w:tcW w:w="661" w:type="pct"/>
                  <w:vAlign w:val="center"/>
                </w:tcPr>
                <w:p w14:paraId="196123F4">
                  <w:pPr>
                    <w:pStyle w:val="83"/>
                    <w:rPr>
                      <w:rFonts w:hint="default"/>
                    </w:rPr>
                  </w:pPr>
                  <w:r>
                    <w:t>挥发性有机物</w:t>
                  </w:r>
                </w:p>
              </w:tc>
              <w:tc>
                <w:tcPr>
                  <w:tcW w:w="755" w:type="pct"/>
                  <w:vAlign w:val="center"/>
                </w:tcPr>
                <w:p w14:paraId="3EAD0C20">
                  <w:pPr>
                    <w:pStyle w:val="83"/>
                    <w:rPr>
                      <w:rFonts w:hint="default"/>
                    </w:rPr>
                  </w:pPr>
                  <w:r>
                    <w:t>吸收</w:t>
                  </w:r>
                </w:p>
              </w:tc>
              <w:tc>
                <w:tcPr>
                  <w:tcW w:w="720" w:type="pct"/>
                  <w:vAlign w:val="center"/>
                </w:tcPr>
                <w:p w14:paraId="0FB70237">
                  <w:pPr>
                    <w:pStyle w:val="83"/>
                    <w:rPr>
                      <w:rFonts w:hint="default"/>
                    </w:rPr>
                  </w:pPr>
                  <w:r>
                    <w:t>组件煅烧</w:t>
                  </w:r>
                </w:p>
              </w:tc>
              <w:tc>
                <w:tcPr>
                  <w:tcW w:w="923" w:type="pct"/>
                  <w:vMerge w:val="restart"/>
                  <w:vAlign w:val="center"/>
                </w:tcPr>
                <w:p w14:paraId="7ADCC29B">
                  <w:pPr>
                    <w:pStyle w:val="83"/>
                    <w:rPr>
                      <w:rFonts w:hint="default"/>
                    </w:rPr>
                  </w:pPr>
                  <w:r>
                    <w:t>静电吸附</w:t>
                  </w:r>
                </w:p>
              </w:tc>
              <w:tc>
                <w:tcPr>
                  <w:tcW w:w="551" w:type="pct"/>
                  <w:vAlign w:val="center"/>
                </w:tcPr>
                <w:p w14:paraId="0222B138">
                  <w:pPr>
                    <w:pStyle w:val="83"/>
                    <w:rPr>
                      <w:rFonts w:hint="default"/>
                    </w:rPr>
                  </w:pPr>
                  <w:r>
                    <w:t>符合</w:t>
                  </w:r>
                </w:p>
              </w:tc>
            </w:tr>
            <w:tr w14:paraId="7A744F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 w:type="pct"/>
                  <w:vMerge w:val="continue"/>
                  <w:vAlign w:val="center"/>
                </w:tcPr>
                <w:p w14:paraId="6AFEAB69">
                  <w:pPr>
                    <w:pStyle w:val="83"/>
                    <w:rPr>
                      <w:rFonts w:hint="default"/>
                    </w:rPr>
                  </w:pPr>
                </w:p>
              </w:tc>
              <w:tc>
                <w:tcPr>
                  <w:tcW w:w="495" w:type="pct"/>
                  <w:vMerge w:val="restart"/>
                  <w:vAlign w:val="center"/>
                </w:tcPr>
                <w:p w14:paraId="4702D21F">
                  <w:pPr>
                    <w:pStyle w:val="83"/>
                    <w:rPr>
                      <w:rFonts w:hint="default"/>
                    </w:rPr>
                  </w:pPr>
                  <w:r>
                    <w:t>长丝牵伸卷绕</w:t>
                  </w:r>
                </w:p>
              </w:tc>
              <w:tc>
                <w:tcPr>
                  <w:tcW w:w="495" w:type="pct"/>
                  <w:vMerge w:val="restart"/>
                  <w:vAlign w:val="center"/>
                </w:tcPr>
                <w:p w14:paraId="5243CB0C">
                  <w:pPr>
                    <w:pStyle w:val="83"/>
                    <w:rPr>
                      <w:rFonts w:hint="default"/>
                    </w:rPr>
                  </w:pPr>
                  <w:r>
                    <w:t>纺丝油烟</w:t>
                  </w:r>
                </w:p>
              </w:tc>
              <w:tc>
                <w:tcPr>
                  <w:tcW w:w="661" w:type="pct"/>
                  <w:vMerge w:val="restart"/>
                  <w:vAlign w:val="center"/>
                </w:tcPr>
                <w:p w14:paraId="0DD178C2">
                  <w:pPr>
                    <w:pStyle w:val="83"/>
                    <w:rPr>
                      <w:rFonts w:hint="default"/>
                    </w:rPr>
                  </w:pPr>
                  <w:r>
                    <w:t>挥发性有机物、颗粒物</w:t>
                  </w:r>
                </w:p>
              </w:tc>
              <w:tc>
                <w:tcPr>
                  <w:tcW w:w="755" w:type="pct"/>
                  <w:vMerge w:val="restart"/>
                  <w:vAlign w:val="center"/>
                </w:tcPr>
                <w:p w14:paraId="38126572">
                  <w:pPr>
                    <w:pStyle w:val="83"/>
                    <w:rPr>
                      <w:rFonts w:hint="default"/>
                    </w:rPr>
                  </w:pPr>
                  <w:r>
                    <w:t>湿式除尘+静电除尘（油雾）</w:t>
                  </w:r>
                </w:p>
              </w:tc>
              <w:tc>
                <w:tcPr>
                  <w:tcW w:w="720" w:type="pct"/>
                  <w:vAlign w:val="center"/>
                </w:tcPr>
                <w:p w14:paraId="34CA9E62">
                  <w:pPr>
                    <w:pStyle w:val="83"/>
                    <w:rPr>
                      <w:rFonts w:hint="default"/>
                    </w:rPr>
                  </w:pPr>
                  <w:r>
                    <w:t>上油工序</w:t>
                  </w:r>
                </w:p>
              </w:tc>
              <w:tc>
                <w:tcPr>
                  <w:tcW w:w="923" w:type="pct"/>
                  <w:vMerge w:val="continue"/>
                  <w:vAlign w:val="center"/>
                </w:tcPr>
                <w:p w14:paraId="5C2AD284">
                  <w:pPr>
                    <w:pStyle w:val="83"/>
                    <w:rPr>
                      <w:rFonts w:hint="default"/>
                    </w:rPr>
                  </w:pPr>
                </w:p>
              </w:tc>
              <w:tc>
                <w:tcPr>
                  <w:tcW w:w="551" w:type="pct"/>
                  <w:vAlign w:val="center"/>
                </w:tcPr>
                <w:p w14:paraId="71DB05A4">
                  <w:pPr>
                    <w:pStyle w:val="83"/>
                    <w:rPr>
                      <w:rFonts w:hint="default"/>
                    </w:rPr>
                  </w:pPr>
                  <w:r>
                    <w:t>符合</w:t>
                  </w:r>
                </w:p>
              </w:tc>
            </w:tr>
            <w:tr w14:paraId="054014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6" w:type="pct"/>
                  <w:vMerge w:val="continue"/>
                  <w:vAlign w:val="center"/>
                </w:tcPr>
                <w:p w14:paraId="5B26429D">
                  <w:pPr>
                    <w:pStyle w:val="83"/>
                    <w:rPr>
                      <w:rFonts w:hint="default"/>
                    </w:rPr>
                  </w:pPr>
                </w:p>
              </w:tc>
              <w:tc>
                <w:tcPr>
                  <w:tcW w:w="495" w:type="pct"/>
                  <w:vMerge w:val="continue"/>
                  <w:vAlign w:val="center"/>
                </w:tcPr>
                <w:p w14:paraId="65D66477">
                  <w:pPr>
                    <w:pStyle w:val="83"/>
                    <w:rPr>
                      <w:rFonts w:hint="default"/>
                    </w:rPr>
                  </w:pPr>
                </w:p>
              </w:tc>
              <w:tc>
                <w:tcPr>
                  <w:tcW w:w="495" w:type="pct"/>
                  <w:vMerge w:val="continue"/>
                  <w:vAlign w:val="center"/>
                </w:tcPr>
                <w:p w14:paraId="6CD9047E">
                  <w:pPr>
                    <w:pStyle w:val="83"/>
                    <w:rPr>
                      <w:rFonts w:hint="default"/>
                    </w:rPr>
                  </w:pPr>
                </w:p>
              </w:tc>
              <w:tc>
                <w:tcPr>
                  <w:tcW w:w="661" w:type="pct"/>
                  <w:vMerge w:val="continue"/>
                  <w:vAlign w:val="center"/>
                </w:tcPr>
                <w:p w14:paraId="5C8E38C1">
                  <w:pPr>
                    <w:pStyle w:val="83"/>
                    <w:rPr>
                      <w:rFonts w:hint="default"/>
                    </w:rPr>
                  </w:pPr>
                </w:p>
              </w:tc>
              <w:tc>
                <w:tcPr>
                  <w:tcW w:w="755" w:type="pct"/>
                  <w:vMerge w:val="continue"/>
                  <w:vAlign w:val="center"/>
                </w:tcPr>
                <w:p w14:paraId="57241C01">
                  <w:pPr>
                    <w:pStyle w:val="83"/>
                    <w:rPr>
                      <w:rFonts w:hint="default"/>
                    </w:rPr>
                  </w:pPr>
                </w:p>
              </w:tc>
              <w:tc>
                <w:tcPr>
                  <w:tcW w:w="720" w:type="pct"/>
                  <w:vAlign w:val="center"/>
                </w:tcPr>
                <w:p w14:paraId="1F532EAD">
                  <w:pPr>
                    <w:pStyle w:val="83"/>
                    <w:rPr>
                      <w:rFonts w:hint="default"/>
                    </w:rPr>
                  </w:pPr>
                  <w:r>
                    <w:t>纺丝工序</w:t>
                  </w:r>
                </w:p>
              </w:tc>
              <w:tc>
                <w:tcPr>
                  <w:tcW w:w="923" w:type="pct"/>
                  <w:vAlign w:val="center"/>
                </w:tcPr>
                <w:p w14:paraId="5532744B">
                  <w:pPr>
                    <w:pStyle w:val="83"/>
                    <w:rPr>
                      <w:rFonts w:hint="default"/>
                    </w:rPr>
                  </w:pPr>
                  <w:r>
                    <w:t>湿式除尘</w:t>
                  </w:r>
                </w:p>
                <w:p w14:paraId="0BA44C19">
                  <w:pPr>
                    <w:pStyle w:val="83"/>
                    <w:rPr>
                      <w:rFonts w:hint="default"/>
                    </w:rPr>
                  </w:pPr>
                  <w:r>
                    <w:t>（水喷淋）</w:t>
                  </w:r>
                </w:p>
              </w:tc>
              <w:tc>
                <w:tcPr>
                  <w:tcW w:w="551" w:type="pct"/>
                  <w:vAlign w:val="center"/>
                </w:tcPr>
                <w:p w14:paraId="39080F4F">
                  <w:pPr>
                    <w:pStyle w:val="83"/>
                    <w:rPr>
                      <w:rFonts w:hint="default"/>
                    </w:rPr>
                  </w:pPr>
                  <w:r>
                    <w:t>符合</w:t>
                  </w:r>
                </w:p>
              </w:tc>
            </w:tr>
          </w:tbl>
          <w:p w14:paraId="0658B110">
            <w:pPr>
              <w:ind w:firstLine="480"/>
            </w:pPr>
            <w:r>
              <w:rPr>
                <w:rFonts w:hint="eastAsia"/>
              </w:rPr>
              <w:t>根据表4.2-2可知，本项目相关纤维制造工序采取的废气治理措施可以满足《排污许可证申请与核发技术规范 化学纤维制造业》（HJ1102-2020）的相关要求。</w:t>
            </w:r>
          </w:p>
          <w:p w14:paraId="138D5E6C">
            <w:pPr>
              <w:ind w:firstLine="480"/>
            </w:pPr>
            <w:r>
              <w:rPr>
                <w:rFonts w:hint="eastAsia"/>
              </w:rPr>
              <w:t>根据源强核算，工艺废气经治理装置处理后排放浓度均能满足《合成树脂工业污染物排放标准》（GB31572-2015，含2024年修改单）表5大气污染物特别排放限值中的相应标准要求。</w:t>
            </w:r>
          </w:p>
          <w:p w14:paraId="316C2423">
            <w:pPr>
              <w:ind w:firstLine="480"/>
            </w:pPr>
            <w:r>
              <w:rPr>
                <w:rFonts w:hint="eastAsia"/>
              </w:rPr>
              <w:t>生产过程中无组织废气排放量的大小，与生产系统的密闭性和生产管理有密切关系，通过生产车间的密闭化减少废气的无组织排放。本项目在满足工艺要求的前提下，主要生产车间采用密闭的空调系统，车间所有可随手开启的侧排窗户全部粘（焊）封闭，主车间窗户采用密闭的双层窗，进出车间的通道均用密封防火门及隔离间进行与外环境分隔，可基本防止废气污染物的排放。车间内采用一次送风，回风直接通过排气口换气，车间作业岗位上配备工业风扇等通风设施辅助机械通风，车间屋面设置无动力通风机，合理组织顶层的无动力通风，避免在车间内产生污染物聚集的问题。</w:t>
            </w:r>
          </w:p>
          <w:p w14:paraId="1CB31075">
            <w:pPr>
              <w:ind w:firstLine="480"/>
            </w:pPr>
            <w:r>
              <w:rPr>
                <w:rFonts w:hint="eastAsia"/>
              </w:rPr>
              <w:t>综上所述，本项目采取的废气治理措施是可行的。</w:t>
            </w:r>
          </w:p>
          <w:p w14:paraId="1C8B25C2">
            <w:pPr>
              <w:ind w:firstLine="480"/>
            </w:pPr>
            <w:r>
              <w:rPr>
                <w:rFonts w:hint="eastAsia"/>
              </w:rPr>
              <w:t>2.环境影响分析</w:t>
            </w:r>
          </w:p>
          <w:p w14:paraId="2134415F">
            <w:pPr>
              <w:ind w:firstLine="480"/>
            </w:pPr>
            <w:r>
              <w:rPr>
                <w:rFonts w:hint="eastAsia"/>
              </w:rPr>
              <w:t>本项目位于福州市长乐区临空经济区，根据2025年长乐区常规环境质量监测数据，项目所在区域大气环境质量现状良好，环境容量较富余。项目周边环境保护目标主要为湖滨村，位于项目侧风向，距企业厂界最近距离388m，距项目所在车间最近距离1056m。根据前文分析，本项目采取的污染治理措施均为可行措施，项目生产过程中产生废气种类相对简单，废气可实现达标排放，对周边环境空气影响可以接受。</w:t>
            </w:r>
          </w:p>
        </w:tc>
      </w:tr>
    </w:tbl>
    <w:p w14:paraId="18AD5542">
      <w:pPr>
        <w:adjustRightInd w:val="0"/>
        <w:snapToGrid w:val="0"/>
        <w:ind w:firstLine="562"/>
        <w:rPr>
          <w:rFonts w:ascii="宋体" w:cs="宋体"/>
          <w:b/>
          <w:kern w:val="0"/>
          <w:sz w:val="28"/>
          <w:szCs w:val="28"/>
        </w:rPr>
        <w:sectPr>
          <w:pgSz w:w="11907" w:h="16840"/>
          <w:pgMar w:top="1701" w:right="1531" w:bottom="2127" w:left="153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426"/>
        <w:gridCol w:w="19697"/>
      </w:tblGrid>
      <w:tr w14:paraId="42A0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1134" w:hRule="atLeast"/>
        </w:trPr>
        <w:tc>
          <w:tcPr>
            <w:tcW w:w="279" w:type="dxa"/>
            <w:vAlign w:val="center"/>
          </w:tcPr>
          <w:p w14:paraId="4CAC7A8D">
            <w:pPr>
              <w:adjustRightInd w:val="0"/>
              <w:snapToGrid w:val="0"/>
              <w:ind w:firstLine="0" w:firstLineChars="0"/>
              <w:jc w:val="center"/>
              <w:rPr>
                <w:rFonts w:ascii="宋体" w:cs="宋体"/>
                <w:kern w:val="0"/>
                <w:sz w:val="21"/>
                <w:szCs w:val="21"/>
              </w:rPr>
            </w:pPr>
            <w:r>
              <w:rPr>
                <w:rFonts w:hint="eastAsia" w:ascii="宋体" w:cs="宋体"/>
                <w:kern w:val="0"/>
                <w:sz w:val="21"/>
                <w:szCs w:val="21"/>
              </w:rPr>
              <w:t>运营期环境影响和保护措施</w:t>
            </w:r>
          </w:p>
        </w:tc>
        <w:tc>
          <w:tcPr>
            <w:tcW w:w="19697" w:type="dxa"/>
          </w:tcPr>
          <w:p w14:paraId="0FE64832">
            <w:pPr>
              <w:pStyle w:val="13"/>
            </w:pPr>
            <w:r>
              <w:rPr>
                <w:rFonts w:hint="eastAsia"/>
              </w:rPr>
              <w:t>表4.2-3  废气污染源源强核算结果及相关参数一览表</w:t>
            </w:r>
          </w:p>
          <w:tbl>
            <w:tblPr>
              <w:tblStyle w:val="17"/>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803"/>
              <w:gridCol w:w="717"/>
              <w:gridCol w:w="830"/>
              <w:gridCol w:w="869"/>
              <w:gridCol w:w="986"/>
              <w:gridCol w:w="1173"/>
              <w:gridCol w:w="1258"/>
              <w:gridCol w:w="834"/>
              <w:gridCol w:w="1118"/>
              <w:gridCol w:w="1044"/>
              <w:gridCol w:w="775"/>
              <w:gridCol w:w="990"/>
              <w:gridCol w:w="1029"/>
              <w:gridCol w:w="1149"/>
              <w:gridCol w:w="1223"/>
              <w:gridCol w:w="468"/>
              <w:gridCol w:w="666"/>
              <w:gridCol w:w="592"/>
              <w:gridCol w:w="588"/>
              <w:gridCol w:w="873"/>
              <w:gridCol w:w="736"/>
              <w:gridCol w:w="760"/>
            </w:tblGrid>
            <w:tr w14:paraId="223262F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restart"/>
                  <w:tcBorders>
                    <w:tl2br w:val="nil"/>
                    <w:tr2bl w:val="nil"/>
                  </w:tcBorders>
                  <w:vAlign w:val="center"/>
                </w:tcPr>
                <w:p w14:paraId="106C58E5">
                  <w:pPr>
                    <w:pStyle w:val="83"/>
                    <w:rPr>
                      <w:rFonts w:hint="default"/>
                      <w:sz w:val="18"/>
                      <w:szCs w:val="18"/>
                    </w:rPr>
                  </w:pPr>
                  <w:r>
                    <w:rPr>
                      <w:sz w:val="18"/>
                      <w:szCs w:val="18"/>
                    </w:rPr>
                    <w:t>产污</w:t>
                  </w:r>
                </w:p>
                <w:p w14:paraId="279AFB8C">
                  <w:pPr>
                    <w:pStyle w:val="83"/>
                    <w:rPr>
                      <w:rFonts w:hint="default"/>
                      <w:sz w:val="18"/>
                      <w:szCs w:val="18"/>
                    </w:rPr>
                  </w:pPr>
                  <w:r>
                    <w:rPr>
                      <w:sz w:val="18"/>
                      <w:szCs w:val="18"/>
                    </w:rPr>
                    <w:t>环节</w:t>
                  </w:r>
                </w:p>
              </w:tc>
              <w:tc>
                <w:tcPr>
                  <w:tcW w:w="184" w:type="pct"/>
                  <w:vMerge w:val="restart"/>
                  <w:tcBorders>
                    <w:tl2br w:val="nil"/>
                    <w:tr2bl w:val="nil"/>
                  </w:tcBorders>
                  <w:vAlign w:val="center"/>
                </w:tcPr>
                <w:p w14:paraId="7FB0DFBB">
                  <w:pPr>
                    <w:pStyle w:val="83"/>
                    <w:rPr>
                      <w:rFonts w:hint="default"/>
                      <w:sz w:val="18"/>
                      <w:szCs w:val="18"/>
                    </w:rPr>
                  </w:pPr>
                  <w:r>
                    <w:rPr>
                      <w:sz w:val="18"/>
                      <w:szCs w:val="18"/>
                    </w:rPr>
                    <w:t>废气名称</w:t>
                  </w:r>
                </w:p>
              </w:tc>
              <w:tc>
                <w:tcPr>
                  <w:tcW w:w="213" w:type="pct"/>
                  <w:vMerge w:val="restart"/>
                  <w:tcBorders>
                    <w:tl2br w:val="nil"/>
                    <w:tr2bl w:val="nil"/>
                  </w:tcBorders>
                  <w:vAlign w:val="center"/>
                </w:tcPr>
                <w:p w14:paraId="3F83F9C7">
                  <w:pPr>
                    <w:pStyle w:val="83"/>
                    <w:rPr>
                      <w:rFonts w:hint="default"/>
                      <w:sz w:val="18"/>
                      <w:szCs w:val="18"/>
                    </w:rPr>
                  </w:pPr>
                  <w:r>
                    <w:rPr>
                      <w:sz w:val="18"/>
                      <w:szCs w:val="18"/>
                    </w:rPr>
                    <w:t>污染物种类</w:t>
                  </w:r>
                </w:p>
              </w:tc>
              <w:tc>
                <w:tcPr>
                  <w:tcW w:w="223" w:type="pct"/>
                  <w:vMerge w:val="restart"/>
                  <w:tcBorders>
                    <w:tl2br w:val="nil"/>
                    <w:tr2bl w:val="nil"/>
                  </w:tcBorders>
                  <w:vAlign w:val="center"/>
                </w:tcPr>
                <w:p w14:paraId="4512100C">
                  <w:pPr>
                    <w:pStyle w:val="83"/>
                    <w:rPr>
                      <w:rFonts w:hint="default"/>
                      <w:sz w:val="18"/>
                      <w:szCs w:val="18"/>
                    </w:rPr>
                  </w:pPr>
                  <w:r>
                    <w:rPr>
                      <w:sz w:val="18"/>
                      <w:szCs w:val="18"/>
                    </w:rPr>
                    <w:t>废气量m3/h</w:t>
                  </w:r>
                </w:p>
              </w:tc>
              <w:tc>
                <w:tcPr>
                  <w:tcW w:w="877" w:type="pct"/>
                  <w:gridSpan w:val="3"/>
                  <w:tcBorders>
                    <w:tl2br w:val="nil"/>
                    <w:tr2bl w:val="nil"/>
                  </w:tcBorders>
                  <w:vAlign w:val="center"/>
                </w:tcPr>
                <w:p w14:paraId="60FE8482">
                  <w:pPr>
                    <w:pStyle w:val="83"/>
                    <w:rPr>
                      <w:rFonts w:hint="default"/>
                      <w:sz w:val="18"/>
                      <w:szCs w:val="18"/>
                    </w:rPr>
                  </w:pPr>
                  <w:r>
                    <w:rPr>
                      <w:sz w:val="18"/>
                      <w:szCs w:val="18"/>
                    </w:rPr>
                    <w:t>产生源强</w:t>
                  </w:r>
                </w:p>
              </w:tc>
              <w:tc>
                <w:tcPr>
                  <w:tcW w:w="214" w:type="pct"/>
                  <w:vMerge w:val="restart"/>
                  <w:tcBorders>
                    <w:tl2br w:val="nil"/>
                    <w:tr2bl w:val="nil"/>
                  </w:tcBorders>
                  <w:vAlign w:val="center"/>
                </w:tcPr>
                <w:p w14:paraId="1F2E5B80">
                  <w:pPr>
                    <w:pStyle w:val="83"/>
                    <w:rPr>
                      <w:rFonts w:hint="default"/>
                      <w:sz w:val="18"/>
                      <w:szCs w:val="18"/>
                    </w:rPr>
                  </w:pPr>
                  <w:r>
                    <w:rPr>
                      <w:sz w:val="18"/>
                      <w:szCs w:val="18"/>
                    </w:rPr>
                    <w:t>排放</w:t>
                  </w:r>
                </w:p>
                <w:p w14:paraId="50790308">
                  <w:pPr>
                    <w:pStyle w:val="83"/>
                    <w:rPr>
                      <w:rFonts w:hint="default"/>
                      <w:sz w:val="18"/>
                      <w:szCs w:val="18"/>
                    </w:rPr>
                  </w:pPr>
                  <w:r>
                    <w:rPr>
                      <w:sz w:val="18"/>
                      <w:szCs w:val="18"/>
                    </w:rPr>
                    <w:t>形式</w:t>
                  </w:r>
                </w:p>
              </w:tc>
              <w:tc>
                <w:tcPr>
                  <w:tcW w:w="287" w:type="pct"/>
                  <w:vMerge w:val="restart"/>
                  <w:tcBorders>
                    <w:tl2br w:val="nil"/>
                    <w:tr2bl w:val="nil"/>
                  </w:tcBorders>
                  <w:vAlign w:val="center"/>
                </w:tcPr>
                <w:p w14:paraId="4D763953">
                  <w:pPr>
                    <w:pStyle w:val="83"/>
                    <w:rPr>
                      <w:rFonts w:hint="default"/>
                      <w:sz w:val="18"/>
                      <w:szCs w:val="18"/>
                    </w:rPr>
                  </w:pPr>
                  <w:r>
                    <w:rPr>
                      <w:sz w:val="18"/>
                      <w:szCs w:val="18"/>
                    </w:rPr>
                    <w:t>治理设施</w:t>
                  </w:r>
                </w:p>
              </w:tc>
              <w:tc>
                <w:tcPr>
                  <w:tcW w:w="268" w:type="pct"/>
                  <w:vMerge w:val="restart"/>
                  <w:tcBorders>
                    <w:tl2br w:val="nil"/>
                    <w:tr2bl w:val="nil"/>
                  </w:tcBorders>
                  <w:vAlign w:val="center"/>
                </w:tcPr>
                <w:p w14:paraId="4B8202D0">
                  <w:pPr>
                    <w:pStyle w:val="83"/>
                    <w:rPr>
                      <w:rFonts w:hint="default"/>
                      <w:sz w:val="18"/>
                      <w:szCs w:val="18"/>
                    </w:rPr>
                  </w:pPr>
                  <w:r>
                    <w:rPr>
                      <w:sz w:val="18"/>
                      <w:szCs w:val="18"/>
                    </w:rPr>
                    <w:t>收集措施</w:t>
                  </w:r>
                </w:p>
              </w:tc>
              <w:tc>
                <w:tcPr>
                  <w:tcW w:w="199" w:type="pct"/>
                  <w:vMerge w:val="restart"/>
                  <w:tcBorders>
                    <w:tl2br w:val="nil"/>
                    <w:tr2bl w:val="nil"/>
                  </w:tcBorders>
                  <w:vAlign w:val="center"/>
                </w:tcPr>
                <w:p w14:paraId="55B2C159">
                  <w:pPr>
                    <w:pStyle w:val="83"/>
                    <w:rPr>
                      <w:rFonts w:hint="default"/>
                      <w:sz w:val="18"/>
                      <w:szCs w:val="18"/>
                    </w:rPr>
                  </w:pPr>
                  <w:r>
                    <w:rPr>
                      <w:sz w:val="18"/>
                      <w:szCs w:val="18"/>
                    </w:rPr>
                    <w:t>收集效率%</w:t>
                  </w:r>
                </w:p>
              </w:tc>
              <w:tc>
                <w:tcPr>
                  <w:tcW w:w="254" w:type="pct"/>
                  <w:vMerge w:val="restart"/>
                  <w:tcBorders>
                    <w:tl2br w:val="nil"/>
                    <w:tr2bl w:val="nil"/>
                  </w:tcBorders>
                  <w:vAlign w:val="center"/>
                </w:tcPr>
                <w:p w14:paraId="45B060BA">
                  <w:pPr>
                    <w:pStyle w:val="83"/>
                    <w:rPr>
                      <w:rFonts w:hint="default"/>
                      <w:sz w:val="18"/>
                      <w:szCs w:val="18"/>
                    </w:rPr>
                  </w:pPr>
                  <w:r>
                    <w:rPr>
                      <w:sz w:val="18"/>
                      <w:szCs w:val="18"/>
                    </w:rPr>
                    <w:t>治理工艺去除率%</w:t>
                  </w:r>
                </w:p>
              </w:tc>
              <w:tc>
                <w:tcPr>
                  <w:tcW w:w="873" w:type="pct"/>
                  <w:gridSpan w:val="3"/>
                  <w:tcBorders>
                    <w:tl2br w:val="nil"/>
                    <w:tr2bl w:val="nil"/>
                  </w:tcBorders>
                  <w:vAlign w:val="center"/>
                </w:tcPr>
                <w:p w14:paraId="1A7BA0E8">
                  <w:pPr>
                    <w:pStyle w:val="83"/>
                    <w:rPr>
                      <w:rFonts w:hint="default"/>
                      <w:sz w:val="18"/>
                      <w:szCs w:val="18"/>
                    </w:rPr>
                  </w:pPr>
                  <w:r>
                    <w:rPr>
                      <w:sz w:val="18"/>
                      <w:szCs w:val="18"/>
                    </w:rPr>
                    <w:t>排放源强</w:t>
                  </w:r>
                </w:p>
              </w:tc>
              <w:tc>
                <w:tcPr>
                  <w:tcW w:w="594" w:type="pct"/>
                  <w:gridSpan w:val="4"/>
                  <w:tcBorders>
                    <w:tl2br w:val="nil"/>
                    <w:tr2bl w:val="nil"/>
                  </w:tcBorders>
                  <w:vAlign w:val="center"/>
                </w:tcPr>
                <w:p w14:paraId="13D895E3">
                  <w:pPr>
                    <w:pStyle w:val="83"/>
                    <w:rPr>
                      <w:rFonts w:hint="default"/>
                      <w:sz w:val="18"/>
                      <w:szCs w:val="18"/>
                    </w:rPr>
                  </w:pPr>
                  <w:r>
                    <w:rPr>
                      <w:sz w:val="18"/>
                      <w:szCs w:val="18"/>
                    </w:rPr>
                    <w:t>排气筒概况</w:t>
                  </w:r>
                </w:p>
              </w:tc>
              <w:tc>
                <w:tcPr>
                  <w:tcW w:w="224" w:type="pct"/>
                  <w:vMerge w:val="restart"/>
                  <w:tcBorders>
                    <w:tl2br w:val="nil"/>
                    <w:tr2bl w:val="nil"/>
                  </w:tcBorders>
                  <w:vAlign w:val="center"/>
                </w:tcPr>
                <w:p w14:paraId="76FAE261">
                  <w:pPr>
                    <w:pStyle w:val="83"/>
                    <w:rPr>
                      <w:rFonts w:hint="default"/>
                      <w:sz w:val="18"/>
                      <w:szCs w:val="18"/>
                    </w:rPr>
                  </w:pPr>
                  <w:r>
                    <w:rPr>
                      <w:sz w:val="18"/>
                      <w:szCs w:val="18"/>
                    </w:rPr>
                    <w:t>排放时间h</w:t>
                  </w:r>
                </w:p>
              </w:tc>
              <w:tc>
                <w:tcPr>
                  <w:tcW w:w="189" w:type="pct"/>
                  <w:vMerge w:val="restart"/>
                  <w:tcBorders>
                    <w:tl2br w:val="nil"/>
                    <w:tr2bl w:val="nil"/>
                  </w:tcBorders>
                  <w:vAlign w:val="center"/>
                </w:tcPr>
                <w:p w14:paraId="11CB96EE">
                  <w:pPr>
                    <w:pStyle w:val="83"/>
                    <w:rPr>
                      <w:rFonts w:hint="default"/>
                      <w:sz w:val="18"/>
                      <w:szCs w:val="18"/>
                    </w:rPr>
                  </w:pPr>
                  <w:r>
                    <w:rPr>
                      <w:sz w:val="18"/>
                      <w:szCs w:val="18"/>
                    </w:rPr>
                    <w:t>排放标准mg/m3</w:t>
                  </w:r>
                </w:p>
              </w:tc>
              <w:tc>
                <w:tcPr>
                  <w:tcW w:w="188" w:type="pct"/>
                  <w:vMerge w:val="restart"/>
                  <w:tcBorders>
                    <w:tl2br w:val="nil"/>
                    <w:tr2bl w:val="nil"/>
                  </w:tcBorders>
                  <w:vAlign w:val="center"/>
                </w:tcPr>
                <w:p w14:paraId="4A69ED52">
                  <w:pPr>
                    <w:pStyle w:val="83"/>
                    <w:rPr>
                      <w:rFonts w:hint="default"/>
                      <w:sz w:val="18"/>
                      <w:szCs w:val="18"/>
                    </w:rPr>
                  </w:pPr>
                  <w:r>
                    <w:rPr>
                      <w:sz w:val="18"/>
                      <w:szCs w:val="18"/>
                    </w:rPr>
                    <w:t>是否</w:t>
                  </w:r>
                </w:p>
                <w:p w14:paraId="5CC239DB">
                  <w:pPr>
                    <w:pStyle w:val="83"/>
                    <w:rPr>
                      <w:rFonts w:hint="default"/>
                      <w:sz w:val="18"/>
                      <w:szCs w:val="18"/>
                    </w:rPr>
                  </w:pPr>
                  <w:r>
                    <w:rPr>
                      <w:sz w:val="18"/>
                      <w:szCs w:val="18"/>
                    </w:rPr>
                    <w:t>达标</w:t>
                  </w:r>
                </w:p>
              </w:tc>
            </w:tr>
            <w:tr w14:paraId="54BBD96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continue"/>
                  <w:tcBorders>
                    <w:tl2br w:val="nil"/>
                    <w:tr2bl w:val="nil"/>
                  </w:tcBorders>
                  <w:vAlign w:val="center"/>
                </w:tcPr>
                <w:p w14:paraId="020AB655">
                  <w:pPr>
                    <w:pStyle w:val="83"/>
                    <w:rPr>
                      <w:rFonts w:hint="default"/>
                      <w:sz w:val="18"/>
                      <w:szCs w:val="18"/>
                    </w:rPr>
                  </w:pPr>
                </w:p>
              </w:tc>
              <w:tc>
                <w:tcPr>
                  <w:tcW w:w="184" w:type="pct"/>
                  <w:vMerge w:val="continue"/>
                  <w:tcBorders>
                    <w:tl2br w:val="nil"/>
                    <w:tr2bl w:val="nil"/>
                  </w:tcBorders>
                  <w:vAlign w:val="center"/>
                </w:tcPr>
                <w:p w14:paraId="70019B3D">
                  <w:pPr>
                    <w:pStyle w:val="83"/>
                    <w:rPr>
                      <w:rFonts w:hint="default"/>
                      <w:sz w:val="18"/>
                      <w:szCs w:val="18"/>
                    </w:rPr>
                  </w:pPr>
                </w:p>
              </w:tc>
              <w:tc>
                <w:tcPr>
                  <w:tcW w:w="213" w:type="pct"/>
                  <w:vMerge w:val="continue"/>
                  <w:tcBorders>
                    <w:tl2br w:val="nil"/>
                    <w:tr2bl w:val="nil"/>
                  </w:tcBorders>
                  <w:vAlign w:val="center"/>
                </w:tcPr>
                <w:p w14:paraId="08AD747E">
                  <w:pPr>
                    <w:pStyle w:val="83"/>
                    <w:rPr>
                      <w:rFonts w:hint="default"/>
                      <w:sz w:val="18"/>
                      <w:szCs w:val="18"/>
                    </w:rPr>
                  </w:pPr>
                </w:p>
              </w:tc>
              <w:tc>
                <w:tcPr>
                  <w:tcW w:w="223" w:type="pct"/>
                  <w:vMerge w:val="continue"/>
                  <w:tcBorders>
                    <w:tl2br w:val="nil"/>
                    <w:tr2bl w:val="nil"/>
                  </w:tcBorders>
                  <w:vAlign w:val="center"/>
                </w:tcPr>
                <w:p w14:paraId="015ABD99">
                  <w:pPr>
                    <w:pStyle w:val="83"/>
                    <w:rPr>
                      <w:rFonts w:hint="default"/>
                      <w:sz w:val="18"/>
                      <w:szCs w:val="18"/>
                    </w:rPr>
                  </w:pPr>
                </w:p>
              </w:tc>
              <w:tc>
                <w:tcPr>
                  <w:tcW w:w="253" w:type="pct"/>
                  <w:tcBorders>
                    <w:tl2br w:val="nil"/>
                    <w:tr2bl w:val="nil"/>
                  </w:tcBorders>
                  <w:vAlign w:val="center"/>
                </w:tcPr>
                <w:p w14:paraId="1128566D">
                  <w:pPr>
                    <w:pStyle w:val="83"/>
                    <w:rPr>
                      <w:rFonts w:hint="default"/>
                      <w:sz w:val="18"/>
                      <w:szCs w:val="18"/>
                    </w:rPr>
                  </w:pPr>
                  <w:r>
                    <w:rPr>
                      <w:sz w:val="18"/>
                      <w:szCs w:val="18"/>
                    </w:rPr>
                    <w:t>污染物产生量t/a</w:t>
                  </w:r>
                </w:p>
              </w:tc>
              <w:tc>
                <w:tcPr>
                  <w:tcW w:w="301" w:type="pct"/>
                  <w:tcBorders>
                    <w:tl2br w:val="nil"/>
                    <w:tr2bl w:val="nil"/>
                  </w:tcBorders>
                  <w:vAlign w:val="center"/>
                </w:tcPr>
                <w:p w14:paraId="53883DC8">
                  <w:pPr>
                    <w:pStyle w:val="83"/>
                    <w:rPr>
                      <w:rFonts w:hint="default"/>
                      <w:sz w:val="18"/>
                      <w:szCs w:val="18"/>
                    </w:rPr>
                  </w:pPr>
                  <w:r>
                    <w:rPr>
                      <w:sz w:val="18"/>
                      <w:szCs w:val="18"/>
                    </w:rPr>
                    <w:t>污染物产生速率kg/h</w:t>
                  </w:r>
                </w:p>
              </w:tc>
              <w:tc>
                <w:tcPr>
                  <w:tcW w:w="322" w:type="pct"/>
                  <w:tcBorders>
                    <w:tl2br w:val="nil"/>
                    <w:tr2bl w:val="nil"/>
                  </w:tcBorders>
                  <w:vAlign w:val="center"/>
                </w:tcPr>
                <w:p w14:paraId="2CB7111D">
                  <w:pPr>
                    <w:pStyle w:val="83"/>
                    <w:rPr>
                      <w:rFonts w:hint="default"/>
                      <w:sz w:val="18"/>
                      <w:szCs w:val="18"/>
                    </w:rPr>
                  </w:pPr>
                  <w:r>
                    <w:rPr>
                      <w:sz w:val="18"/>
                      <w:szCs w:val="18"/>
                    </w:rPr>
                    <w:t>污染物产生浓度mg/m</w:t>
                  </w:r>
                  <w:r>
                    <w:rPr>
                      <w:sz w:val="18"/>
                      <w:szCs w:val="18"/>
                      <w:vertAlign w:val="superscript"/>
                    </w:rPr>
                    <w:t>3</w:t>
                  </w:r>
                </w:p>
              </w:tc>
              <w:tc>
                <w:tcPr>
                  <w:tcW w:w="214" w:type="pct"/>
                  <w:vMerge w:val="continue"/>
                  <w:tcBorders>
                    <w:tl2br w:val="nil"/>
                    <w:tr2bl w:val="nil"/>
                  </w:tcBorders>
                  <w:vAlign w:val="center"/>
                </w:tcPr>
                <w:p w14:paraId="06185377">
                  <w:pPr>
                    <w:pStyle w:val="83"/>
                    <w:rPr>
                      <w:rFonts w:hint="default"/>
                      <w:sz w:val="18"/>
                      <w:szCs w:val="18"/>
                    </w:rPr>
                  </w:pPr>
                </w:p>
              </w:tc>
              <w:tc>
                <w:tcPr>
                  <w:tcW w:w="287" w:type="pct"/>
                  <w:vMerge w:val="continue"/>
                  <w:tcBorders>
                    <w:tl2br w:val="nil"/>
                    <w:tr2bl w:val="nil"/>
                  </w:tcBorders>
                  <w:vAlign w:val="center"/>
                </w:tcPr>
                <w:p w14:paraId="6E46AC1B">
                  <w:pPr>
                    <w:pStyle w:val="83"/>
                    <w:rPr>
                      <w:rFonts w:hint="default"/>
                      <w:sz w:val="18"/>
                      <w:szCs w:val="18"/>
                    </w:rPr>
                  </w:pPr>
                </w:p>
              </w:tc>
              <w:tc>
                <w:tcPr>
                  <w:tcW w:w="268" w:type="pct"/>
                  <w:vMerge w:val="continue"/>
                  <w:tcBorders>
                    <w:tl2br w:val="nil"/>
                    <w:tr2bl w:val="nil"/>
                  </w:tcBorders>
                  <w:vAlign w:val="center"/>
                </w:tcPr>
                <w:p w14:paraId="28458AA3">
                  <w:pPr>
                    <w:pStyle w:val="83"/>
                    <w:rPr>
                      <w:rFonts w:hint="default"/>
                      <w:sz w:val="18"/>
                      <w:szCs w:val="18"/>
                    </w:rPr>
                  </w:pPr>
                </w:p>
              </w:tc>
              <w:tc>
                <w:tcPr>
                  <w:tcW w:w="199" w:type="pct"/>
                  <w:vMerge w:val="continue"/>
                  <w:tcBorders>
                    <w:tl2br w:val="nil"/>
                    <w:tr2bl w:val="nil"/>
                  </w:tcBorders>
                  <w:vAlign w:val="center"/>
                </w:tcPr>
                <w:p w14:paraId="0EE44863">
                  <w:pPr>
                    <w:pStyle w:val="83"/>
                    <w:rPr>
                      <w:rFonts w:hint="default"/>
                      <w:sz w:val="18"/>
                      <w:szCs w:val="18"/>
                    </w:rPr>
                  </w:pPr>
                </w:p>
              </w:tc>
              <w:tc>
                <w:tcPr>
                  <w:tcW w:w="254" w:type="pct"/>
                  <w:vMerge w:val="continue"/>
                  <w:tcBorders>
                    <w:tl2br w:val="nil"/>
                    <w:tr2bl w:val="nil"/>
                  </w:tcBorders>
                  <w:vAlign w:val="center"/>
                </w:tcPr>
                <w:p w14:paraId="66B9C824">
                  <w:pPr>
                    <w:pStyle w:val="83"/>
                    <w:rPr>
                      <w:rFonts w:hint="default"/>
                      <w:sz w:val="18"/>
                      <w:szCs w:val="18"/>
                    </w:rPr>
                  </w:pPr>
                </w:p>
              </w:tc>
              <w:tc>
                <w:tcPr>
                  <w:tcW w:w="264" w:type="pct"/>
                  <w:tcBorders>
                    <w:tl2br w:val="nil"/>
                    <w:tr2bl w:val="nil"/>
                  </w:tcBorders>
                  <w:vAlign w:val="center"/>
                </w:tcPr>
                <w:p w14:paraId="0040068B">
                  <w:pPr>
                    <w:pStyle w:val="83"/>
                    <w:rPr>
                      <w:rFonts w:hint="default"/>
                      <w:sz w:val="18"/>
                      <w:szCs w:val="18"/>
                    </w:rPr>
                  </w:pPr>
                  <w:r>
                    <w:rPr>
                      <w:sz w:val="18"/>
                      <w:szCs w:val="18"/>
                    </w:rPr>
                    <w:t>污染物排放量t/a</w:t>
                  </w:r>
                </w:p>
              </w:tc>
              <w:tc>
                <w:tcPr>
                  <w:tcW w:w="295" w:type="pct"/>
                  <w:tcBorders>
                    <w:tl2br w:val="nil"/>
                    <w:tr2bl w:val="nil"/>
                  </w:tcBorders>
                  <w:vAlign w:val="center"/>
                </w:tcPr>
                <w:p w14:paraId="3347A078">
                  <w:pPr>
                    <w:pStyle w:val="83"/>
                    <w:rPr>
                      <w:rFonts w:hint="default"/>
                      <w:sz w:val="18"/>
                      <w:szCs w:val="18"/>
                    </w:rPr>
                  </w:pPr>
                  <w:r>
                    <w:rPr>
                      <w:sz w:val="18"/>
                      <w:szCs w:val="18"/>
                    </w:rPr>
                    <w:t>污染物排放速率kg/h</w:t>
                  </w:r>
                </w:p>
              </w:tc>
              <w:tc>
                <w:tcPr>
                  <w:tcW w:w="313" w:type="pct"/>
                  <w:tcBorders>
                    <w:tl2br w:val="nil"/>
                    <w:tr2bl w:val="nil"/>
                  </w:tcBorders>
                  <w:vAlign w:val="center"/>
                </w:tcPr>
                <w:p w14:paraId="5DE3E83F">
                  <w:pPr>
                    <w:pStyle w:val="83"/>
                    <w:rPr>
                      <w:rFonts w:hint="default"/>
                      <w:sz w:val="18"/>
                      <w:szCs w:val="18"/>
                    </w:rPr>
                  </w:pPr>
                  <w:r>
                    <w:rPr>
                      <w:sz w:val="18"/>
                      <w:szCs w:val="18"/>
                    </w:rPr>
                    <w:t>污染物排放浓度mg/m</w:t>
                  </w:r>
                  <w:r>
                    <w:rPr>
                      <w:sz w:val="18"/>
                      <w:szCs w:val="18"/>
                      <w:vertAlign w:val="superscript"/>
                    </w:rPr>
                    <w:t>3</w:t>
                  </w:r>
                </w:p>
              </w:tc>
              <w:tc>
                <w:tcPr>
                  <w:tcW w:w="120" w:type="pct"/>
                  <w:tcBorders>
                    <w:tl2br w:val="nil"/>
                    <w:tr2bl w:val="nil"/>
                  </w:tcBorders>
                  <w:vAlign w:val="center"/>
                </w:tcPr>
                <w:p w14:paraId="0B519A26">
                  <w:pPr>
                    <w:pStyle w:val="83"/>
                    <w:rPr>
                      <w:rFonts w:hint="default"/>
                      <w:sz w:val="18"/>
                      <w:szCs w:val="18"/>
                    </w:rPr>
                  </w:pPr>
                  <w:r>
                    <w:rPr>
                      <w:sz w:val="18"/>
                      <w:szCs w:val="18"/>
                    </w:rPr>
                    <w:t>编号</w:t>
                  </w:r>
                </w:p>
              </w:tc>
              <w:tc>
                <w:tcPr>
                  <w:tcW w:w="171" w:type="pct"/>
                  <w:tcBorders>
                    <w:tl2br w:val="nil"/>
                    <w:tr2bl w:val="nil"/>
                  </w:tcBorders>
                  <w:vAlign w:val="center"/>
                </w:tcPr>
                <w:p w14:paraId="54934E70">
                  <w:pPr>
                    <w:pStyle w:val="83"/>
                    <w:rPr>
                      <w:rFonts w:hint="default"/>
                      <w:sz w:val="18"/>
                      <w:szCs w:val="18"/>
                    </w:rPr>
                  </w:pPr>
                  <w:r>
                    <w:rPr>
                      <w:sz w:val="18"/>
                      <w:szCs w:val="18"/>
                    </w:rPr>
                    <w:t>高度m</w:t>
                  </w:r>
                </w:p>
              </w:tc>
              <w:tc>
                <w:tcPr>
                  <w:tcW w:w="152" w:type="pct"/>
                  <w:tcBorders>
                    <w:tl2br w:val="nil"/>
                    <w:tr2bl w:val="nil"/>
                  </w:tcBorders>
                  <w:vAlign w:val="center"/>
                </w:tcPr>
                <w:p w14:paraId="32350617">
                  <w:pPr>
                    <w:pStyle w:val="83"/>
                    <w:rPr>
                      <w:rFonts w:hint="default"/>
                      <w:sz w:val="18"/>
                      <w:szCs w:val="18"/>
                    </w:rPr>
                  </w:pPr>
                  <w:r>
                    <w:rPr>
                      <w:sz w:val="18"/>
                      <w:szCs w:val="18"/>
                    </w:rPr>
                    <w:t>内径m</w:t>
                  </w:r>
                </w:p>
              </w:tc>
              <w:tc>
                <w:tcPr>
                  <w:tcW w:w="149" w:type="pct"/>
                  <w:tcBorders>
                    <w:tl2br w:val="nil"/>
                    <w:tr2bl w:val="nil"/>
                  </w:tcBorders>
                  <w:vAlign w:val="center"/>
                </w:tcPr>
                <w:p w14:paraId="37376D4F">
                  <w:pPr>
                    <w:pStyle w:val="83"/>
                    <w:rPr>
                      <w:rFonts w:hint="default"/>
                      <w:sz w:val="18"/>
                      <w:szCs w:val="18"/>
                    </w:rPr>
                  </w:pPr>
                  <w:r>
                    <w:rPr>
                      <w:sz w:val="18"/>
                      <w:szCs w:val="18"/>
                    </w:rPr>
                    <w:t>温度</w:t>
                  </w:r>
                </w:p>
                <w:p w14:paraId="64693814">
                  <w:pPr>
                    <w:pStyle w:val="83"/>
                    <w:rPr>
                      <w:rFonts w:hint="default"/>
                      <w:sz w:val="18"/>
                      <w:szCs w:val="18"/>
                    </w:rPr>
                  </w:pPr>
                  <w:r>
                    <w:rPr>
                      <w:sz w:val="18"/>
                      <w:szCs w:val="18"/>
                    </w:rPr>
                    <w:t>℃</w:t>
                  </w:r>
                </w:p>
              </w:tc>
              <w:tc>
                <w:tcPr>
                  <w:tcW w:w="224" w:type="pct"/>
                  <w:vMerge w:val="continue"/>
                  <w:tcBorders>
                    <w:tl2br w:val="nil"/>
                    <w:tr2bl w:val="nil"/>
                  </w:tcBorders>
                  <w:vAlign w:val="center"/>
                </w:tcPr>
                <w:p w14:paraId="339942F0">
                  <w:pPr>
                    <w:pStyle w:val="83"/>
                    <w:rPr>
                      <w:rFonts w:hint="default"/>
                      <w:sz w:val="18"/>
                      <w:szCs w:val="18"/>
                    </w:rPr>
                  </w:pPr>
                </w:p>
              </w:tc>
              <w:tc>
                <w:tcPr>
                  <w:tcW w:w="189" w:type="pct"/>
                  <w:vMerge w:val="continue"/>
                  <w:tcBorders>
                    <w:tl2br w:val="nil"/>
                    <w:tr2bl w:val="nil"/>
                  </w:tcBorders>
                  <w:vAlign w:val="center"/>
                </w:tcPr>
                <w:p w14:paraId="19A9CBB4">
                  <w:pPr>
                    <w:pStyle w:val="83"/>
                    <w:rPr>
                      <w:rFonts w:hint="default"/>
                      <w:sz w:val="18"/>
                      <w:szCs w:val="18"/>
                    </w:rPr>
                  </w:pPr>
                </w:p>
              </w:tc>
              <w:tc>
                <w:tcPr>
                  <w:tcW w:w="188" w:type="pct"/>
                  <w:vMerge w:val="continue"/>
                  <w:tcBorders>
                    <w:tl2br w:val="nil"/>
                    <w:tr2bl w:val="nil"/>
                  </w:tcBorders>
                  <w:vAlign w:val="center"/>
                </w:tcPr>
                <w:p w14:paraId="21F87C0E">
                  <w:pPr>
                    <w:pStyle w:val="83"/>
                    <w:rPr>
                      <w:rFonts w:hint="default"/>
                      <w:sz w:val="18"/>
                      <w:szCs w:val="18"/>
                    </w:rPr>
                  </w:pPr>
                </w:p>
              </w:tc>
            </w:tr>
            <w:tr w14:paraId="058ECD4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restart"/>
                  <w:tcBorders>
                    <w:tl2br w:val="nil"/>
                    <w:tr2bl w:val="nil"/>
                  </w:tcBorders>
                  <w:vAlign w:val="center"/>
                </w:tcPr>
                <w:p w14:paraId="458F7C90">
                  <w:pPr>
                    <w:pStyle w:val="83"/>
                    <w:rPr>
                      <w:rFonts w:hint="default"/>
                      <w:sz w:val="18"/>
                      <w:szCs w:val="18"/>
                    </w:rPr>
                  </w:pPr>
                  <w:r>
                    <w:rPr>
                      <w:sz w:val="18"/>
                      <w:szCs w:val="18"/>
                    </w:rPr>
                    <w:t>单体抽吸工序</w:t>
                  </w:r>
                </w:p>
              </w:tc>
              <w:tc>
                <w:tcPr>
                  <w:tcW w:w="184" w:type="pct"/>
                  <w:vMerge w:val="restart"/>
                  <w:tcBorders>
                    <w:tl2br w:val="nil"/>
                    <w:tr2bl w:val="nil"/>
                  </w:tcBorders>
                  <w:vAlign w:val="center"/>
                </w:tcPr>
                <w:p w14:paraId="2CAA72BC">
                  <w:pPr>
                    <w:pStyle w:val="83"/>
                    <w:rPr>
                      <w:rFonts w:hint="default"/>
                      <w:sz w:val="18"/>
                      <w:szCs w:val="18"/>
                    </w:rPr>
                  </w:pPr>
                  <w:r>
                    <w:rPr>
                      <w:sz w:val="18"/>
                      <w:szCs w:val="18"/>
                    </w:rPr>
                    <w:t>单体抽吸废气</w:t>
                  </w:r>
                </w:p>
              </w:tc>
              <w:tc>
                <w:tcPr>
                  <w:tcW w:w="213" w:type="pct"/>
                  <w:tcBorders>
                    <w:tl2br w:val="nil"/>
                    <w:tr2bl w:val="nil"/>
                  </w:tcBorders>
                  <w:vAlign w:val="center"/>
                </w:tcPr>
                <w:p w14:paraId="220068A5">
                  <w:pPr>
                    <w:pStyle w:val="83"/>
                    <w:rPr>
                      <w:rFonts w:hint="default"/>
                      <w:sz w:val="18"/>
                      <w:szCs w:val="18"/>
                    </w:rPr>
                  </w:pPr>
                  <w:r>
                    <w:rPr>
                      <w:sz w:val="18"/>
                      <w:szCs w:val="18"/>
                    </w:rPr>
                    <w:t>非甲烷总烃</w:t>
                  </w:r>
                </w:p>
              </w:tc>
              <w:tc>
                <w:tcPr>
                  <w:tcW w:w="223" w:type="pct"/>
                  <w:vMerge w:val="restart"/>
                  <w:tcBorders>
                    <w:tl2br w:val="nil"/>
                    <w:tr2bl w:val="nil"/>
                  </w:tcBorders>
                  <w:vAlign w:val="center"/>
                </w:tcPr>
                <w:p w14:paraId="04BB4D53">
                  <w:pPr>
                    <w:pStyle w:val="83"/>
                    <w:rPr>
                      <w:rFonts w:hint="default"/>
                      <w:sz w:val="18"/>
                      <w:szCs w:val="18"/>
                    </w:rPr>
                  </w:pPr>
                  <w:r>
                    <w:rPr>
                      <w:sz w:val="18"/>
                      <w:szCs w:val="18"/>
                    </w:rPr>
                    <w:t>10800</w:t>
                  </w:r>
                </w:p>
              </w:tc>
              <w:tc>
                <w:tcPr>
                  <w:tcW w:w="253" w:type="pct"/>
                  <w:tcBorders>
                    <w:tl2br w:val="nil"/>
                    <w:tr2bl w:val="nil"/>
                  </w:tcBorders>
                  <w:vAlign w:val="center"/>
                </w:tcPr>
                <w:p w14:paraId="2092124A">
                  <w:pPr>
                    <w:pStyle w:val="83"/>
                    <w:rPr>
                      <w:rFonts w:hint="default"/>
                      <w:sz w:val="18"/>
                      <w:szCs w:val="18"/>
                    </w:rPr>
                  </w:pPr>
                  <w:r>
                    <w:rPr>
                      <w:sz w:val="18"/>
                      <w:szCs w:val="18"/>
                    </w:rPr>
                    <w:t>0.28</w:t>
                  </w:r>
                </w:p>
              </w:tc>
              <w:tc>
                <w:tcPr>
                  <w:tcW w:w="301" w:type="pct"/>
                  <w:tcBorders>
                    <w:tl2br w:val="nil"/>
                    <w:tr2bl w:val="nil"/>
                  </w:tcBorders>
                  <w:vAlign w:val="center"/>
                </w:tcPr>
                <w:p w14:paraId="1ED47002">
                  <w:pPr>
                    <w:pStyle w:val="83"/>
                    <w:rPr>
                      <w:rFonts w:hint="default"/>
                      <w:sz w:val="18"/>
                      <w:szCs w:val="18"/>
                    </w:rPr>
                  </w:pPr>
                  <w:r>
                    <w:rPr>
                      <w:sz w:val="18"/>
                      <w:szCs w:val="18"/>
                    </w:rPr>
                    <w:t>0.03</w:t>
                  </w:r>
                </w:p>
              </w:tc>
              <w:tc>
                <w:tcPr>
                  <w:tcW w:w="322" w:type="pct"/>
                  <w:tcBorders>
                    <w:tl2br w:val="nil"/>
                    <w:tr2bl w:val="nil"/>
                  </w:tcBorders>
                  <w:vAlign w:val="center"/>
                </w:tcPr>
                <w:p w14:paraId="56D9CF5F">
                  <w:pPr>
                    <w:pStyle w:val="83"/>
                    <w:rPr>
                      <w:rFonts w:hint="default"/>
                      <w:sz w:val="18"/>
                      <w:szCs w:val="18"/>
                    </w:rPr>
                  </w:pPr>
                  <w:r>
                    <w:rPr>
                      <w:sz w:val="18"/>
                      <w:szCs w:val="18"/>
                    </w:rPr>
                    <w:t>3.01</w:t>
                  </w:r>
                </w:p>
              </w:tc>
              <w:tc>
                <w:tcPr>
                  <w:tcW w:w="214" w:type="pct"/>
                  <w:vMerge w:val="restart"/>
                  <w:tcBorders>
                    <w:tl2br w:val="nil"/>
                    <w:tr2bl w:val="nil"/>
                  </w:tcBorders>
                  <w:vAlign w:val="center"/>
                </w:tcPr>
                <w:p w14:paraId="7CF556C2">
                  <w:pPr>
                    <w:pStyle w:val="83"/>
                    <w:rPr>
                      <w:rFonts w:hint="default"/>
                      <w:sz w:val="18"/>
                      <w:szCs w:val="18"/>
                    </w:rPr>
                  </w:pPr>
                  <w:r>
                    <w:rPr>
                      <w:sz w:val="18"/>
                      <w:szCs w:val="18"/>
                    </w:rPr>
                    <w:t>有组织</w:t>
                  </w:r>
                </w:p>
              </w:tc>
              <w:tc>
                <w:tcPr>
                  <w:tcW w:w="287" w:type="pct"/>
                  <w:vMerge w:val="restart"/>
                  <w:tcBorders>
                    <w:tl2br w:val="nil"/>
                    <w:tr2bl w:val="nil"/>
                  </w:tcBorders>
                  <w:vAlign w:val="center"/>
                </w:tcPr>
                <w:p w14:paraId="6B0E5C37">
                  <w:pPr>
                    <w:pStyle w:val="83"/>
                    <w:rPr>
                      <w:rFonts w:hint="default"/>
                      <w:sz w:val="18"/>
                      <w:szCs w:val="18"/>
                    </w:rPr>
                  </w:pPr>
                  <w:r>
                    <w:rPr>
                      <w:sz w:val="18"/>
                      <w:szCs w:val="18"/>
                    </w:rPr>
                    <w:t>水喷淋</w:t>
                  </w:r>
                </w:p>
              </w:tc>
              <w:tc>
                <w:tcPr>
                  <w:tcW w:w="268" w:type="pct"/>
                  <w:vMerge w:val="restart"/>
                  <w:tcBorders>
                    <w:tl2br w:val="nil"/>
                    <w:tr2bl w:val="nil"/>
                  </w:tcBorders>
                  <w:vAlign w:val="center"/>
                </w:tcPr>
                <w:p w14:paraId="20F4A10B">
                  <w:pPr>
                    <w:pStyle w:val="83"/>
                    <w:rPr>
                      <w:rFonts w:hint="default"/>
                      <w:sz w:val="18"/>
                      <w:szCs w:val="18"/>
                    </w:rPr>
                  </w:pPr>
                  <w:r>
                    <w:rPr>
                      <w:sz w:val="18"/>
                      <w:szCs w:val="18"/>
                    </w:rPr>
                    <w:t>密闭管道负压收集</w:t>
                  </w:r>
                </w:p>
              </w:tc>
              <w:tc>
                <w:tcPr>
                  <w:tcW w:w="199" w:type="pct"/>
                  <w:vMerge w:val="restart"/>
                  <w:tcBorders>
                    <w:tl2br w:val="nil"/>
                    <w:tr2bl w:val="nil"/>
                  </w:tcBorders>
                  <w:vAlign w:val="center"/>
                </w:tcPr>
                <w:p w14:paraId="63D2EE99">
                  <w:pPr>
                    <w:pStyle w:val="83"/>
                    <w:rPr>
                      <w:rFonts w:hint="default"/>
                      <w:sz w:val="18"/>
                      <w:szCs w:val="18"/>
                    </w:rPr>
                  </w:pPr>
                  <w:r>
                    <w:rPr>
                      <w:sz w:val="18"/>
                      <w:szCs w:val="18"/>
                    </w:rPr>
                    <w:t>95</w:t>
                  </w:r>
                </w:p>
              </w:tc>
              <w:tc>
                <w:tcPr>
                  <w:tcW w:w="254" w:type="pct"/>
                  <w:tcBorders>
                    <w:tl2br w:val="nil"/>
                    <w:tr2bl w:val="nil"/>
                  </w:tcBorders>
                  <w:vAlign w:val="center"/>
                </w:tcPr>
                <w:p w14:paraId="2E1847FD">
                  <w:pPr>
                    <w:pStyle w:val="83"/>
                    <w:rPr>
                      <w:rFonts w:hint="default"/>
                      <w:sz w:val="18"/>
                      <w:szCs w:val="18"/>
                    </w:rPr>
                  </w:pPr>
                  <w:r>
                    <w:rPr>
                      <w:sz w:val="18"/>
                      <w:szCs w:val="18"/>
                    </w:rPr>
                    <w:t>30</w:t>
                  </w:r>
                </w:p>
              </w:tc>
              <w:tc>
                <w:tcPr>
                  <w:tcW w:w="264" w:type="pct"/>
                  <w:tcBorders>
                    <w:tl2br w:val="nil"/>
                    <w:tr2bl w:val="nil"/>
                  </w:tcBorders>
                  <w:vAlign w:val="center"/>
                </w:tcPr>
                <w:p w14:paraId="748E77AB">
                  <w:pPr>
                    <w:pStyle w:val="83"/>
                    <w:rPr>
                      <w:rFonts w:hint="default"/>
                      <w:sz w:val="18"/>
                      <w:szCs w:val="18"/>
                    </w:rPr>
                  </w:pPr>
                  <w:r>
                    <w:rPr>
                      <w:sz w:val="18"/>
                      <w:szCs w:val="18"/>
                    </w:rPr>
                    <w:t>0.19</w:t>
                  </w:r>
                </w:p>
              </w:tc>
              <w:tc>
                <w:tcPr>
                  <w:tcW w:w="295" w:type="pct"/>
                  <w:tcBorders>
                    <w:tl2br w:val="nil"/>
                    <w:tr2bl w:val="nil"/>
                  </w:tcBorders>
                  <w:vAlign w:val="center"/>
                </w:tcPr>
                <w:p w14:paraId="1891D542">
                  <w:pPr>
                    <w:pStyle w:val="83"/>
                    <w:rPr>
                      <w:rFonts w:hint="default"/>
                      <w:sz w:val="18"/>
                      <w:szCs w:val="18"/>
                    </w:rPr>
                  </w:pPr>
                  <w:r>
                    <w:rPr>
                      <w:sz w:val="18"/>
                      <w:szCs w:val="18"/>
                    </w:rPr>
                    <w:t>0.022</w:t>
                  </w:r>
                </w:p>
              </w:tc>
              <w:tc>
                <w:tcPr>
                  <w:tcW w:w="313" w:type="pct"/>
                  <w:tcBorders>
                    <w:tl2br w:val="nil"/>
                    <w:tr2bl w:val="nil"/>
                  </w:tcBorders>
                  <w:vAlign w:val="center"/>
                </w:tcPr>
                <w:p w14:paraId="2DAEFB73">
                  <w:pPr>
                    <w:pStyle w:val="83"/>
                    <w:rPr>
                      <w:rFonts w:hint="default"/>
                      <w:sz w:val="18"/>
                      <w:szCs w:val="18"/>
                    </w:rPr>
                  </w:pPr>
                  <w:r>
                    <w:rPr>
                      <w:sz w:val="18"/>
                      <w:szCs w:val="18"/>
                    </w:rPr>
                    <w:t>2</w:t>
                  </w:r>
                </w:p>
              </w:tc>
              <w:tc>
                <w:tcPr>
                  <w:tcW w:w="120" w:type="pct"/>
                  <w:vMerge w:val="restart"/>
                  <w:tcBorders>
                    <w:tl2br w:val="nil"/>
                    <w:tr2bl w:val="nil"/>
                  </w:tcBorders>
                  <w:vAlign w:val="center"/>
                </w:tcPr>
                <w:p w14:paraId="2CF146A4">
                  <w:pPr>
                    <w:pStyle w:val="83"/>
                    <w:rPr>
                      <w:rFonts w:hint="default"/>
                      <w:sz w:val="18"/>
                      <w:szCs w:val="18"/>
                    </w:rPr>
                  </w:pPr>
                  <w:r>
                    <w:rPr>
                      <w:sz w:val="18"/>
                      <w:szCs w:val="18"/>
                    </w:rPr>
                    <w:t>P2</w:t>
                  </w:r>
                </w:p>
              </w:tc>
              <w:tc>
                <w:tcPr>
                  <w:tcW w:w="171" w:type="pct"/>
                  <w:vMerge w:val="restart"/>
                  <w:tcBorders>
                    <w:tl2br w:val="nil"/>
                    <w:tr2bl w:val="nil"/>
                  </w:tcBorders>
                  <w:vAlign w:val="center"/>
                </w:tcPr>
                <w:p w14:paraId="3F2FCF94">
                  <w:pPr>
                    <w:pStyle w:val="83"/>
                    <w:rPr>
                      <w:rFonts w:hint="default"/>
                      <w:sz w:val="18"/>
                      <w:szCs w:val="18"/>
                    </w:rPr>
                  </w:pPr>
                  <w:r>
                    <w:rPr>
                      <w:sz w:val="18"/>
                      <w:szCs w:val="18"/>
                    </w:rPr>
                    <w:t>18</w:t>
                  </w:r>
                </w:p>
              </w:tc>
              <w:tc>
                <w:tcPr>
                  <w:tcW w:w="152" w:type="pct"/>
                  <w:vMerge w:val="restart"/>
                  <w:tcBorders>
                    <w:tl2br w:val="nil"/>
                    <w:tr2bl w:val="nil"/>
                  </w:tcBorders>
                  <w:vAlign w:val="center"/>
                </w:tcPr>
                <w:p w14:paraId="283B3DFA">
                  <w:pPr>
                    <w:pStyle w:val="83"/>
                    <w:rPr>
                      <w:rFonts w:hint="default"/>
                      <w:sz w:val="18"/>
                      <w:szCs w:val="18"/>
                    </w:rPr>
                  </w:pPr>
                  <w:r>
                    <w:rPr>
                      <w:sz w:val="18"/>
                      <w:szCs w:val="18"/>
                    </w:rPr>
                    <w:t>0.5</w:t>
                  </w:r>
                </w:p>
              </w:tc>
              <w:tc>
                <w:tcPr>
                  <w:tcW w:w="149" w:type="pct"/>
                  <w:vMerge w:val="restart"/>
                  <w:tcBorders>
                    <w:tl2br w:val="nil"/>
                    <w:tr2bl w:val="nil"/>
                  </w:tcBorders>
                  <w:vAlign w:val="center"/>
                </w:tcPr>
                <w:p w14:paraId="03C5782A">
                  <w:pPr>
                    <w:pStyle w:val="83"/>
                    <w:rPr>
                      <w:rFonts w:hint="default"/>
                      <w:sz w:val="18"/>
                      <w:szCs w:val="18"/>
                    </w:rPr>
                  </w:pPr>
                  <w:r>
                    <w:rPr>
                      <w:sz w:val="18"/>
                      <w:szCs w:val="18"/>
                    </w:rPr>
                    <w:t>35</w:t>
                  </w:r>
                </w:p>
              </w:tc>
              <w:tc>
                <w:tcPr>
                  <w:tcW w:w="224" w:type="pct"/>
                  <w:vMerge w:val="restart"/>
                  <w:tcBorders>
                    <w:tl2br w:val="nil"/>
                    <w:tr2bl w:val="nil"/>
                  </w:tcBorders>
                  <w:vAlign w:val="center"/>
                </w:tcPr>
                <w:p w14:paraId="499F9CA7">
                  <w:pPr>
                    <w:pStyle w:val="83"/>
                    <w:rPr>
                      <w:rFonts w:hint="default"/>
                      <w:sz w:val="18"/>
                      <w:szCs w:val="18"/>
                    </w:rPr>
                  </w:pPr>
                  <w:r>
                    <w:rPr>
                      <w:sz w:val="18"/>
                      <w:szCs w:val="18"/>
                    </w:rPr>
                    <w:t>8760</w:t>
                  </w:r>
                </w:p>
              </w:tc>
              <w:tc>
                <w:tcPr>
                  <w:tcW w:w="189" w:type="pct"/>
                  <w:tcBorders>
                    <w:tl2br w:val="nil"/>
                    <w:tr2bl w:val="nil"/>
                  </w:tcBorders>
                  <w:vAlign w:val="center"/>
                </w:tcPr>
                <w:p w14:paraId="0B4991C1">
                  <w:pPr>
                    <w:pStyle w:val="83"/>
                    <w:rPr>
                      <w:rFonts w:hint="default"/>
                      <w:sz w:val="18"/>
                      <w:szCs w:val="18"/>
                    </w:rPr>
                  </w:pPr>
                  <w:r>
                    <w:rPr>
                      <w:sz w:val="18"/>
                      <w:szCs w:val="18"/>
                    </w:rPr>
                    <w:t>60</w:t>
                  </w:r>
                </w:p>
              </w:tc>
              <w:tc>
                <w:tcPr>
                  <w:tcW w:w="188" w:type="pct"/>
                  <w:tcBorders>
                    <w:tl2br w:val="nil"/>
                    <w:tr2bl w:val="nil"/>
                  </w:tcBorders>
                  <w:vAlign w:val="center"/>
                </w:tcPr>
                <w:p w14:paraId="20695FD9">
                  <w:pPr>
                    <w:pStyle w:val="83"/>
                    <w:rPr>
                      <w:rFonts w:hint="default"/>
                      <w:sz w:val="18"/>
                      <w:szCs w:val="18"/>
                    </w:rPr>
                  </w:pPr>
                  <w:r>
                    <w:rPr>
                      <w:sz w:val="18"/>
                      <w:szCs w:val="18"/>
                    </w:rPr>
                    <w:t>是</w:t>
                  </w:r>
                </w:p>
              </w:tc>
            </w:tr>
            <w:tr w14:paraId="7BBE75A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continue"/>
                  <w:tcBorders>
                    <w:tl2br w:val="nil"/>
                    <w:tr2bl w:val="nil"/>
                  </w:tcBorders>
                  <w:vAlign w:val="center"/>
                </w:tcPr>
                <w:p w14:paraId="52667855">
                  <w:pPr>
                    <w:pStyle w:val="83"/>
                    <w:rPr>
                      <w:rFonts w:hint="default"/>
                      <w:sz w:val="18"/>
                      <w:szCs w:val="18"/>
                    </w:rPr>
                  </w:pPr>
                </w:p>
              </w:tc>
              <w:tc>
                <w:tcPr>
                  <w:tcW w:w="184" w:type="pct"/>
                  <w:vMerge w:val="continue"/>
                  <w:tcBorders>
                    <w:tl2br w:val="nil"/>
                    <w:tr2bl w:val="nil"/>
                  </w:tcBorders>
                  <w:vAlign w:val="center"/>
                </w:tcPr>
                <w:p w14:paraId="402336A9">
                  <w:pPr>
                    <w:pStyle w:val="83"/>
                    <w:rPr>
                      <w:rFonts w:hint="default"/>
                      <w:sz w:val="18"/>
                      <w:szCs w:val="18"/>
                    </w:rPr>
                  </w:pPr>
                </w:p>
              </w:tc>
              <w:tc>
                <w:tcPr>
                  <w:tcW w:w="213" w:type="pct"/>
                  <w:tcBorders>
                    <w:tl2br w:val="nil"/>
                    <w:tr2bl w:val="nil"/>
                  </w:tcBorders>
                  <w:vAlign w:val="center"/>
                </w:tcPr>
                <w:p w14:paraId="21F4CCCF">
                  <w:pPr>
                    <w:pStyle w:val="83"/>
                    <w:rPr>
                      <w:rFonts w:hint="default"/>
                      <w:sz w:val="18"/>
                      <w:szCs w:val="18"/>
                    </w:rPr>
                  </w:pPr>
                  <w:r>
                    <w:rPr>
                      <w:sz w:val="18"/>
                      <w:szCs w:val="18"/>
                    </w:rPr>
                    <w:t>颗粒物</w:t>
                  </w:r>
                </w:p>
              </w:tc>
              <w:tc>
                <w:tcPr>
                  <w:tcW w:w="223" w:type="pct"/>
                  <w:vMerge w:val="continue"/>
                  <w:tcBorders>
                    <w:tl2br w:val="nil"/>
                    <w:tr2bl w:val="nil"/>
                  </w:tcBorders>
                  <w:vAlign w:val="center"/>
                </w:tcPr>
                <w:p w14:paraId="4761EBC1">
                  <w:pPr>
                    <w:pStyle w:val="83"/>
                    <w:rPr>
                      <w:rFonts w:hint="default"/>
                      <w:sz w:val="18"/>
                      <w:szCs w:val="18"/>
                    </w:rPr>
                  </w:pPr>
                </w:p>
              </w:tc>
              <w:tc>
                <w:tcPr>
                  <w:tcW w:w="253" w:type="pct"/>
                  <w:tcBorders>
                    <w:tl2br w:val="nil"/>
                    <w:tr2bl w:val="nil"/>
                  </w:tcBorders>
                  <w:vAlign w:val="center"/>
                </w:tcPr>
                <w:p w14:paraId="129E1AB1">
                  <w:pPr>
                    <w:pStyle w:val="83"/>
                    <w:rPr>
                      <w:rFonts w:hint="default"/>
                      <w:sz w:val="18"/>
                      <w:szCs w:val="18"/>
                    </w:rPr>
                  </w:pPr>
                  <w:r>
                    <w:rPr>
                      <w:sz w:val="18"/>
                      <w:szCs w:val="18"/>
                    </w:rPr>
                    <w:t>0.90</w:t>
                  </w:r>
                </w:p>
              </w:tc>
              <w:tc>
                <w:tcPr>
                  <w:tcW w:w="301" w:type="pct"/>
                  <w:tcBorders>
                    <w:tl2br w:val="nil"/>
                    <w:tr2bl w:val="nil"/>
                  </w:tcBorders>
                  <w:vAlign w:val="center"/>
                </w:tcPr>
                <w:p w14:paraId="5672A807">
                  <w:pPr>
                    <w:pStyle w:val="83"/>
                    <w:rPr>
                      <w:rFonts w:hint="default"/>
                      <w:sz w:val="18"/>
                      <w:szCs w:val="18"/>
                    </w:rPr>
                  </w:pPr>
                  <w:r>
                    <w:rPr>
                      <w:sz w:val="18"/>
                      <w:szCs w:val="18"/>
                    </w:rPr>
                    <w:t>0.10</w:t>
                  </w:r>
                </w:p>
              </w:tc>
              <w:tc>
                <w:tcPr>
                  <w:tcW w:w="322" w:type="pct"/>
                  <w:tcBorders>
                    <w:tl2br w:val="nil"/>
                    <w:tr2bl w:val="nil"/>
                  </w:tcBorders>
                  <w:vAlign w:val="center"/>
                </w:tcPr>
                <w:p w14:paraId="07A5096F">
                  <w:pPr>
                    <w:pStyle w:val="83"/>
                    <w:rPr>
                      <w:rFonts w:hint="default"/>
                      <w:sz w:val="18"/>
                      <w:szCs w:val="18"/>
                    </w:rPr>
                  </w:pPr>
                  <w:r>
                    <w:rPr>
                      <w:sz w:val="18"/>
                      <w:szCs w:val="18"/>
                    </w:rPr>
                    <w:t>9.52</w:t>
                  </w:r>
                </w:p>
              </w:tc>
              <w:tc>
                <w:tcPr>
                  <w:tcW w:w="214" w:type="pct"/>
                  <w:vMerge w:val="continue"/>
                  <w:tcBorders>
                    <w:tl2br w:val="nil"/>
                    <w:tr2bl w:val="nil"/>
                  </w:tcBorders>
                  <w:vAlign w:val="center"/>
                </w:tcPr>
                <w:p w14:paraId="6167A896">
                  <w:pPr>
                    <w:pStyle w:val="83"/>
                    <w:rPr>
                      <w:rFonts w:hint="default"/>
                      <w:sz w:val="18"/>
                      <w:szCs w:val="18"/>
                    </w:rPr>
                  </w:pPr>
                </w:p>
              </w:tc>
              <w:tc>
                <w:tcPr>
                  <w:tcW w:w="287" w:type="pct"/>
                  <w:vMerge w:val="continue"/>
                  <w:tcBorders>
                    <w:tl2br w:val="nil"/>
                    <w:tr2bl w:val="nil"/>
                  </w:tcBorders>
                  <w:vAlign w:val="center"/>
                </w:tcPr>
                <w:p w14:paraId="60BB6459">
                  <w:pPr>
                    <w:pStyle w:val="83"/>
                    <w:rPr>
                      <w:rFonts w:hint="default"/>
                      <w:sz w:val="18"/>
                      <w:szCs w:val="18"/>
                    </w:rPr>
                  </w:pPr>
                </w:p>
              </w:tc>
              <w:tc>
                <w:tcPr>
                  <w:tcW w:w="268" w:type="pct"/>
                  <w:vMerge w:val="continue"/>
                  <w:tcBorders>
                    <w:tl2br w:val="nil"/>
                    <w:tr2bl w:val="nil"/>
                  </w:tcBorders>
                  <w:vAlign w:val="center"/>
                </w:tcPr>
                <w:p w14:paraId="10058CB7">
                  <w:pPr>
                    <w:pStyle w:val="83"/>
                    <w:rPr>
                      <w:rFonts w:hint="default"/>
                      <w:sz w:val="18"/>
                      <w:szCs w:val="18"/>
                    </w:rPr>
                  </w:pPr>
                </w:p>
              </w:tc>
              <w:tc>
                <w:tcPr>
                  <w:tcW w:w="199" w:type="pct"/>
                  <w:vMerge w:val="continue"/>
                  <w:tcBorders>
                    <w:tl2br w:val="nil"/>
                    <w:tr2bl w:val="nil"/>
                  </w:tcBorders>
                  <w:vAlign w:val="center"/>
                </w:tcPr>
                <w:p w14:paraId="3FF40EEA">
                  <w:pPr>
                    <w:pStyle w:val="83"/>
                    <w:rPr>
                      <w:rFonts w:hint="default"/>
                      <w:sz w:val="18"/>
                      <w:szCs w:val="18"/>
                    </w:rPr>
                  </w:pPr>
                </w:p>
              </w:tc>
              <w:tc>
                <w:tcPr>
                  <w:tcW w:w="254" w:type="pct"/>
                  <w:tcBorders>
                    <w:tl2br w:val="nil"/>
                    <w:tr2bl w:val="nil"/>
                  </w:tcBorders>
                  <w:vAlign w:val="center"/>
                </w:tcPr>
                <w:p w14:paraId="10ECF6F6">
                  <w:pPr>
                    <w:pStyle w:val="83"/>
                    <w:rPr>
                      <w:rFonts w:hint="default"/>
                      <w:sz w:val="18"/>
                      <w:szCs w:val="18"/>
                    </w:rPr>
                  </w:pPr>
                  <w:r>
                    <w:rPr>
                      <w:sz w:val="18"/>
                      <w:szCs w:val="18"/>
                    </w:rPr>
                    <w:t>30</w:t>
                  </w:r>
                </w:p>
              </w:tc>
              <w:tc>
                <w:tcPr>
                  <w:tcW w:w="264" w:type="pct"/>
                  <w:tcBorders>
                    <w:tl2br w:val="nil"/>
                    <w:tr2bl w:val="nil"/>
                  </w:tcBorders>
                  <w:vAlign w:val="center"/>
                </w:tcPr>
                <w:p w14:paraId="6DCAE793">
                  <w:pPr>
                    <w:pStyle w:val="83"/>
                    <w:rPr>
                      <w:rFonts w:hint="default"/>
                      <w:sz w:val="18"/>
                      <w:szCs w:val="18"/>
                    </w:rPr>
                  </w:pPr>
                  <w:r>
                    <w:rPr>
                      <w:sz w:val="18"/>
                      <w:szCs w:val="18"/>
                    </w:rPr>
                    <w:t>0.57</w:t>
                  </w:r>
                </w:p>
              </w:tc>
              <w:tc>
                <w:tcPr>
                  <w:tcW w:w="295" w:type="pct"/>
                  <w:tcBorders>
                    <w:tl2br w:val="nil"/>
                    <w:tr2bl w:val="nil"/>
                  </w:tcBorders>
                  <w:vAlign w:val="center"/>
                </w:tcPr>
                <w:p w14:paraId="1C22D2B0">
                  <w:pPr>
                    <w:pStyle w:val="83"/>
                    <w:rPr>
                      <w:rFonts w:hint="default"/>
                      <w:sz w:val="18"/>
                      <w:szCs w:val="18"/>
                    </w:rPr>
                  </w:pPr>
                  <w:r>
                    <w:rPr>
                      <w:sz w:val="18"/>
                      <w:szCs w:val="18"/>
                    </w:rPr>
                    <w:t>0.065</w:t>
                  </w:r>
                </w:p>
              </w:tc>
              <w:tc>
                <w:tcPr>
                  <w:tcW w:w="313" w:type="pct"/>
                  <w:tcBorders>
                    <w:tl2br w:val="nil"/>
                    <w:tr2bl w:val="nil"/>
                  </w:tcBorders>
                  <w:vAlign w:val="center"/>
                </w:tcPr>
                <w:p w14:paraId="7EF96D25">
                  <w:pPr>
                    <w:pStyle w:val="83"/>
                    <w:rPr>
                      <w:rFonts w:hint="default"/>
                      <w:sz w:val="18"/>
                      <w:szCs w:val="18"/>
                    </w:rPr>
                  </w:pPr>
                  <w:r>
                    <w:rPr>
                      <w:sz w:val="18"/>
                      <w:szCs w:val="18"/>
                    </w:rPr>
                    <w:t>6</w:t>
                  </w:r>
                </w:p>
              </w:tc>
              <w:tc>
                <w:tcPr>
                  <w:tcW w:w="120" w:type="pct"/>
                  <w:vMerge w:val="continue"/>
                  <w:tcBorders>
                    <w:tl2br w:val="nil"/>
                    <w:tr2bl w:val="nil"/>
                  </w:tcBorders>
                  <w:vAlign w:val="center"/>
                </w:tcPr>
                <w:p w14:paraId="41DD2205">
                  <w:pPr>
                    <w:pStyle w:val="83"/>
                    <w:rPr>
                      <w:rFonts w:hint="default"/>
                      <w:sz w:val="18"/>
                      <w:szCs w:val="18"/>
                    </w:rPr>
                  </w:pPr>
                </w:p>
              </w:tc>
              <w:tc>
                <w:tcPr>
                  <w:tcW w:w="171" w:type="pct"/>
                  <w:vMerge w:val="continue"/>
                  <w:tcBorders>
                    <w:tl2br w:val="nil"/>
                    <w:tr2bl w:val="nil"/>
                  </w:tcBorders>
                  <w:vAlign w:val="center"/>
                </w:tcPr>
                <w:p w14:paraId="5B6F0423">
                  <w:pPr>
                    <w:pStyle w:val="83"/>
                    <w:rPr>
                      <w:rFonts w:hint="default"/>
                      <w:sz w:val="18"/>
                      <w:szCs w:val="18"/>
                    </w:rPr>
                  </w:pPr>
                </w:p>
              </w:tc>
              <w:tc>
                <w:tcPr>
                  <w:tcW w:w="152" w:type="pct"/>
                  <w:vMerge w:val="continue"/>
                  <w:tcBorders>
                    <w:tl2br w:val="nil"/>
                    <w:tr2bl w:val="nil"/>
                  </w:tcBorders>
                  <w:vAlign w:val="center"/>
                </w:tcPr>
                <w:p w14:paraId="4CFEA940">
                  <w:pPr>
                    <w:pStyle w:val="83"/>
                    <w:rPr>
                      <w:rFonts w:hint="default"/>
                      <w:sz w:val="18"/>
                      <w:szCs w:val="18"/>
                    </w:rPr>
                  </w:pPr>
                </w:p>
              </w:tc>
              <w:tc>
                <w:tcPr>
                  <w:tcW w:w="149" w:type="pct"/>
                  <w:vMerge w:val="continue"/>
                  <w:tcBorders>
                    <w:tl2br w:val="nil"/>
                    <w:tr2bl w:val="nil"/>
                  </w:tcBorders>
                  <w:vAlign w:val="center"/>
                </w:tcPr>
                <w:p w14:paraId="60AFE3B9">
                  <w:pPr>
                    <w:pStyle w:val="83"/>
                    <w:rPr>
                      <w:rFonts w:hint="default"/>
                      <w:sz w:val="18"/>
                      <w:szCs w:val="18"/>
                    </w:rPr>
                  </w:pPr>
                </w:p>
              </w:tc>
              <w:tc>
                <w:tcPr>
                  <w:tcW w:w="224" w:type="pct"/>
                  <w:vMerge w:val="continue"/>
                  <w:tcBorders>
                    <w:tl2br w:val="nil"/>
                    <w:tr2bl w:val="nil"/>
                  </w:tcBorders>
                  <w:vAlign w:val="center"/>
                </w:tcPr>
                <w:p w14:paraId="56C02A7D">
                  <w:pPr>
                    <w:pStyle w:val="83"/>
                    <w:rPr>
                      <w:rFonts w:hint="default"/>
                      <w:sz w:val="18"/>
                      <w:szCs w:val="18"/>
                    </w:rPr>
                  </w:pPr>
                </w:p>
              </w:tc>
              <w:tc>
                <w:tcPr>
                  <w:tcW w:w="189" w:type="pct"/>
                  <w:tcBorders>
                    <w:tl2br w:val="nil"/>
                    <w:tr2bl w:val="nil"/>
                  </w:tcBorders>
                  <w:vAlign w:val="center"/>
                </w:tcPr>
                <w:p w14:paraId="252AE809">
                  <w:pPr>
                    <w:pStyle w:val="83"/>
                    <w:rPr>
                      <w:rFonts w:hint="default"/>
                      <w:sz w:val="18"/>
                      <w:szCs w:val="18"/>
                    </w:rPr>
                  </w:pPr>
                  <w:r>
                    <w:rPr>
                      <w:sz w:val="18"/>
                      <w:szCs w:val="18"/>
                    </w:rPr>
                    <w:t>20</w:t>
                  </w:r>
                </w:p>
              </w:tc>
              <w:tc>
                <w:tcPr>
                  <w:tcW w:w="188" w:type="pct"/>
                  <w:tcBorders>
                    <w:tl2br w:val="nil"/>
                    <w:tr2bl w:val="nil"/>
                  </w:tcBorders>
                  <w:vAlign w:val="center"/>
                </w:tcPr>
                <w:p w14:paraId="7A1466F3">
                  <w:pPr>
                    <w:pStyle w:val="83"/>
                    <w:rPr>
                      <w:rFonts w:hint="default"/>
                      <w:sz w:val="18"/>
                      <w:szCs w:val="18"/>
                    </w:rPr>
                  </w:pPr>
                  <w:r>
                    <w:rPr>
                      <w:sz w:val="18"/>
                      <w:szCs w:val="18"/>
                    </w:rPr>
                    <w:t>是</w:t>
                  </w:r>
                </w:p>
              </w:tc>
            </w:tr>
            <w:tr w14:paraId="300C72E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restart"/>
                  <w:tcBorders>
                    <w:tl2br w:val="nil"/>
                    <w:tr2bl w:val="nil"/>
                  </w:tcBorders>
                  <w:vAlign w:val="center"/>
                </w:tcPr>
                <w:p w14:paraId="54B39D58">
                  <w:pPr>
                    <w:pStyle w:val="83"/>
                    <w:rPr>
                      <w:rFonts w:hint="default"/>
                      <w:sz w:val="18"/>
                      <w:szCs w:val="18"/>
                    </w:rPr>
                  </w:pPr>
                  <w:r>
                    <w:rPr>
                      <w:sz w:val="18"/>
                      <w:szCs w:val="18"/>
                    </w:rPr>
                    <w:t>纺丝上油工序</w:t>
                  </w:r>
                </w:p>
              </w:tc>
              <w:tc>
                <w:tcPr>
                  <w:tcW w:w="184" w:type="pct"/>
                  <w:vMerge w:val="restart"/>
                  <w:tcBorders>
                    <w:tl2br w:val="nil"/>
                    <w:tr2bl w:val="nil"/>
                  </w:tcBorders>
                  <w:vAlign w:val="center"/>
                </w:tcPr>
                <w:p w14:paraId="09A81C8D">
                  <w:pPr>
                    <w:pStyle w:val="83"/>
                    <w:rPr>
                      <w:rFonts w:hint="default"/>
                      <w:sz w:val="18"/>
                      <w:szCs w:val="18"/>
                    </w:rPr>
                  </w:pPr>
                  <w:r>
                    <w:rPr>
                      <w:sz w:val="18"/>
                      <w:szCs w:val="18"/>
                    </w:rPr>
                    <w:t>油剂废气</w:t>
                  </w:r>
                </w:p>
              </w:tc>
              <w:tc>
                <w:tcPr>
                  <w:tcW w:w="213" w:type="pct"/>
                  <w:tcBorders>
                    <w:tl2br w:val="nil"/>
                    <w:tr2bl w:val="nil"/>
                  </w:tcBorders>
                  <w:vAlign w:val="center"/>
                </w:tcPr>
                <w:p w14:paraId="115C1010">
                  <w:pPr>
                    <w:pStyle w:val="83"/>
                    <w:rPr>
                      <w:rFonts w:hint="default"/>
                      <w:sz w:val="18"/>
                      <w:szCs w:val="18"/>
                    </w:rPr>
                  </w:pPr>
                  <w:r>
                    <w:rPr>
                      <w:sz w:val="18"/>
                      <w:szCs w:val="18"/>
                    </w:rPr>
                    <w:t>非甲烷总烃</w:t>
                  </w:r>
                </w:p>
              </w:tc>
              <w:tc>
                <w:tcPr>
                  <w:tcW w:w="223" w:type="pct"/>
                  <w:vMerge w:val="restart"/>
                  <w:tcBorders>
                    <w:tl2br w:val="nil"/>
                    <w:tr2bl w:val="nil"/>
                  </w:tcBorders>
                  <w:vAlign w:val="center"/>
                </w:tcPr>
                <w:p w14:paraId="13E0EA31">
                  <w:pPr>
                    <w:pStyle w:val="83"/>
                    <w:rPr>
                      <w:rFonts w:hint="default"/>
                      <w:sz w:val="18"/>
                      <w:szCs w:val="18"/>
                    </w:rPr>
                  </w:pPr>
                  <w:r>
                    <w:rPr>
                      <w:sz w:val="18"/>
                      <w:szCs w:val="18"/>
                    </w:rPr>
                    <w:t>36000</w:t>
                  </w:r>
                </w:p>
              </w:tc>
              <w:tc>
                <w:tcPr>
                  <w:tcW w:w="253" w:type="pct"/>
                  <w:tcBorders>
                    <w:tl2br w:val="nil"/>
                    <w:tr2bl w:val="nil"/>
                  </w:tcBorders>
                  <w:vAlign w:val="center"/>
                </w:tcPr>
                <w:p w14:paraId="36850C01">
                  <w:pPr>
                    <w:pStyle w:val="83"/>
                    <w:rPr>
                      <w:rFonts w:hint="default"/>
                      <w:sz w:val="18"/>
                      <w:szCs w:val="18"/>
                    </w:rPr>
                  </w:pPr>
                  <w:r>
                    <w:rPr>
                      <w:sz w:val="18"/>
                      <w:szCs w:val="18"/>
                    </w:rPr>
                    <w:t>1.58</w:t>
                  </w:r>
                </w:p>
              </w:tc>
              <w:tc>
                <w:tcPr>
                  <w:tcW w:w="301" w:type="pct"/>
                  <w:tcBorders>
                    <w:tl2br w:val="nil"/>
                    <w:tr2bl w:val="nil"/>
                  </w:tcBorders>
                  <w:vAlign w:val="center"/>
                </w:tcPr>
                <w:p w14:paraId="292A50AA">
                  <w:pPr>
                    <w:pStyle w:val="83"/>
                    <w:rPr>
                      <w:rFonts w:hint="default"/>
                      <w:sz w:val="18"/>
                      <w:szCs w:val="18"/>
                    </w:rPr>
                  </w:pPr>
                  <w:r>
                    <w:rPr>
                      <w:sz w:val="18"/>
                      <w:szCs w:val="18"/>
                    </w:rPr>
                    <w:t>0.18</w:t>
                  </w:r>
                </w:p>
              </w:tc>
              <w:tc>
                <w:tcPr>
                  <w:tcW w:w="322" w:type="pct"/>
                  <w:tcBorders>
                    <w:tl2br w:val="nil"/>
                    <w:tr2bl w:val="nil"/>
                  </w:tcBorders>
                  <w:vAlign w:val="center"/>
                </w:tcPr>
                <w:p w14:paraId="57655C7A">
                  <w:pPr>
                    <w:pStyle w:val="83"/>
                    <w:rPr>
                      <w:rFonts w:hint="default"/>
                      <w:sz w:val="18"/>
                      <w:szCs w:val="18"/>
                    </w:rPr>
                  </w:pPr>
                  <w:r>
                    <w:rPr>
                      <w:sz w:val="18"/>
                      <w:szCs w:val="18"/>
                    </w:rPr>
                    <w:t>5</w:t>
                  </w:r>
                </w:p>
              </w:tc>
              <w:tc>
                <w:tcPr>
                  <w:tcW w:w="214" w:type="pct"/>
                  <w:vMerge w:val="restart"/>
                  <w:tcBorders>
                    <w:tl2br w:val="nil"/>
                    <w:tr2bl w:val="nil"/>
                  </w:tcBorders>
                  <w:vAlign w:val="center"/>
                </w:tcPr>
                <w:p w14:paraId="6699A28A">
                  <w:pPr>
                    <w:pStyle w:val="83"/>
                    <w:rPr>
                      <w:rFonts w:hint="default"/>
                      <w:sz w:val="18"/>
                      <w:szCs w:val="18"/>
                    </w:rPr>
                  </w:pPr>
                  <w:r>
                    <w:rPr>
                      <w:sz w:val="18"/>
                      <w:szCs w:val="18"/>
                    </w:rPr>
                    <w:t>有组织</w:t>
                  </w:r>
                </w:p>
              </w:tc>
              <w:tc>
                <w:tcPr>
                  <w:tcW w:w="287" w:type="pct"/>
                  <w:vMerge w:val="restart"/>
                  <w:tcBorders>
                    <w:tl2br w:val="nil"/>
                    <w:tr2bl w:val="nil"/>
                  </w:tcBorders>
                  <w:vAlign w:val="center"/>
                </w:tcPr>
                <w:p w14:paraId="2EFD6964">
                  <w:pPr>
                    <w:pStyle w:val="83"/>
                    <w:rPr>
                      <w:rFonts w:hint="default"/>
                      <w:sz w:val="18"/>
                      <w:szCs w:val="18"/>
                    </w:rPr>
                  </w:pPr>
                  <w:r>
                    <w:rPr>
                      <w:sz w:val="18"/>
                      <w:szCs w:val="18"/>
                    </w:rPr>
                    <w:t>高压静电吸附装置</w:t>
                  </w:r>
                </w:p>
              </w:tc>
              <w:tc>
                <w:tcPr>
                  <w:tcW w:w="268" w:type="pct"/>
                  <w:vMerge w:val="restart"/>
                  <w:tcBorders>
                    <w:tl2br w:val="nil"/>
                    <w:tr2bl w:val="nil"/>
                  </w:tcBorders>
                  <w:vAlign w:val="center"/>
                </w:tcPr>
                <w:p w14:paraId="4AC0F253">
                  <w:pPr>
                    <w:pStyle w:val="83"/>
                    <w:rPr>
                      <w:rFonts w:hint="default"/>
                      <w:sz w:val="18"/>
                      <w:szCs w:val="18"/>
                    </w:rPr>
                  </w:pPr>
                  <w:r>
                    <w:rPr>
                      <w:sz w:val="18"/>
                      <w:szCs w:val="18"/>
                    </w:rPr>
                    <w:t>密闭管道负压收集</w:t>
                  </w:r>
                </w:p>
              </w:tc>
              <w:tc>
                <w:tcPr>
                  <w:tcW w:w="199" w:type="pct"/>
                  <w:vMerge w:val="restart"/>
                  <w:tcBorders>
                    <w:tl2br w:val="nil"/>
                    <w:tr2bl w:val="nil"/>
                  </w:tcBorders>
                  <w:vAlign w:val="center"/>
                </w:tcPr>
                <w:p w14:paraId="671D418D">
                  <w:pPr>
                    <w:pStyle w:val="83"/>
                    <w:rPr>
                      <w:rFonts w:hint="default"/>
                      <w:sz w:val="18"/>
                      <w:szCs w:val="18"/>
                    </w:rPr>
                  </w:pPr>
                  <w:r>
                    <w:rPr>
                      <w:sz w:val="18"/>
                      <w:szCs w:val="18"/>
                    </w:rPr>
                    <w:t>95</w:t>
                  </w:r>
                </w:p>
              </w:tc>
              <w:tc>
                <w:tcPr>
                  <w:tcW w:w="254" w:type="pct"/>
                  <w:tcBorders>
                    <w:tl2br w:val="nil"/>
                    <w:tr2bl w:val="nil"/>
                  </w:tcBorders>
                  <w:vAlign w:val="center"/>
                </w:tcPr>
                <w:p w14:paraId="6868B189">
                  <w:pPr>
                    <w:pStyle w:val="83"/>
                    <w:rPr>
                      <w:rFonts w:hint="default"/>
                      <w:sz w:val="18"/>
                      <w:szCs w:val="18"/>
                    </w:rPr>
                  </w:pPr>
                  <w:r>
                    <w:rPr>
                      <w:sz w:val="18"/>
                      <w:szCs w:val="18"/>
                    </w:rPr>
                    <w:t>80</w:t>
                  </w:r>
                </w:p>
              </w:tc>
              <w:tc>
                <w:tcPr>
                  <w:tcW w:w="264" w:type="pct"/>
                  <w:tcBorders>
                    <w:tl2br w:val="nil"/>
                    <w:tr2bl w:val="nil"/>
                  </w:tcBorders>
                  <w:vAlign w:val="center"/>
                </w:tcPr>
                <w:p w14:paraId="136FC384">
                  <w:pPr>
                    <w:pStyle w:val="83"/>
                    <w:rPr>
                      <w:rFonts w:hint="default"/>
                      <w:sz w:val="18"/>
                      <w:szCs w:val="18"/>
                    </w:rPr>
                  </w:pPr>
                  <w:r>
                    <w:rPr>
                      <w:sz w:val="18"/>
                      <w:szCs w:val="18"/>
                    </w:rPr>
                    <w:t>0.30</w:t>
                  </w:r>
                </w:p>
              </w:tc>
              <w:tc>
                <w:tcPr>
                  <w:tcW w:w="295" w:type="pct"/>
                  <w:tcBorders>
                    <w:tl2br w:val="nil"/>
                    <w:tr2bl w:val="nil"/>
                  </w:tcBorders>
                  <w:vAlign w:val="center"/>
                </w:tcPr>
                <w:p w14:paraId="41AC6443">
                  <w:pPr>
                    <w:pStyle w:val="83"/>
                    <w:rPr>
                      <w:rFonts w:hint="default"/>
                      <w:sz w:val="18"/>
                      <w:szCs w:val="18"/>
                    </w:rPr>
                  </w:pPr>
                  <w:r>
                    <w:rPr>
                      <w:sz w:val="18"/>
                      <w:szCs w:val="18"/>
                    </w:rPr>
                    <w:t>0.034</w:t>
                  </w:r>
                </w:p>
              </w:tc>
              <w:tc>
                <w:tcPr>
                  <w:tcW w:w="313" w:type="pct"/>
                  <w:tcBorders>
                    <w:tl2br w:val="nil"/>
                    <w:tr2bl w:val="nil"/>
                  </w:tcBorders>
                  <w:vAlign w:val="center"/>
                </w:tcPr>
                <w:p w14:paraId="0D8F38DB">
                  <w:pPr>
                    <w:pStyle w:val="83"/>
                    <w:rPr>
                      <w:rFonts w:hint="default"/>
                      <w:sz w:val="18"/>
                      <w:szCs w:val="18"/>
                    </w:rPr>
                  </w:pPr>
                  <w:r>
                    <w:rPr>
                      <w:sz w:val="18"/>
                      <w:szCs w:val="18"/>
                    </w:rPr>
                    <w:t>0.95</w:t>
                  </w:r>
                </w:p>
              </w:tc>
              <w:tc>
                <w:tcPr>
                  <w:tcW w:w="120" w:type="pct"/>
                  <w:vMerge w:val="restart"/>
                  <w:tcBorders>
                    <w:tl2br w:val="nil"/>
                    <w:tr2bl w:val="nil"/>
                  </w:tcBorders>
                  <w:vAlign w:val="center"/>
                </w:tcPr>
                <w:p w14:paraId="4A84ED38">
                  <w:pPr>
                    <w:pStyle w:val="83"/>
                    <w:rPr>
                      <w:rFonts w:hint="default"/>
                      <w:sz w:val="18"/>
                      <w:szCs w:val="18"/>
                    </w:rPr>
                  </w:pPr>
                  <w:r>
                    <w:rPr>
                      <w:sz w:val="18"/>
                      <w:szCs w:val="18"/>
                    </w:rPr>
                    <w:t>P1</w:t>
                  </w:r>
                </w:p>
              </w:tc>
              <w:tc>
                <w:tcPr>
                  <w:tcW w:w="171" w:type="pct"/>
                  <w:vMerge w:val="restart"/>
                  <w:tcBorders>
                    <w:tl2br w:val="nil"/>
                    <w:tr2bl w:val="nil"/>
                  </w:tcBorders>
                  <w:vAlign w:val="center"/>
                </w:tcPr>
                <w:p w14:paraId="688D5801">
                  <w:pPr>
                    <w:pStyle w:val="83"/>
                    <w:rPr>
                      <w:rFonts w:hint="default"/>
                      <w:sz w:val="18"/>
                      <w:szCs w:val="18"/>
                    </w:rPr>
                  </w:pPr>
                  <w:r>
                    <w:rPr>
                      <w:sz w:val="18"/>
                      <w:szCs w:val="18"/>
                    </w:rPr>
                    <w:t>18</w:t>
                  </w:r>
                </w:p>
              </w:tc>
              <w:tc>
                <w:tcPr>
                  <w:tcW w:w="152" w:type="pct"/>
                  <w:vMerge w:val="restart"/>
                  <w:tcBorders>
                    <w:tl2br w:val="nil"/>
                    <w:tr2bl w:val="nil"/>
                  </w:tcBorders>
                  <w:vAlign w:val="center"/>
                </w:tcPr>
                <w:p w14:paraId="11761654">
                  <w:pPr>
                    <w:pStyle w:val="83"/>
                    <w:rPr>
                      <w:rFonts w:hint="default"/>
                      <w:sz w:val="18"/>
                      <w:szCs w:val="18"/>
                    </w:rPr>
                  </w:pPr>
                  <w:r>
                    <w:rPr>
                      <w:sz w:val="18"/>
                      <w:szCs w:val="18"/>
                    </w:rPr>
                    <w:t>0.7</w:t>
                  </w:r>
                </w:p>
              </w:tc>
              <w:tc>
                <w:tcPr>
                  <w:tcW w:w="149" w:type="pct"/>
                  <w:vMerge w:val="restart"/>
                  <w:tcBorders>
                    <w:tl2br w:val="nil"/>
                    <w:tr2bl w:val="nil"/>
                  </w:tcBorders>
                  <w:vAlign w:val="center"/>
                </w:tcPr>
                <w:p w14:paraId="7A434092">
                  <w:pPr>
                    <w:pStyle w:val="83"/>
                    <w:rPr>
                      <w:rFonts w:hint="default"/>
                      <w:sz w:val="18"/>
                      <w:szCs w:val="18"/>
                    </w:rPr>
                  </w:pPr>
                  <w:r>
                    <w:rPr>
                      <w:sz w:val="18"/>
                      <w:szCs w:val="18"/>
                    </w:rPr>
                    <w:t>35</w:t>
                  </w:r>
                </w:p>
              </w:tc>
              <w:tc>
                <w:tcPr>
                  <w:tcW w:w="224" w:type="pct"/>
                  <w:vMerge w:val="restart"/>
                  <w:tcBorders>
                    <w:tl2br w:val="nil"/>
                    <w:tr2bl w:val="nil"/>
                  </w:tcBorders>
                  <w:vAlign w:val="center"/>
                </w:tcPr>
                <w:p w14:paraId="011119C1">
                  <w:pPr>
                    <w:pStyle w:val="83"/>
                    <w:rPr>
                      <w:rFonts w:hint="default"/>
                      <w:sz w:val="18"/>
                      <w:szCs w:val="18"/>
                    </w:rPr>
                  </w:pPr>
                  <w:r>
                    <w:rPr>
                      <w:sz w:val="18"/>
                      <w:szCs w:val="18"/>
                    </w:rPr>
                    <w:t>8760</w:t>
                  </w:r>
                </w:p>
              </w:tc>
              <w:tc>
                <w:tcPr>
                  <w:tcW w:w="189" w:type="pct"/>
                  <w:tcBorders>
                    <w:tl2br w:val="nil"/>
                    <w:tr2bl w:val="nil"/>
                  </w:tcBorders>
                  <w:vAlign w:val="center"/>
                </w:tcPr>
                <w:p w14:paraId="0815A635">
                  <w:pPr>
                    <w:pStyle w:val="83"/>
                    <w:rPr>
                      <w:rFonts w:hint="default"/>
                      <w:sz w:val="18"/>
                      <w:szCs w:val="18"/>
                    </w:rPr>
                  </w:pPr>
                  <w:r>
                    <w:rPr>
                      <w:sz w:val="18"/>
                      <w:szCs w:val="18"/>
                    </w:rPr>
                    <w:t>60</w:t>
                  </w:r>
                </w:p>
              </w:tc>
              <w:tc>
                <w:tcPr>
                  <w:tcW w:w="188" w:type="pct"/>
                  <w:tcBorders>
                    <w:tl2br w:val="nil"/>
                    <w:tr2bl w:val="nil"/>
                  </w:tcBorders>
                  <w:vAlign w:val="center"/>
                </w:tcPr>
                <w:p w14:paraId="4195EF5C">
                  <w:pPr>
                    <w:pStyle w:val="83"/>
                    <w:rPr>
                      <w:rFonts w:hint="default"/>
                      <w:sz w:val="18"/>
                      <w:szCs w:val="18"/>
                    </w:rPr>
                  </w:pPr>
                  <w:r>
                    <w:rPr>
                      <w:sz w:val="18"/>
                      <w:szCs w:val="18"/>
                    </w:rPr>
                    <w:t>是</w:t>
                  </w:r>
                </w:p>
              </w:tc>
            </w:tr>
            <w:tr w14:paraId="7E6272E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continue"/>
                  <w:tcBorders>
                    <w:tl2br w:val="nil"/>
                    <w:tr2bl w:val="nil"/>
                  </w:tcBorders>
                  <w:vAlign w:val="center"/>
                </w:tcPr>
                <w:p w14:paraId="68A1CFCD">
                  <w:pPr>
                    <w:pStyle w:val="83"/>
                    <w:rPr>
                      <w:rFonts w:hint="default"/>
                      <w:sz w:val="18"/>
                      <w:szCs w:val="18"/>
                    </w:rPr>
                  </w:pPr>
                </w:p>
              </w:tc>
              <w:tc>
                <w:tcPr>
                  <w:tcW w:w="184" w:type="pct"/>
                  <w:vMerge w:val="continue"/>
                  <w:tcBorders>
                    <w:tl2br w:val="nil"/>
                    <w:tr2bl w:val="nil"/>
                  </w:tcBorders>
                  <w:vAlign w:val="center"/>
                </w:tcPr>
                <w:p w14:paraId="22ADE648">
                  <w:pPr>
                    <w:pStyle w:val="83"/>
                    <w:rPr>
                      <w:rFonts w:hint="default"/>
                      <w:sz w:val="18"/>
                      <w:szCs w:val="18"/>
                    </w:rPr>
                  </w:pPr>
                </w:p>
              </w:tc>
              <w:tc>
                <w:tcPr>
                  <w:tcW w:w="213" w:type="pct"/>
                  <w:tcBorders>
                    <w:tl2br w:val="nil"/>
                    <w:tr2bl w:val="nil"/>
                  </w:tcBorders>
                  <w:vAlign w:val="center"/>
                </w:tcPr>
                <w:p w14:paraId="046826D6">
                  <w:pPr>
                    <w:pStyle w:val="83"/>
                    <w:rPr>
                      <w:rFonts w:hint="default"/>
                      <w:sz w:val="18"/>
                      <w:szCs w:val="18"/>
                    </w:rPr>
                  </w:pPr>
                  <w:r>
                    <w:rPr>
                      <w:sz w:val="18"/>
                      <w:szCs w:val="18"/>
                    </w:rPr>
                    <w:t>颗粒物</w:t>
                  </w:r>
                </w:p>
              </w:tc>
              <w:tc>
                <w:tcPr>
                  <w:tcW w:w="223" w:type="pct"/>
                  <w:vMerge w:val="continue"/>
                  <w:tcBorders>
                    <w:tl2br w:val="nil"/>
                    <w:tr2bl w:val="nil"/>
                  </w:tcBorders>
                  <w:vAlign w:val="center"/>
                </w:tcPr>
                <w:p w14:paraId="2AA68894">
                  <w:pPr>
                    <w:pStyle w:val="83"/>
                    <w:rPr>
                      <w:rFonts w:hint="default"/>
                      <w:sz w:val="18"/>
                      <w:szCs w:val="18"/>
                    </w:rPr>
                  </w:pPr>
                </w:p>
              </w:tc>
              <w:tc>
                <w:tcPr>
                  <w:tcW w:w="253" w:type="pct"/>
                  <w:tcBorders>
                    <w:tl2br w:val="nil"/>
                    <w:tr2bl w:val="nil"/>
                  </w:tcBorders>
                  <w:vAlign w:val="center"/>
                </w:tcPr>
                <w:p w14:paraId="51D26F61">
                  <w:pPr>
                    <w:pStyle w:val="83"/>
                    <w:rPr>
                      <w:rFonts w:hint="default"/>
                      <w:sz w:val="18"/>
                      <w:szCs w:val="18"/>
                    </w:rPr>
                  </w:pPr>
                  <w:r>
                    <w:rPr>
                      <w:sz w:val="18"/>
                      <w:szCs w:val="18"/>
                    </w:rPr>
                    <w:t>6.31</w:t>
                  </w:r>
                </w:p>
              </w:tc>
              <w:tc>
                <w:tcPr>
                  <w:tcW w:w="301" w:type="pct"/>
                  <w:tcBorders>
                    <w:tl2br w:val="nil"/>
                    <w:tr2bl w:val="nil"/>
                  </w:tcBorders>
                  <w:vAlign w:val="center"/>
                </w:tcPr>
                <w:p w14:paraId="1107BF5F">
                  <w:pPr>
                    <w:pStyle w:val="83"/>
                    <w:rPr>
                      <w:rFonts w:hint="default"/>
                      <w:sz w:val="18"/>
                      <w:szCs w:val="18"/>
                    </w:rPr>
                  </w:pPr>
                  <w:r>
                    <w:rPr>
                      <w:sz w:val="18"/>
                      <w:szCs w:val="18"/>
                    </w:rPr>
                    <w:t>0.72</w:t>
                  </w:r>
                </w:p>
              </w:tc>
              <w:tc>
                <w:tcPr>
                  <w:tcW w:w="322" w:type="pct"/>
                  <w:tcBorders>
                    <w:tl2br w:val="nil"/>
                    <w:tr2bl w:val="nil"/>
                  </w:tcBorders>
                  <w:vAlign w:val="center"/>
                </w:tcPr>
                <w:p w14:paraId="71455EE6">
                  <w:pPr>
                    <w:pStyle w:val="83"/>
                    <w:rPr>
                      <w:rFonts w:hint="default"/>
                      <w:sz w:val="18"/>
                      <w:szCs w:val="18"/>
                    </w:rPr>
                  </w:pPr>
                  <w:r>
                    <w:rPr>
                      <w:sz w:val="18"/>
                      <w:szCs w:val="18"/>
                    </w:rPr>
                    <w:t>20</w:t>
                  </w:r>
                </w:p>
              </w:tc>
              <w:tc>
                <w:tcPr>
                  <w:tcW w:w="214" w:type="pct"/>
                  <w:vMerge w:val="continue"/>
                  <w:tcBorders>
                    <w:tl2br w:val="nil"/>
                    <w:tr2bl w:val="nil"/>
                  </w:tcBorders>
                  <w:vAlign w:val="center"/>
                </w:tcPr>
                <w:p w14:paraId="0D569106">
                  <w:pPr>
                    <w:pStyle w:val="83"/>
                    <w:rPr>
                      <w:rFonts w:hint="default"/>
                      <w:sz w:val="18"/>
                      <w:szCs w:val="18"/>
                    </w:rPr>
                  </w:pPr>
                </w:p>
              </w:tc>
              <w:tc>
                <w:tcPr>
                  <w:tcW w:w="287" w:type="pct"/>
                  <w:vMerge w:val="continue"/>
                  <w:tcBorders>
                    <w:tl2br w:val="nil"/>
                    <w:tr2bl w:val="nil"/>
                  </w:tcBorders>
                  <w:vAlign w:val="center"/>
                </w:tcPr>
                <w:p w14:paraId="4D064335">
                  <w:pPr>
                    <w:pStyle w:val="83"/>
                    <w:rPr>
                      <w:rFonts w:hint="default"/>
                      <w:sz w:val="18"/>
                      <w:szCs w:val="18"/>
                    </w:rPr>
                  </w:pPr>
                </w:p>
              </w:tc>
              <w:tc>
                <w:tcPr>
                  <w:tcW w:w="268" w:type="pct"/>
                  <w:vMerge w:val="continue"/>
                  <w:tcBorders>
                    <w:tl2br w:val="nil"/>
                    <w:tr2bl w:val="nil"/>
                  </w:tcBorders>
                  <w:vAlign w:val="center"/>
                </w:tcPr>
                <w:p w14:paraId="044D32A8">
                  <w:pPr>
                    <w:pStyle w:val="83"/>
                    <w:rPr>
                      <w:rFonts w:hint="default"/>
                      <w:sz w:val="18"/>
                      <w:szCs w:val="18"/>
                    </w:rPr>
                  </w:pPr>
                </w:p>
              </w:tc>
              <w:tc>
                <w:tcPr>
                  <w:tcW w:w="199" w:type="pct"/>
                  <w:vMerge w:val="continue"/>
                  <w:tcBorders>
                    <w:tl2br w:val="nil"/>
                    <w:tr2bl w:val="nil"/>
                  </w:tcBorders>
                  <w:vAlign w:val="center"/>
                </w:tcPr>
                <w:p w14:paraId="209D07D0">
                  <w:pPr>
                    <w:pStyle w:val="83"/>
                    <w:rPr>
                      <w:rFonts w:hint="default"/>
                      <w:sz w:val="18"/>
                      <w:szCs w:val="18"/>
                    </w:rPr>
                  </w:pPr>
                </w:p>
              </w:tc>
              <w:tc>
                <w:tcPr>
                  <w:tcW w:w="254" w:type="pct"/>
                  <w:tcBorders>
                    <w:tl2br w:val="nil"/>
                    <w:tr2bl w:val="nil"/>
                  </w:tcBorders>
                  <w:vAlign w:val="center"/>
                </w:tcPr>
                <w:p w14:paraId="4341738E">
                  <w:pPr>
                    <w:pStyle w:val="83"/>
                    <w:rPr>
                      <w:rFonts w:hint="default"/>
                      <w:sz w:val="18"/>
                      <w:szCs w:val="18"/>
                    </w:rPr>
                  </w:pPr>
                  <w:r>
                    <w:rPr>
                      <w:sz w:val="18"/>
                      <w:szCs w:val="18"/>
                    </w:rPr>
                    <w:t>80</w:t>
                  </w:r>
                </w:p>
              </w:tc>
              <w:tc>
                <w:tcPr>
                  <w:tcW w:w="264" w:type="pct"/>
                  <w:tcBorders>
                    <w:tl2br w:val="nil"/>
                    <w:tr2bl w:val="nil"/>
                  </w:tcBorders>
                  <w:vAlign w:val="center"/>
                </w:tcPr>
                <w:p w14:paraId="40FAE2E1">
                  <w:pPr>
                    <w:pStyle w:val="83"/>
                    <w:rPr>
                      <w:rFonts w:hint="default"/>
                      <w:sz w:val="18"/>
                      <w:szCs w:val="18"/>
                    </w:rPr>
                  </w:pPr>
                  <w:r>
                    <w:rPr>
                      <w:sz w:val="18"/>
                      <w:szCs w:val="18"/>
                    </w:rPr>
                    <w:t>1.20</w:t>
                  </w:r>
                </w:p>
              </w:tc>
              <w:tc>
                <w:tcPr>
                  <w:tcW w:w="295" w:type="pct"/>
                  <w:tcBorders>
                    <w:tl2br w:val="nil"/>
                    <w:tr2bl w:val="nil"/>
                  </w:tcBorders>
                  <w:vAlign w:val="center"/>
                </w:tcPr>
                <w:p w14:paraId="73DEB8D6">
                  <w:pPr>
                    <w:pStyle w:val="83"/>
                    <w:rPr>
                      <w:rFonts w:hint="default"/>
                      <w:sz w:val="18"/>
                      <w:szCs w:val="18"/>
                    </w:rPr>
                  </w:pPr>
                  <w:r>
                    <w:rPr>
                      <w:sz w:val="18"/>
                      <w:szCs w:val="18"/>
                    </w:rPr>
                    <w:t>0.137</w:t>
                  </w:r>
                </w:p>
              </w:tc>
              <w:tc>
                <w:tcPr>
                  <w:tcW w:w="313" w:type="pct"/>
                  <w:tcBorders>
                    <w:tl2br w:val="nil"/>
                    <w:tr2bl w:val="nil"/>
                  </w:tcBorders>
                  <w:vAlign w:val="center"/>
                </w:tcPr>
                <w:p w14:paraId="4265E78C">
                  <w:pPr>
                    <w:pStyle w:val="83"/>
                    <w:rPr>
                      <w:rFonts w:hint="default"/>
                      <w:sz w:val="18"/>
                      <w:szCs w:val="18"/>
                    </w:rPr>
                  </w:pPr>
                  <w:r>
                    <w:rPr>
                      <w:sz w:val="18"/>
                      <w:szCs w:val="18"/>
                    </w:rPr>
                    <w:t>3.8</w:t>
                  </w:r>
                </w:p>
              </w:tc>
              <w:tc>
                <w:tcPr>
                  <w:tcW w:w="120" w:type="pct"/>
                  <w:vMerge w:val="continue"/>
                  <w:tcBorders>
                    <w:tl2br w:val="nil"/>
                    <w:tr2bl w:val="nil"/>
                  </w:tcBorders>
                  <w:vAlign w:val="center"/>
                </w:tcPr>
                <w:p w14:paraId="5A70BECC">
                  <w:pPr>
                    <w:pStyle w:val="83"/>
                    <w:rPr>
                      <w:rFonts w:hint="default"/>
                      <w:sz w:val="18"/>
                      <w:szCs w:val="18"/>
                    </w:rPr>
                  </w:pPr>
                </w:p>
              </w:tc>
              <w:tc>
                <w:tcPr>
                  <w:tcW w:w="171" w:type="pct"/>
                  <w:vMerge w:val="continue"/>
                  <w:tcBorders>
                    <w:tl2br w:val="nil"/>
                    <w:tr2bl w:val="nil"/>
                  </w:tcBorders>
                  <w:vAlign w:val="center"/>
                </w:tcPr>
                <w:p w14:paraId="32548941">
                  <w:pPr>
                    <w:pStyle w:val="83"/>
                    <w:rPr>
                      <w:rFonts w:hint="default"/>
                      <w:sz w:val="18"/>
                      <w:szCs w:val="18"/>
                    </w:rPr>
                  </w:pPr>
                </w:p>
              </w:tc>
              <w:tc>
                <w:tcPr>
                  <w:tcW w:w="152" w:type="pct"/>
                  <w:vMerge w:val="continue"/>
                  <w:tcBorders>
                    <w:tl2br w:val="nil"/>
                    <w:tr2bl w:val="nil"/>
                  </w:tcBorders>
                  <w:vAlign w:val="center"/>
                </w:tcPr>
                <w:p w14:paraId="702240BA">
                  <w:pPr>
                    <w:pStyle w:val="83"/>
                    <w:rPr>
                      <w:rFonts w:hint="default"/>
                      <w:sz w:val="18"/>
                      <w:szCs w:val="18"/>
                    </w:rPr>
                  </w:pPr>
                </w:p>
              </w:tc>
              <w:tc>
                <w:tcPr>
                  <w:tcW w:w="149" w:type="pct"/>
                  <w:vMerge w:val="continue"/>
                  <w:tcBorders>
                    <w:tl2br w:val="nil"/>
                    <w:tr2bl w:val="nil"/>
                  </w:tcBorders>
                  <w:vAlign w:val="center"/>
                </w:tcPr>
                <w:p w14:paraId="6D1A0FA9">
                  <w:pPr>
                    <w:pStyle w:val="83"/>
                    <w:rPr>
                      <w:rFonts w:hint="default"/>
                      <w:sz w:val="18"/>
                      <w:szCs w:val="18"/>
                    </w:rPr>
                  </w:pPr>
                </w:p>
              </w:tc>
              <w:tc>
                <w:tcPr>
                  <w:tcW w:w="224" w:type="pct"/>
                  <w:vMerge w:val="continue"/>
                  <w:tcBorders>
                    <w:tl2br w:val="nil"/>
                    <w:tr2bl w:val="nil"/>
                  </w:tcBorders>
                  <w:vAlign w:val="center"/>
                </w:tcPr>
                <w:p w14:paraId="1BD7BC69">
                  <w:pPr>
                    <w:pStyle w:val="83"/>
                    <w:rPr>
                      <w:rFonts w:hint="default"/>
                      <w:sz w:val="18"/>
                      <w:szCs w:val="18"/>
                    </w:rPr>
                  </w:pPr>
                </w:p>
              </w:tc>
              <w:tc>
                <w:tcPr>
                  <w:tcW w:w="189" w:type="pct"/>
                  <w:tcBorders>
                    <w:tl2br w:val="nil"/>
                    <w:tr2bl w:val="nil"/>
                  </w:tcBorders>
                  <w:vAlign w:val="center"/>
                </w:tcPr>
                <w:p w14:paraId="3E63BEEB">
                  <w:pPr>
                    <w:pStyle w:val="83"/>
                    <w:rPr>
                      <w:rFonts w:hint="default"/>
                      <w:sz w:val="18"/>
                      <w:szCs w:val="18"/>
                    </w:rPr>
                  </w:pPr>
                  <w:r>
                    <w:rPr>
                      <w:sz w:val="18"/>
                      <w:szCs w:val="18"/>
                    </w:rPr>
                    <w:t>20</w:t>
                  </w:r>
                </w:p>
              </w:tc>
              <w:tc>
                <w:tcPr>
                  <w:tcW w:w="188" w:type="pct"/>
                  <w:tcBorders>
                    <w:tl2br w:val="nil"/>
                    <w:tr2bl w:val="nil"/>
                  </w:tcBorders>
                  <w:vAlign w:val="center"/>
                </w:tcPr>
                <w:p w14:paraId="13A00EBF">
                  <w:pPr>
                    <w:pStyle w:val="83"/>
                    <w:rPr>
                      <w:rFonts w:hint="default"/>
                      <w:sz w:val="18"/>
                      <w:szCs w:val="18"/>
                    </w:rPr>
                  </w:pPr>
                  <w:r>
                    <w:rPr>
                      <w:sz w:val="18"/>
                      <w:szCs w:val="18"/>
                    </w:rPr>
                    <w:t>是</w:t>
                  </w:r>
                </w:p>
              </w:tc>
            </w:tr>
            <w:tr w14:paraId="7C3278D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tcBorders>
                    <w:tl2br w:val="nil"/>
                    <w:tr2bl w:val="nil"/>
                  </w:tcBorders>
                  <w:vAlign w:val="center"/>
                </w:tcPr>
                <w:p w14:paraId="21DEE6A1">
                  <w:pPr>
                    <w:pStyle w:val="83"/>
                    <w:rPr>
                      <w:rFonts w:hint="default"/>
                      <w:sz w:val="18"/>
                      <w:szCs w:val="18"/>
                    </w:rPr>
                  </w:pPr>
                  <w:r>
                    <w:rPr>
                      <w:sz w:val="18"/>
                      <w:szCs w:val="18"/>
                    </w:rPr>
                    <w:t>组件清洗工序</w:t>
                  </w:r>
                </w:p>
              </w:tc>
              <w:tc>
                <w:tcPr>
                  <w:tcW w:w="184" w:type="pct"/>
                  <w:tcBorders>
                    <w:tl2br w:val="nil"/>
                    <w:tr2bl w:val="nil"/>
                  </w:tcBorders>
                  <w:vAlign w:val="center"/>
                </w:tcPr>
                <w:p w14:paraId="7F4278BD">
                  <w:pPr>
                    <w:pStyle w:val="83"/>
                    <w:rPr>
                      <w:rFonts w:hint="default"/>
                      <w:sz w:val="18"/>
                      <w:szCs w:val="18"/>
                    </w:rPr>
                  </w:pPr>
                  <w:r>
                    <w:rPr>
                      <w:sz w:val="18"/>
                      <w:szCs w:val="18"/>
                    </w:rPr>
                    <w:t>煅烧废气</w:t>
                  </w:r>
                </w:p>
              </w:tc>
              <w:tc>
                <w:tcPr>
                  <w:tcW w:w="213" w:type="pct"/>
                  <w:tcBorders>
                    <w:tl2br w:val="nil"/>
                    <w:tr2bl w:val="nil"/>
                  </w:tcBorders>
                  <w:vAlign w:val="center"/>
                </w:tcPr>
                <w:p w14:paraId="341EEB17">
                  <w:pPr>
                    <w:pStyle w:val="83"/>
                    <w:rPr>
                      <w:rFonts w:hint="default"/>
                      <w:sz w:val="18"/>
                      <w:szCs w:val="18"/>
                    </w:rPr>
                  </w:pPr>
                  <w:r>
                    <w:rPr>
                      <w:sz w:val="18"/>
                      <w:szCs w:val="18"/>
                    </w:rPr>
                    <w:t>非甲烷总烃</w:t>
                  </w:r>
                </w:p>
              </w:tc>
              <w:tc>
                <w:tcPr>
                  <w:tcW w:w="223" w:type="pct"/>
                  <w:tcBorders>
                    <w:tl2br w:val="nil"/>
                    <w:tr2bl w:val="nil"/>
                  </w:tcBorders>
                  <w:vAlign w:val="center"/>
                </w:tcPr>
                <w:p w14:paraId="212D91B9">
                  <w:pPr>
                    <w:pStyle w:val="83"/>
                    <w:rPr>
                      <w:rFonts w:hint="default"/>
                      <w:sz w:val="18"/>
                      <w:szCs w:val="18"/>
                    </w:rPr>
                  </w:pPr>
                  <w:r>
                    <w:rPr>
                      <w:sz w:val="18"/>
                      <w:szCs w:val="18"/>
                    </w:rPr>
                    <w:t>36000</w:t>
                  </w:r>
                </w:p>
              </w:tc>
              <w:tc>
                <w:tcPr>
                  <w:tcW w:w="253" w:type="pct"/>
                  <w:tcBorders>
                    <w:tl2br w:val="nil"/>
                    <w:tr2bl w:val="nil"/>
                  </w:tcBorders>
                  <w:vAlign w:val="center"/>
                </w:tcPr>
                <w:p w14:paraId="6C3C1ACE">
                  <w:pPr>
                    <w:pStyle w:val="83"/>
                    <w:rPr>
                      <w:rFonts w:hint="default"/>
                      <w:sz w:val="18"/>
                      <w:szCs w:val="18"/>
                    </w:rPr>
                  </w:pPr>
                  <w:r>
                    <w:rPr>
                      <w:sz w:val="18"/>
                      <w:szCs w:val="18"/>
                    </w:rPr>
                    <w:t>0.49</w:t>
                  </w:r>
                </w:p>
              </w:tc>
              <w:tc>
                <w:tcPr>
                  <w:tcW w:w="301" w:type="pct"/>
                  <w:tcBorders>
                    <w:tl2br w:val="nil"/>
                    <w:tr2bl w:val="nil"/>
                  </w:tcBorders>
                  <w:vAlign w:val="center"/>
                </w:tcPr>
                <w:p w14:paraId="58DD3E4E">
                  <w:pPr>
                    <w:pStyle w:val="83"/>
                    <w:rPr>
                      <w:rFonts w:hint="default"/>
                      <w:sz w:val="18"/>
                      <w:szCs w:val="18"/>
                    </w:rPr>
                  </w:pPr>
                  <w:r>
                    <w:rPr>
                      <w:sz w:val="18"/>
                      <w:szCs w:val="18"/>
                    </w:rPr>
                    <w:t>0.3</w:t>
                  </w:r>
                </w:p>
              </w:tc>
              <w:tc>
                <w:tcPr>
                  <w:tcW w:w="322" w:type="pct"/>
                  <w:tcBorders>
                    <w:tl2br w:val="nil"/>
                    <w:tr2bl w:val="nil"/>
                  </w:tcBorders>
                  <w:vAlign w:val="center"/>
                </w:tcPr>
                <w:p w14:paraId="3AAC1EB6">
                  <w:pPr>
                    <w:pStyle w:val="83"/>
                    <w:rPr>
                      <w:rFonts w:hint="default"/>
                      <w:sz w:val="18"/>
                      <w:szCs w:val="18"/>
                    </w:rPr>
                  </w:pPr>
                  <w:r>
                    <w:rPr>
                      <w:sz w:val="18"/>
                      <w:szCs w:val="18"/>
                    </w:rPr>
                    <w:t>7.89</w:t>
                  </w:r>
                </w:p>
              </w:tc>
              <w:tc>
                <w:tcPr>
                  <w:tcW w:w="214" w:type="pct"/>
                  <w:tcBorders>
                    <w:tl2br w:val="nil"/>
                    <w:tr2bl w:val="nil"/>
                  </w:tcBorders>
                  <w:vAlign w:val="center"/>
                </w:tcPr>
                <w:p w14:paraId="782306ED">
                  <w:pPr>
                    <w:pStyle w:val="83"/>
                    <w:rPr>
                      <w:rFonts w:hint="default"/>
                      <w:sz w:val="18"/>
                      <w:szCs w:val="18"/>
                    </w:rPr>
                  </w:pPr>
                  <w:r>
                    <w:rPr>
                      <w:sz w:val="18"/>
                      <w:szCs w:val="18"/>
                    </w:rPr>
                    <w:t>有组织</w:t>
                  </w:r>
                </w:p>
              </w:tc>
              <w:tc>
                <w:tcPr>
                  <w:tcW w:w="287" w:type="pct"/>
                  <w:tcBorders>
                    <w:tl2br w:val="nil"/>
                    <w:tr2bl w:val="nil"/>
                  </w:tcBorders>
                  <w:vAlign w:val="center"/>
                </w:tcPr>
                <w:p w14:paraId="72CDB7FE">
                  <w:pPr>
                    <w:pStyle w:val="83"/>
                    <w:rPr>
                      <w:rFonts w:hint="default"/>
                      <w:sz w:val="18"/>
                      <w:szCs w:val="18"/>
                    </w:rPr>
                  </w:pPr>
                  <w:r>
                    <w:rPr>
                      <w:sz w:val="18"/>
                      <w:szCs w:val="18"/>
                    </w:rPr>
                    <w:t>高压静电吸附装置</w:t>
                  </w:r>
                </w:p>
              </w:tc>
              <w:tc>
                <w:tcPr>
                  <w:tcW w:w="268" w:type="pct"/>
                  <w:tcBorders>
                    <w:tl2br w:val="nil"/>
                    <w:tr2bl w:val="nil"/>
                  </w:tcBorders>
                  <w:vAlign w:val="center"/>
                </w:tcPr>
                <w:p w14:paraId="59187BE4">
                  <w:pPr>
                    <w:pStyle w:val="83"/>
                    <w:rPr>
                      <w:rFonts w:hint="default"/>
                      <w:sz w:val="18"/>
                      <w:szCs w:val="18"/>
                    </w:rPr>
                  </w:pPr>
                  <w:r>
                    <w:rPr>
                      <w:sz w:val="18"/>
                      <w:szCs w:val="18"/>
                    </w:rPr>
                    <w:t>密闭管道负压收集</w:t>
                  </w:r>
                </w:p>
              </w:tc>
              <w:tc>
                <w:tcPr>
                  <w:tcW w:w="199" w:type="pct"/>
                  <w:tcBorders>
                    <w:tl2br w:val="nil"/>
                    <w:tr2bl w:val="nil"/>
                  </w:tcBorders>
                  <w:vAlign w:val="center"/>
                </w:tcPr>
                <w:p w14:paraId="1B55B3F8">
                  <w:pPr>
                    <w:pStyle w:val="83"/>
                    <w:rPr>
                      <w:rFonts w:hint="default"/>
                      <w:sz w:val="18"/>
                      <w:szCs w:val="18"/>
                    </w:rPr>
                  </w:pPr>
                  <w:r>
                    <w:rPr>
                      <w:sz w:val="18"/>
                      <w:szCs w:val="18"/>
                    </w:rPr>
                    <w:t>95</w:t>
                  </w:r>
                </w:p>
              </w:tc>
              <w:tc>
                <w:tcPr>
                  <w:tcW w:w="254" w:type="pct"/>
                  <w:tcBorders>
                    <w:tl2br w:val="nil"/>
                    <w:tr2bl w:val="nil"/>
                  </w:tcBorders>
                  <w:vAlign w:val="center"/>
                </w:tcPr>
                <w:p w14:paraId="41E5F847">
                  <w:pPr>
                    <w:pStyle w:val="83"/>
                    <w:rPr>
                      <w:rFonts w:hint="default"/>
                      <w:sz w:val="18"/>
                      <w:szCs w:val="18"/>
                    </w:rPr>
                  </w:pPr>
                  <w:r>
                    <w:rPr>
                      <w:sz w:val="18"/>
                      <w:szCs w:val="18"/>
                    </w:rPr>
                    <w:t>80</w:t>
                  </w:r>
                </w:p>
              </w:tc>
              <w:tc>
                <w:tcPr>
                  <w:tcW w:w="264" w:type="pct"/>
                  <w:tcBorders>
                    <w:tl2br w:val="nil"/>
                    <w:tr2bl w:val="nil"/>
                  </w:tcBorders>
                  <w:vAlign w:val="center"/>
                </w:tcPr>
                <w:p w14:paraId="2E7284B3">
                  <w:pPr>
                    <w:pStyle w:val="83"/>
                    <w:rPr>
                      <w:rFonts w:hint="default"/>
                      <w:sz w:val="18"/>
                      <w:szCs w:val="18"/>
                    </w:rPr>
                  </w:pPr>
                  <w:r>
                    <w:rPr>
                      <w:sz w:val="18"/>
                      <w:szCs w:val="18"/>
                    </w:rPr>
                    <w:t>0.093</w:t>
                  </w:r>
                </w:p>
              </w:tc>
              <w:tc>
                <w:tcPr>
                  <w:tcW w:w="295" w:type="pct"/>
                  <w:tcBorders>
                    <w:tl2br w:val="nil"/>
                    <w:tr2bl w:val="nil"/>
                  </w:tcBorders>
                  <w:vAlign w:val="center"/>
                </w:tcPr>
                <w:p w14:paraId="7A5996BF">
                  <w:pPr>
                    <w:pStyle w:val="83"/>
                    <w:rPr>
                      <w:rFonts w:hint="default"/>
                      <w:sz w:val="18"/>
                      <w:szCs w:val="18"/>
                    </w:rPr>
                  </w:pPr>
                  <w:r>
                    <w:rPr>
                      <w:sz w:val="18"/>
                      <w:szCs w:val="18"/>
                    </w:rPr>
                    <w:t>0.054</w:t>
                  </w:r>
                </w:p>
              </w:tc>
              <w:tc>
                <w:tcPr>
                  <w:tcW w:w="313" w:type="pct"/>
                  <w:tcBorders>
                    <w:tl2br w:val="nil"/>
                    <w:tr2bl w:val="nil"/>
                  </w:tcBorders>
                  <w:vAlign w:val="center"/>
                </w:tcPr>
                <w:p w14:paraId="59F927C7">
                  <w:pPr>
                    <w:pStyle w:val="83"/>
                    <w:rPr>
                      <w:rFonts w:hint="default"/>
                      <w:sz w:val="18"/>
                      <w:szCs w:val="18"/>
                    </w:rPr>
                  </w:pPr>
                  <w:r>
                    <w:rPr>
                      <w:sz w:val="18"/>
                      <w:szCs w:val="18"/>
                    </w:rPr>
                    <w:t>1.5</w:t>
                  </w:r>
                </w:p>
              </w:tc>
              <w:tc>
                <w:tcPr>
                  <w:tcW w:w="120" w:type="pct"/>
                  <w:tcBorders>
                    <w:tl2br w:val="nil"/>
                    <w:tr2bl w:val="nil"/>
                  </w:tcBorders>
                  <w:vAlign w:val="center"/>
                </w:tcPr>
                <w:p w14:paraId="4677EA04">
                  <w:pPr>
                    <w:pStyle w:val="83"/>
                    <w:rPr>
                      <w:rFonts w:hint="default"/>
                      <w:sz w:val="18"/>
                      <w:szCs w:val="18"/>
                    </w:rPr>
                  </w:pPr>
                  <w:r>
                    <w:rPr>
                      <w:sz w:val="18"/>
                      <w:szCs w:val="18"/>
                    </w:rPr>
                    <w:t>P3</w:t>
                  </w:r>
                </w:p>
              </w:tc>
              <w:tc>
                <w:tcPr>
                  <w:tcW w:w="171" w:type="pct"/>
                  <w:tcBorders>
                    <w:tl2br w:val="nil"/>
                    <w:tr2bl w:val="nil"/>
                  </w:tcBorders>
                  <w:vAlign w:val="center"/>
                </w:tcPr>
                <w:p w14:paraId="01596470">
                  <w:pPr>
                    <w:pStyle w:val="83"/>
                    <w:rPr>
                      <w:rFonts w:hint="default"/>
                      <w:sz w:val="18"/>
                      <w:szCs w:val="18"/>
                    </w:rPr>
                  </w:pPr>
                  <w:r>
                    <w:rPr>
                      <w:sz w:val="18"/>
                      <w:szCs w:val="18"/>
                    </w:rPr>
                    <w:t>18</w:t>
                  </w:r>
                </w:p>
              </w:tc>
              <w:tc>
                <w:tcPr>
                  <w:tcW w:w="152" w:type="pct"/>
                  <w:tcBorders>
                    <w:tl2br w:val="nil"/>
                    <w:tr2bl w:val="nil"/>
                  </w:tcBorders>
                  <w:vAlign w:val="center"/>
                </w:tcPr>
                <w:p w14:paraId="5D6ECD04">
                  <w:pPr>
                    <w:pStyle w:val="83"/>
                    <w:rPr>
                      <w:rFonts w:hint="default"/>
                      <w:sz w:val="18"/>
                      <w:szCs w:val="18"/>
                    </w:rPr>
                  </w:pPr>
                  <w:r>
                    <w:rPr>
                      <w:sz w:val="18"/>
                      <w:szCs w:val="18"/>
                    </w:rPr>
                    <w:t>0.3</w:t>
                  </w:r>
                </w:p>
              </w:tc>
              <w:tc>
                <w:tcPr>
                  <w:tcW w:w="149" w:type="pct"/>
                  <w:tcBorders>
                    <w:tl2br w:val="nil"/>
                    <w:tr2bl w:val="nil"/>
                  </w:tcBorders>
                  <w:vAlign w:val="center"/>
                </w:tcPr>
                <w:p w14:paraId="7EBBF25C">
                  <w:pPr>
                    <w:pStyle w:val="83"/>
                    <w:rPr>
                      <w:rFonts w:hint="default"/>
                      <w:sz w:val="18"/>
                      <w:szCs w:val="18"/>
                    </w:rPr>
                  </w:pPr>
                  <w:r>
                    <w:rPr>
                      <w:sz w:val="18"/>
                      <w:szCs w:val="18"/>
                    </w:rPr>
                    <w:t>35</w:t>
                  </w:r>
                </w:p>
              </w:tc>
              <w:tc>
                <w:tcPr>
                  <w:tcW w:w="224" w:type="pct"/>
                  <w:tcBorders>
                    <w:tl2br w:val="nil"/>
                    <w:tr2bl w:val="nil"/>
                  </w:tcBorders>
                  <w:vAlign w:val="center"/>
                </w:tcPr>
                <w:p w14:paraId="0B4DABE9">
                  <w:pPr>
                    <w:pStyle w:val="83"/>
                    <w:rPr>
                      <w:rFonts w:hint="default"/>
                      <w:sz w:val="18"/>
                      <w:szCs w:val="18"/>
                    </w:rPr>
                  </w:pPr>
                  <w:r>
                    <w:rPr>
                      <w:sz w:val="18"/>
                      <w:szCs w:val="18"/>
                    </w:rPr>
                    <w:t>1728</w:t>
                  </w:r>
                </w:p>
              </w:tc>
              <w:tc>
                <w:tcPr>
                  <w:tcW w:w="189" w:type="pct"/>
                  <w:tcBorders>
                    <w:tl2br w:val="nil"/>
                    <w:tr2bl w:val="nil"/>
                  </w:tcBorders>
                  <w:vAlign w:val="center"/>
                </w:tcPr>
                <w:p w14:paraId="3DC8C01E">
                  <w:pPr>
                    <w:pStyle w:val="83"/>
                    <w:rPr>
                      <w:rFonts w:hint="default"/>
                      <w:sz w:val="18"/>
                      <w:szCs w:val="18"/>
                    </w:rPr>
                  </w:pPr>
                  <w:r>
                    <w:rPr>
                      <w:sz w:val="18"/>
                      <w:szCs w:val="18"/>
                    </w:rPr>
                    <w:t>60</w:t>
                  </w:r>
                </w:p>
              </w:tc>
              <w:tc>
                <w:tcPr>
                  <w:tcW w:w="188" w:type="pct"/>
                  <w:tcBorders>
                    <w:tl2br w:val="nil"/>
                    <w:tr2bl w:val="nil"/>
                  </w:tcBorders>
                  <w:vAlign w:val="center"/>
                </w:tcPr>
                <w:p w14:paraId="597F1AC2">
                  <w:pPr>
                    <w:pStyle w:val="83"/>
                    <w:rPr>
                      <w:rFonts w:hint="default"/>
                      <w:sz w:val="18"/>
                      <w:szCs w:val="18"/>
                    </w:rPr>
                  </w:pPr>
                  <w:r>
                    <w:rPr>
                      <w:sz w:val="18"/>
                      <w:szCs w:val="18"/>
                    </w:rPr>
                    <w:t>是</w:t>
                  </w:r>
                </w:p>
              </w:tc>
            </w:tr>
            <w:tr w14:paraId="35A400A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tcBorders>
                    <w:tl2br w:val="nil"/>
                    <w:tr2bl w:val="nil"/>
                  </w:tcBorders>
                  <w:vAlign w:val="center"/>
                </w:tcPr>
                <w:p w14:paraId="3752AD51">
                  <w:pPr>
                    <w:pStyle w:val="83"/>
                    <w:rPr>
                      <w:rFonts w:hint="default"/>
                      <w:sz w:val="18"/>
                      <w:szCs w:val="18"/>
                    </w:rPr>
                  </w:pPr>
                  <w:r>
                    <w:rPr>
                      <w:sz w:val="18"/>
                      <w:szCs w:val="18"/>
                    </w:rPr>
                    <w:t>再生造粒工序</w:t>
                  </w:r>
                </w:p>
              </w:tc>
              <w:tc>
                <w:tcPr>
                  <w:tcW w:w="184" w:type="pct"/>
                  <w:tcBorders>
                    <w:tl2br w:val="nil"/>
                    <w:tr2bl w:val="nil"/>
                  </w:tcBorders>
                  <w:vAlign w:val="center"/>
                </w:tcPr>
                <w:p w14:paraId="79CFD4C3">
                  <w:pPr>
                    <w:pStyle w:val="83"/>
                    <w:rPr>
                      <w:rFonts w:hint="default"/>
                      <w:sz w:val="18"/>
                      <w:szCs w:val="18"/>
                    </w:rPr>
                  </w:pPr>
                  <w:r>
                    <w:rPr>
                      <w:sz w:val="18"/>
                      <w:szCs w:val="18"/>
                    </w:rPr>
                    <w:t>熔融废气</w:t>
                  </w:r>
                </w:p>
              </w:tc>
              <w:tc>
                <w:tcPr>
                  <w:tcW w:w="213" w:type="pct"/>
                  <w:tcBorders>
                    <w:tl2br w:val="nil"/>
                    <w:tr2bl w:val="nil"/>
                  </w:tcBorders>
                  <w:vAlign w:val="center"/>
                </w:tcPr>
                <w:p w14:paraId="352242F6">
                  <w:pPr>
                    <w:pStyle w:val="83"/>
                    <w:rPr>
                      <w:rFonts w:hint="default"/>
                      <w:sz w:val="18"/>
                      <w:szCs w:val="18"/>
                    </w:rPr>
                  </w:pPr>
                  <w:r>
                    <w:rPr>
                      <w:sz w:val="18"/>
                      <w:szCs w:val="18"/>
                    </w:rPr>
                    <w:t>非甲烷总烃</w:t>
                  </w:r>
                </w:p>
              </w:tc>
              <w:tc>
                <w:tcPr>
                  <w:tcW w:w="223" w:type="pct"/>
                  <w:tcBorders>
                    <w:tl2br w:val="nil"/>
                    <w:tr2bl w:val="nil"/>
                  </w:tcBorders>
                  <w:vAlign w:val="center"/>
                </w:tcPr>
                <w:p w14:paraId="7E6FB699">
                  <w:pPr>
                    <w:pStyle w:val="83"/>
                    <w:rPr>
                      <w:rFonts w:hint="default"/>
                      <w:sz w:val="18"/>
                      <w:szCs w:val="18"/>
                    </w:rPr>
                  </w:pPr>
                  <w:r>
                    <w:rPr>
                      <w:sz w:val="18"/>
                      <w:szCs w:val="18"/>
                    </w:rPr>
                    <w:t>36000</w:t>
                  </w:r>
                </w:p>
              </w:tc>
              <w:tc>
                <w:tcPr>
                  <w:tcW w:w="253" w:type="pct"/>
                  <w:tcBorders>
                    <w:tl2br w:val="nil"/>
                    <w:tr2bl w:val="nil"/>
                  </w:tcBorders>
                  <w:vAlign w:val="center"/>
                </w:tcPr>
                <w:p w14:paraId="1EBD069E">
                  <w:pPr>
                    <w:pStyle w:val="83"/>
                    <w:rPr>
                      <w:rFonts w:hint="default"/>
                      <w:sz w:val="18"/>
                      <w:szCs w:val="18"/>
                    </w:rPr>
                  </w:pPr>
                  <w:r>
                    <w:rPr>
                      <w:sz w:val="18"/>
                      <w:szCs w:val="18"/>
                    </w:rPr>
                    <w:t>0.81</w:t>
                  </w:r>
                </w:p>
              </w:tc>
              <w:tc>
                <w:tcPr>
                  <w:tcW w:w="301" w:type="pct"/>
                  <w:tcBorders>
                    <w:tl2br w:val="nil"/>
                    <w:tr2bl w:val="nil"/>
                  </w:tcBorders>
                  <w:vAlign w:val="center"/>
                </w:tcPr>
                <w:p w14:paraId="54B398C4">
                  <w:pPr>
                    <w:pStyle w:val="83"/>
                    <w:rPr>
                      <w:rFonts w:hint="default"/>
                      <w:sz w:val="18"/>
                      <w:szCs w:val="18"/>
                    </w:rPr>
                  </w:pPr>
                  <w:r>
                    <w:rPr>
                      <w:sz w:val="18"/>
                      <w:szCs w:val="18"/>
                    </w:rPr>
                    <w:t>0.3</w:t>
                  </w:r>
                </w:p>
              </w:tc>
              <w:tc>
                <w:tcPr>
                  <w:tcW w:w="322" w:type="pct"/>
                  <w:tcBorders>
                    <w:tl2br w:val="nil"/>
                    <w:tr2bl w:val="nil"/>
                  </w:tcBorders>
                  <w:vAlign w:val="center"/>
                </w:tcPr>
                <w:p w14:paraId="08F867FB">
                  <w:pPr>
                    <w:pStyle w:val="83"/>
                    <w:rPr>
                      <w:rFonts w:hint="default"/>
                      <w:sz w:val="18"/>
                      <w:szCs w:val="18"/>
                    </w:rPr>
                  </w:pPr>
                  <w:r>
                    <w:rPr>
                      <w:sz w:val="18"/>
                      <w:szCs w:val="18"/>
                    </w:rPr>
                    <w:t>7.69</w:t>
                  </w:r>
                </w:p>
              </w:tc>
              <w:tc>
                <w:tcPr>
                  <w:tcW w:w="214" w:type="pct"/>
                  <w:tcBorders>
                    <w:tl2br w:val="nil"/>
                    <w:tr2bl w:val="nil"/>
                  </w:tcBorders>
                  <w:vAlign w:val="center"/>
                </w:tcPr>
                <w:p w14:paraId="3CB9B451">
                  <w:pPr>
                    <w:pStyle w:val="83"/>
                    <w:rPr>
                      <w:rFonts w:hint="default"/>
                      <w:sz w:val="18"/>
                      <w:szCs w:val="18"/>
                    </w:rPr>
                  </w:pPr>
                  <w:r>
                    <w:rPr>
                      <w:sz w:val="18"/>
                      <w:szCs w:val="18"/>
                    </w:rPr>
                    <w:t>有组织</w:t>
                  </w:r>
                </w:p>
              </w:tc>
              <w:tc>
                <w:tcPr>
                  <w:tcW w:w="287" w:type="pct"/>
                  <w:tcBorders>
                    <w:tl2br w:val="nil"/>
                    <w:tr2bl w:val="nil"/>
                  </w:tcBorders>
                  <w:vAlign w:val="center"/>
                </w:tcPr>
                <w:p w14:paraId="3B4760BE">
                  <w:pPr>
                    <w:pStyle w:val="83"/>
                    <w:rPr>
                      <w:rFonts w:hint="default"/>
                      <w:sz w:val="18"/>
                      <w:szCs w:val="18"/>
                    </w:rPr>
                  </w:pPr>
                  <w:r>
                    <w:rPr>
                      <w:sz w:val="18"/>
                      <w:szCs w:val="18"/>
                    </w:rPr>
                    <w:t>高压静电吸附装置</w:t>
                  </w:r>
                </w:p>
              </w:tc>
              <w:tc>
                <w:tcPr>
                  <w:tcW w:w="268" w:type="pct"/>
                  <w:tcBorders>
                    <w:tl2br w:val="nil"/>
                    <w:tr2bl w:val="nil"/>
                  </w:tcBorders>
                  <w:vAlign w:val="center"/>
                </w:tcPr>
                <w:p w14:paraId="3C572048">
                  <w:pPr>
                    <w:pStyle w:val="83"/>
                    <w:rPr>
                      <w:rFonts w:hint="default"/>
                      <w:sz w:val="18"/>
                      <w:szCs w:val="18"/>
                    </w:rPr>
                  </w:pPr>
                  <w:r>
                    <w:rPr>
                      <w:sz w:val="18"/>
                      <w:szCs w:val="18"/>
                    </w:rPr>
                    <w:t>集气罩</w:t>
                  </w:r>
                </w:p>
              </w:tc>
              <w:tc>
                <w:tcPr>
                  <w:tcW w:w="199" w:type="pct"/>
                  <w:tcBorders>
                    <w:tl2br w:val="nil"/>
                    <w:tr2bl w:val="nil"/>
                  </w:tcBorders>
                  <w:vAlign w:val="center"/>
                </w:tcPr>
                <w:p w14:paraId="757E3A07">
                  <w:pPr>
                    <w:pStyle w:val="83"/>
                    <w:rPr>
                      <w:rFonts w:hint="default"/>
                      <w:sz w:val="18"/>
                      <w:szCs w:val="18"/>
                    </w:rPr>
                  </w:pPr>
                  <w:r>
                    <w:rPr>
                      <w:sz w:val="18"/>
                      <w:szCs w:val="18"/>
                    </w:rPr>
                    <w:t>65</w:t>
                  </w:r>
                </w:p>
              </w:tc>
              <w:tc>
                <w:tcPr>
                  <w:tcW w:w="254" w:type="pct"/>
                  <w:tcBorders>
                    <w:tl2br w:val="nil"/>
                    <w:tr2bl w:val="nil"/>
                  </w:tcBorders>
                  <w:vAlign w:val="center"/>
                </w:tcPr>
                <w:p w14:paraId="06851083">
                  <w:pPr>
                    <w:pStyle w:val="83"/>
                    <w:rPr>
                      <w:rFonts w:hint="default"/>
                      <w:sz w:val="18"/>
                      <w:szCs w:val="18"/>
                    </w:rPr>
                  </w:pPr>
                  <w:r>
                    <w:rPr>
                      <w:sz w:val="18"/>
                      <w:szCs w:val="18"/>
                    </w:rPr>
                    <w:t>80</w:t>
                  </w:r>
                </w:p>
              </w:tc>
              <w:tc>
                <w:tcPr>
                  <w:tcW w:w="264" w:type="pct"/>
                  <w:tcBorders>
                    <w:tl2br w:val="nil"/>
                    <w:tr2bl w:val="nil"/>
                  </w:tcBorders>
                  <w:vAlign w:val="center"/>
                </w:tcPr>
                <w:p w14:paraId="39D72FB5">
                  <w:pPr>
                    <w:pStyle w:val="83"/>
                    <w:rPr>
                      <w:rFonts w:hint="default"/>
                      <w:sz w:val="18"/>
                      <w:szCs w:val="18"/>
                    </w:rPr>
                  </w:pPr>
                  <w:r>
                    <w:rPr>
                      <w:sz w:val="18"/>
                      <w:szCs w:val="18"/>
                    </w:rPr>
                    <w:t>0.11</w:t>
                  </w:r>
                </w:p>
              </w:tc>
              <w:tc>
                <w:tcPr>
                  <w:tcW w:w="295" w:type="pct"/>
                  <w:tcBorders>
                    <w:tl2br w:val="nil"/>
                    <w:tr2bl w:val="nil"/>
                  </w:tcBorders>
                  <w:vAlign w:val="center"/>
                </w:tcPr>
                <w:p w14:paraId="0F4DFC7D">
                  <w:pPr>
                    <w:pStyle w:val="83"/>
                    <w:rPr>
                      <w:rFonts w:hint="default"/>
                      <w:sz w:val="18"/>
                      <w:szCs w:val="18"/>
                    </w:rPr>
                  </w:pPr>
                  <w:r>
                    <w:rPr>
                      <w:sz w:val="18"/>
                      <w:szCs w:val="18"/>
                    </w:rPr>
                    <w:t>0.036</w:t>
                  </w:r>
                </w:p>
              </w:tc>
              <w:tc>
                <w:tcPr>
                  <w:tcW w:w="313" w:type="pct"/>
                  <w:tcBorders>
                    <w:tl2br w:val="nil"/>
                    <w:tr2bl w:val="nil"/>
                  </w:tcBorders>
                  <w:vAlign w:val="center"/>
                </w:tcPr>
                <w:p w14:paraId="3DDBF0B2">
                  <w:pPr>
                    <w:pStyle w:val="83"/>
                    <w:rPr>
                      <w:rFonts w:hint="default"/>
                      <w:sz w:val="18"/>
                      <w:szCs w:val="18"/>
                    </w:rPr>
                  </w:pPr>
                  <w:r>
                    <w:rPr>
                      <w:sz w:val="18"/>
                      <w:szCs w:val="18"/>
                    </w:rPr>
                    <w:t>1</w:t>
                  </w:r>
                </w:p>
              </w:tc>
              <w:tc>
                <w:tcPr>
                  <w:tcW w:w="120" w:type="pct"/>
                  <w:tcBorders>
                    <w:tl2br w:val="nil"/>
                    <w:tr2bl w:val="nil"/>
                  </w:tcBorders>
                  <w:vAlign w:val="center"/>
                </w:tcPr>
                <w:p w14:paraId="39ADB9BA">
                  <w:pPr>
                    <w:pStyle w:val="83"/>
                    <w:rPr>
                      <w:rFonts w:hint="default"/>
                      <w:sz w:val="18"/>
                      <w:szCs w:val="18"/>
                    </w:rPr>
                  </w:pPr>
                  <w:r>
                    <w:rPr>
                      <w:sz w:val="18"/>
                      <w:szCs w:val="18"/>
                    </w:rPr>
                    <w:t>P3</w:t>
                  </w:r>
                </w:p>
              </w:tc>
              <w:tc>
                <w:tcPr>
                  <w:tcW w:w="171" w:type="pct"/>
                  <w:tcBorders>
                    <w:tl2br w:val="nil"/>
                    <w:tr2bl w:val="nil"/>
                  </w:tcBorders>
                  <w:vAlign w:val="center"/>
                </w:tcPr>
                <w:p w14:paraId="58BADEF9">
                  <w:pPr>
                    <w:pStyle w:val="83"/>
                    <w:rPr>
                      <w:rFonts w:hint="default"/>
                      <w:sz w:val="18"/>
                      <w:szCs w:val="18"/>
                    </w:rPr>
                  </w:pPr>
                  <w:r>
                    <w:rPr>
                      <w:sz w:val="18"/>
                      <w:szCs w:val="18"/>
                    </w:rPr>
                    <w:t>18</w:t>
                  </w:r>
                </w:p>
              </w:tc>
              <w:tc>
                <w:tcPr>
                  <w:tcW w:w="152" w:type="pct"/>
                  <w:tcBorders>
                    <w:tl2br w:val="nil"/>
                    <w:tr2bl w:val="nil"/>
                  </w:tcBorders>
                  <w:vAlign w:val="center"/>
                </w:tcPr>
                <w:p w14:paraId="1408DE76">
                  <w:pPr>
                    <w:pStyle w:val="83"/>
                    <w:rPr>
                      <w:rFonts w:hint="default"/>
                      <w:sz w:val="18"/>
                      <w:szCs w:val="18"/>
                    </w:rPr>
                  </w:pPr>
                  <w:r>
                    <w:rPr>
                      <w:sz w:val="18"/>
                      <w:szCs w:val="18"/>
                    </w:rPr>
                    <w:t>0.3</w:t>
                  </w:r>
                </w:p>
              </w:tc>
              <w:tc>
                <w:tcPr>
                  <w:tcW w:w="149" w:type="pct"/>
                  <w:tcBorders>
                    <w:tl2br w:val="nil"/>
                    <w:tr2bl w:val="nil"/>
                  </w:tcBorders>
                  <w:vAlign w:val="center"/>
                </w:tcPr>
                <w:p w14:paraId="334B0CD7">
                  <w:pPr>
                    <w:pStyle w:val="83"/>
                    <w:rPr>
                      <w:rFonts w:hint="default"/>
                      <w:sz w:val="18"/>
                      <w:szCs w:val="18"/>
                    </w:rPr>
                  </w:pPr>
                  <w:r>
                    <w:rPr>
                      <w:sz w:val="18"/>
                      <w:szCs w:val="18"/>
                    </w:rPr>
                    <w:t>35</w:t>
                  </w:r>
                </w:p>
              </w:tc>
              <w:tc>
                <w:tcPr>
                  <w:tcW w:w="224" w:type="pct"/>
                  <w:tcBorders>
                    <w:tl2br w:val="nil"/>
                    <w:tr2bl w:val="nil"/>
                  </w:tcBorders>
                  <w:vAlign w:val="center"/>
                </w:tcPr>
                <w:p w14:paraId="613861E1">
                  <w:pPr>
                    <w:pStyle w:val="83"/>
                    <w:rPr>
                      <w:rFonts w:hint="default"/>
                      <w:sz w:val="18"/>
                      <w:szCs w:val="18"/>
                    </w:rPr>
                  </w:pPr>
                  <w:r>
                    <w:rPr>
                      <w:sz w:val="18"/>
                      <w:szCs w:val="18"/>
                    </w:rPr>
                    <w:t>2920</w:t>
                  </w:r>
                </w:p>
              </w:tc>
              <w:tc>
                <w:tcPr>
                  <w:tcW w:w="189" w:type="pct"/>
                  <w:tcBorders>
                    <w:tl2br w:val="nil"/>
                    <w:tr2bl w:val="nil"/>
                  </w:tcBorders>
                  <w:vAlign w:val="center"/>
                </w:tcPr>
                <w:p w14:paraId="4B0FE368">
                  <w:pPr>
                    <w:pStyle w:val="83"/>
                    <w:rPr>
                      <w:rFonts w:hint="default"/>
                      <w:sz w:val="18"/>
                      <w:szCs w:val="18"/>
                    </w:rPr>
                  </w:pPr>
                  <w:r>
                    <w:rPr>
                      <w:sz w:val="18"/>
                      <w:szCs w:val="18"/>
                    </w:rPr>
                    <w:t>60</w:t>
                  </w:r>
                </w:p>
              </w:tc>
              <w:tc>
                <w:tcPr>
                  <w:tcW w:w="188" w:type="pct"/>
                  <w:tcBorders>
                    <w:tl2br w:val="nil"/>
                    <w:tr2bl w:val="nil"/>
                  </w:tcBorders>
                  <w:vAlign w:val="center"/>
                </w:tcPr>
                <w:p w14:paraId="3B93F17C">
                  <w:pPr>
                    <w:pStyle w:val="83"/>
                    <w:rPr>
                      <w:rFonts w:hint="default"/>
                      <w:sz w:val="18"/>
                      <w:szCs w:val="18"/>
                    </w:rPr>
                  </w:pPr>
                  <w:r>
                    <w:rPr>
                      <w:sz w:val="18"/>
                      <w:szCs w:val="18"/>
                    </w:rPr>
                    <w:t>是</w:t>
                  </w:r>
                </w:p>
              </w:tc>
            </w:tr>
            <w:tr w14:paraId="2A5F8F6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tcBorders>
                    <w:tl2br w:val="nil"/>
                    <w:tr2bl w:val="nil"/>
                  </w:tcBorders>
                  <w:vAlign w:val="center"/>
                </w:tcPr>
                <w:p w14:paraId="6FBAFCDB">
                  <w:pPr>
                    <w:pStyle w:val="83"/>
                    <w:rPr>
                      <w:rFonts w:hint="default"/>
                      <w:sz w:val="18"/>
                      <w:szCs w:val="18"/>
                    </w:rPr>
                  </w:pPr>
                  <w:r>
                    <w:rPr>
                      <w:sz w:val="18"/>
                      <w:szCs w:val="18"/>
                    </w:rPr>
                    <w:t>研发检验工序</w:t>
                  </w:r>
                </w:p>
              </w:tc>
              <w:tc>
                <w:tcPr>
                  <w:tcW w:w="184" w:type="pct"/>
                  <w:tcBorders>
                    <w:tl2br w:val="nil"/>
                    <w:tr2bl w:val="nil"/>
                  </w:tcBorders>
                  <w:vAlign w:val="center"/>
                </w:tcPr>
                <w:p w14:paraId="7383621B">
                  <w:pPr>
                    <w:pStyle w:val="83"/>
                    <w:rPr>
                      <w:rFonts w:hint="default"/>
                      <w:sz w:val="18"/>
                      <w:szCs w:val="18"/>
                    </w:rPr>
                  </w:pPr>
                  <w:r>
                    <w:rPr>
                      <w:sz w:val="18"/>
                      <w:szCs w:val="18"/>
                    </w:rPr>
                    <w:t>研发废气</w:t>
                  </w:r>
                </w:p>
              </w:tc>
              <w:tc>
                <w:tcPr>
                  <w:tcW w:w="213" w:type="pct"/>
                  <w:tcBorders>
                    <w:tl2br w:val="nil"/>
                    <w:tr2bl w:val="nil"/>
                  </w:tcBorders>
                  <w:vAlign w:val="center"/>
                </w:tcPr>
                <w:p w14:paraId="12578C17">
                  <w:pPr>
                    <w:pStyle w:val="83"/>
                    <w:rPr>
                      <w:rFonts w:hint="default"/>
                      <w:sz w:val="18"/>
                      <w:szCs w:val="18"/>
                    </w:rPr>
                  </w:pPr>
                  <w:r>
                    <w:rPr>
                      <w:sz w:val="18"/>
                      <w:szCs w:val="18"/>
                    </w:rPr>
                    <w:t>非甲烷总烃</w:t>
                  </w:r>
                </w:p>
              </w:tc>
              <w:tc>
                <w:tcPr>
                  <w:tcW w:w="223" w:type="pct"/>
                  <w:tcBorders>
                    <w:tl2br w:val="nil"/>
                    <w:tr2bl w:val="nil"/>
                  </w:tcBorders>
                  <w:vAlign w:val="center"/>
                </w:tcPr>
                <w:p w14:paraId="43A5FF95">
                  <w:pPr>
                    <w:pStyle w:val="83"/>
                    <w:rPr>
                      <w:rFonts w:hint="default"/>
                      <w:sz w:val="18"/>
                      <w:szCs w:val="18"/>
                    </w:rPr>
                  </w:pPr>
                  <w:r>
                    <w:rPr>
                      <w:sz w:val="18"/>
                      <w:szCs w:val="18"/>
                    </w:rPr>
                    <w:t>10000</w:t>
                  </w:r>
                </w:p>
              </w:tc>
              <w:tc>
                <w:tcPr>
                  <w:tcW w:w="253" w:type="pct"/>
                  <w:tcBorders>
                    <w:tl2br w:val="nil"/>
                    <w:tr2bl w:val="nil"/>
                  </w:tcBorders>
                  <w:vAlign w:val="center"/>
                </w:tcPr>
                <w:p w14:paraId="524ADDEE">
                  <w:pPr>
                    <w:pStyle w:val="83"/>
                    <w:rPr>
                      <w:rFonts w:hint="default"/>
                      <w:sz w:val="18"/>
                      <w:szCs w:val="18"/>
                    </w:rPr>
                  </w:pPr>
                  <w:r>
                    <w:rPr>
                      <w:sz w:val="18"/>
                      <w:szCs w:val="18"/>
                    </w:rPr>
                    <w:t>0.028</w:t>
                  </w:r>
                </w:p>
              </w:tc>
              <w:tc>
                <w:tcPr>
                  <w:tcW w:w="301" w:type="pct"/>
                  <w:tcBorders>
                    <w:tl2br w:val="nil"/>
                    <w:tr2bl w:val="nil"/>
                  </w:tcBorders>
                  <w:vAlign w:val="center"/>
                </w:tcPr>
                <w:p w14:paraId="1D30D565">
                  <w:pPr>
                    <w:pStyle w:val="83"/>
                    <w:rPr>
                      <w:rFonts w:hint="default"/>
                      <w:sz w:val="18"/>
                      <w:szCs w:val="18"/>
                    </w:rPr>
                  </w:pPr>
                  <w:r>
                    <w:rPr>
                      <w:sz w:val="18"/>
                      <w:szCs w:val="18"/>
                    </w:rPr>
                    <w:t>0.035</w:t>
                  </w:r>
                </w:p>
              </w:tc>
              <w:tc>
                <w:tcPr>
                  <w:tcW w:w="322" w:type="pct"/>
                  <w:tcBorders>
                    <w:tl2br w:val="nil"/>
                    <w:tr2bl w:val="nil"/>
                  </w:tcBorders>
                  <w:vAlign w:val="center"/>
                </w:tcPr>
                <w:p w14:paraId="757746AD">
                  <w:pPr>
                    <w:pStyle w:val="83"/>
                    <w:rPr>
                      <w:rFonts w:hint="default"/>
                      <w:sz w:val="18"/>
                      <w:szCs w:val="18"/>
                    </w:rPr>
                  </w:pPr>
                  <w:r>
                    <w:rPr>
                      <w:sz w:val="18"/>
                      <w:szCs w:val="18"/>
                    </w:rPr>
                    <w:t>3.50</w:t>
                  </w:r>
                </w:p>
              </w:tc>
              <w:tc>
                <w:tcPr>
                  <w:tcW w:w="214" w:type="pct"/>
                  <w:tcBorders>
                    <w:tl2br w:val="nil"/>
                    <w:tr2bl w:val="nil"/>
                  </w:tcBorders>
                  <w:vAlign w:val="center"/>
                </w:tcPr>
                <w:p w14:paraId="7BDF4385">
                  <w:pPr>
                    <w:pStyle w:val="83"/>
                    <w:rPr>
                      <w:rFonts w:hint="default"/>
                      <w:sz w:val="18"/>
                      <w:szCs w:val="18"/>
                    </w:rPr>
                  </w:pPr>
                  <w:r>
                    <w:rPr>
                      <w:sz w:val="18"/>
                      <w:szCs w:val="18"/>
                    </w:rPr>
                    <w:t>有组织</w:t>
                  </w:r>
                </w:p>
              </w:tc>
              <w:tc>
                <w:tcPr>
                  <w:tcW w:w="287" w:type="pct"/>
                  <w:tcBorders>
                    <w:tl2br w:val="nil"/>
                    <w:tr2bl w:val="nil"/>
                  </w:tcBorders>
                  <w:vAlign w:val="center"/>
                </w:tcPr>
                <w:p w14:paraId="3F2E3C14">
                  <w:pPr>
                    <w:pStyle w:val="83"/>
                    <w:rPr>
                      <w:rFonts w:hint="default"/>
                      <w:sz w:val="18"/>
                      <w:szCs w:val="18"/>
                    </w:rPr>
                  </w:pPr>
                  <w:r>
                    <w:rPr>
                      <w:sz w:val="18"/>
                      <w:szCs w:val="18"/>
                    </w:rPr>
                    <w:t>水喷淋+活性炭吸附</w:t>
                  </w:r>
                </w:p>
              </w:tc>
              <w:tc>
                <w:tcPr>
                  <w:tcW w:w="268" w:type="pct"/>
                  <w:tcBorders>
                    <w:tl2br w:val="nil"/>
                    <w:tr2bl w:val="nil"/>
                  </w:tcBorders>
                  <w:vAlign w:val="center"/>
                </w:tcPr>
                <w:p w14:paraId="6BC3A15B">
                  <w:pPr>
                    <w:pStyle w:val="83"/>
                    <w:rPr>
                      <w:rFonts w:hint="default"/>
                      <w:sz w:val="18"/>
                      <w:szCs w:val="18"/>
                    </w:rPr>
                  </w:pPr>
                  <w:r>
                    <w:rPr>
                      <w:sz w:val="18"/>
                      <w:szCs w:val="18"/>
                    </w:rPr>
                    <w:t>密闭管道负压收集</w:t>
                  </w:r>
                </w:p>
              </w:tc>
              <w:tc>
                <w:tcPr>
                  <w:tcW w:w="199" w:type="pct"/>
                  <w:tcBorders>
                    <w:tl2br w:val="nil"/>
                    <w:tr2bl w:val="nil"/>
                  </w:tcBorders>
                  <w:vAlign w:val="center"/>
                </w:tcPr>
                <w:p w14:paraId="4B1214F2">
                  <w:pPr>
                    <w:pStyle w:val="83"/>
                    <w:rPr>
                      <w:rFonts w:hint="default"/>
                      <w:sz w:val="18"/>
                      <w:szCs w:val="18"/>
                    </w:rPr>
                  </w:pPr>
                  <w:r>
                    <w:rPr>
                      <w:sz w:val="18"/>
                      <w:szCs w:val="18"/>
                    </w:rPr>
                    <w:t>95</w:t>
                  </w:r>
                </w:p>
              </w:tc>
              <w:tc>
                <w:tcPr>
                  <w:tcW w:w="254" w:type="pct"/>
                  <w:tcBorders>
                    <w:tl2br w:val="nil"/>
                    <w:tr2bl w:val="nil"/>
                  </w:tcBorders>
                  <w:vAlign w:val="center"/>
                </w:tcPr>
                <w:p w14:paraId="0FBA6F8B">
                  <w:pPr>
                    <w:pStyle w:val="83"/>
                    <w:rPr>
                      <w:rFonts w:hint="default"/>
                      <w:sz w:val="18"/>
                      <w:szCs w:val="18"/>
                    </w:rPr>
                  </w:pPr>
                  <w:r>
                    <w:rPr>
                      <w:sz w:val="18"/>
                      <w:szCs w:val="18"/>
                    </w:rPr>
                    <w:t>40</w:t>
                  </w:r>
                </w:p>
              </w:tc>
              <w:tc>
                <w:tcPr>
                  <w:tcW w:w="264" w:type="pct"/>
                  <w:tcBorders>
                    <w:tl2br w:val="nil"/>
                    <w:tr2bl w:val="nil"/>
                  </w:tcBorders>
                  <w:vAlign w:val="center"/>
                </w:tcPr>
                <w:p w14:paraId="7E55E2FC">
                  <w:pPr>
                    <w:pStyle w:val="83"/>
                    <w:rPr>
                      <w:rFonts w:hint="default"/>
                      <w:sz w:val="18"/>
                      <w:szCs w:val="18"/>
                    </w:rPr>
                  </w:pPr>
                  <w:r>
                    <w:rPr>
                      <w:sz w:val="18"/>
                      <w:szCs w:val="18"/>
                    </w:rPr>
                    <w:t>0.016</w:t>
                  </w:r>
                </w:p>
              </w:tc>
              <w:tc>
                <w:tcPr>
                  <w:tcW w:w="295" w:type="pct"/>
                  <w:tcBorders>
                    <w:tl2br w:val="nil"/>
                    <w:tr2bl w:val="nil"/>
                  </w:tcBorders>
                  <w:vAlign w:val="center"/>
                </w:tcPr>
                <w:p w14:paraId="3FF1E64B">
                  <w:pPr>
                    <w:pStyle w:val="83"/>
                    <w:rPr>
                      <w:rFonts w:hint="default"/>
                      <w:sz w:val="18"/>
                      <w:szCs w:val="18"/>
                    </w:rPr>
                  </w:pPr>
                  <w:r>
                    <w:rPr>
                      <w:sz w:val="18"/>
                      <w:szCs w:val="18"/>
                    </w:rPr>
                    <w:t>0.02</w:t>
                  </w:r>
                </w:p>
              </w:tc>
              <w:tc>
                <w:tcPr>
                  <w:tcW w:w="313" w:type="pct"/>
                  <w:tcBorders>
                    <w:tl2br w:val="nil"/>
                    <w:tr2bl w:val="nil"/>
                  </w:tcBorders>
                  <w:vAlign w:val="center"/>
                </w:tcPr>
                <w:p w14:paraId="3E1C91C1">
                  <w:pPr>
                    <w:pStyle w:val="83"/>
                    <w:rPr>
                      <w:rFonts w:hint="default"/>
                      <w:sz w:val="18"/>
                      <w:szCs w:val="18"/>
                    </w:rPr>
                  </w:pPr>
                  <w:r>
                    <w:rPr>
                      <w:sz w:val="18"/>
                      <w:szCs w:val="18"/>
                    </w:rPr>
                    <w:t>2</w:t>
                  </w:r>
                </w:p>
              </w:tc>
              <w:tc>
                <w:tcPr>
                  <w:tcW w:w="120" w:type="pct"/>
                  <w:tcBorders>
                    <w:tl2br w:val="nil"/>
                    <w:tr2bl w:val="nil"/>
                  </w:tcBorders>
                  <w:vAlign w:val="center"/>
                </w:tcPr>
                <w:p w14:paraId="69107007">
                  <w:pPr>
                    <w:pStyle w:val="83"/>
                    <w:rPr>
                      <w:rFonts w:hint="default"/>
                      <w:sz w:val="18"/>
                      <w:szCs w:val="18"/>
                    </w:rPr>
                  </w:pPr>
                  <w:r>
                    <w:rPr>
                      <w:sz w:val="18"/>
                      <w:szCs w:val="18"/>
                    </w:rPr>
                    <w:t>P4</w:t>
                  </w:r>
                </w:p>
              </w:tc>
              <w:tc>
                <w:tcPr>
                  <w:tcW w:w="171" w:type="pct"/>
                  <w:tcBorders>
                    <w:tl2br w:val="nil"/>
                    <w:tr2bl w:val="nil"/>
                  </w:tcBorders>
                  <w:vAlign w:val="center"/>
                </w:tcPr>
                <w:p w14:paraId="36A6B15B">
                  <w:pPr>
                    <w:pStyle w:val="83"/>
                    <w:rPr>
                      <w:rFonts w:hint="default"/>
                      <w:sz w:val="18"/>
                      <w:szCs w:val="18"/>
                    </w:rPr>
                  </w:pPr>
                  <w:r>
                    <w:rPr>
                      <w:sz w:val="18"/>
                      <w:szCs w:val="18"/>
                    </w:rPr>
                    <w:t>18</w:t>
                  </w:r>
                </w:p>
              </w:tc>
              <w:tc>
                <w:tcPr>
                  <w:tcW w:w="152" w:type="pct"/>
                  <w:tcBorders>
                    <w:tl2br w:val="nil"/>
                    <w:tr2bl w:val="nil"/>
                  </w:tcBorders>
                  <w:vAlign w:val="center"/>
                </w:tcPr>
                <w:p w14:paraId="33EED0B8">
                  <w:pPr>
                    <w:pStyle w:val="83"/>
                    <w:rPr>
                      <w:rFonts w:hint="default"/>
                      <w:sz w:val="18"/>
                      <w:szCs w:val="18"/>
                    </w:rPr>
                  </w:pPr>
                  <w:r>
                    <w:rPr>
                      <w:sz w:val="18"/>
                      <w:szCs w:val="18"/>
                    </w:rPr>
                    <w:t>0.3</w:t>
                  </w:r>
                </w:p>
              </w:tc>
              <w:tc>
                <w:tcPr>
                  <w:tcW w:w="149" w:type="pct"/>
                  <w:tcBorders>
                    <w:tl2br w:val="nil"/>
                    <w:tr2bl w:val="nil"/>
                  </w:tcBorders>
                  <w:vAlign w:val="center"/>
                </w:tcPr>
                <w:p w14:paraId="6BC9E275">
                  <w:pPr>
                    <w:pStyle w:val="83"/>
                    <w:rPr>
                      <w:rFonts w:hint="default"/>
                      <w:sz w:val="18"/>
                      <w:szCs w:val="18"/>
                    </w:rPr>
                  </w:pPr>
                  <w:r>
                    <w:rPr>
                      <w:sz w:val="18"/>
                      <w:szCs w:val="18"/>
                    </w:rPr>
                    <w:t>35</w:t>
                  </w:r>
                </w:p>
              </w:tc>
              <w:tc>
                <w:tcPr>
                  <w:tcW w:w="224" w:type="pct"/>
                  <w:tcBorders>
                    <w:tl2br w:val="nil"/>
                    <w:tr2bl w:val="nil"/>
                  </w:tcBorders>
                  <w:vAlign w:val="center"/>
                </w:tcPr>
                <w:p w14:paraId="3B018483">
                  <w:pPr>
                    <w:pStyle w:val="83"/>
                    <w:rPr>
                      <w:rFonts w:hint="default"/>
                      <w:sz w:val="18"/>
                      <w:szCs w:val="18"/>
                    </w:rPr>
                  </w:pPr>
                  <w:r>
                    <w:rPr>
                      <w:sz w:val="18"/>
                      <w:szCs w:val="18"/>
                    </w:rPr>
                    <w:t>800</w:t>
                  </w:r>
                </w:p>
              </w:tc>
              <w:tc>
                <w:tcPr>
                  <w:tcW w:w="189" w:type="pct"/>
                  <w:tcBorders>
                    <w:tl2br w:val="nil"/>
                    <w:tr2bl w:val="nil"/>
                  </w:tcBorders>
                  <w:vAlign w:val="center"/>
                </w:tcPr>
                <w:p w14:paraId="44455F8B">
                  <w:pPr>
                    <w:pStyle w:val="83"/>
                    <w:rPr>
                      <w:rFonts w:hint="default"/>
                      <w:sz w:val="18"/>
                      <w:szCs w:val="18"/>
                    </w:rPr>
                  </w:pPr>
                  <w:r>
                    <w:rPr>
                      <w:sz w:val="18"/>
                      <w:szCs w:val="18"/>
                    </w:rPr>
                    <w:t>60</w:t>
                  </w:r>
                </w:p>
              </w:tc>
              <w:tc>
                <w:tcPr>
                  <w:tcW w:w="188" w:type="pct"/>
                  <w:tcBorders>
                    <w:tl2br w:val="nil"/>
                    <w:tr2bl w:val="nil"/>
                  </w:tcBorders>
                  <w:vAlign w:val="center"/>
                </w:tcPr>
                <w:p w14:paraId="346F3C0D">
                  <w:pPr>
                    <w:pStyle w:val="83"/>
                    <w:rPr>
                      <w:rFonts w:hint="default"/>
                      <w:sz w:val="18"/>
                      <w:szCs w:val="18"/>
                    </w:rPr>
                  </w:pPr>
                  <w:r>
                    <w:rPr>
                      <w:sz w:val="18"/>
                      <w:szCs w:val="18"/>
                    </w:rPr>
                    <w:t>是</w:t>
                  </w:r>
                </w:p>
              </w:tc>
            </w:tr>
            <w:tr w14:paraId="74C8E33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restart"/>
                  <w:tcBorders>
                    <w:tl2br w:val="nil"/>
                    <w:tr2bl w:val="nil"/>
                  </w:tcBorders>
                  <w:vAlign w:val="center"/>
                </w:tcPr>
                <w:p w14:paraId="2F0DEDC3">
                  <w:pPr>
                    <w:pStyle w:val="83"/>
                    <w:rPr>
                      <w:rFonts w:hint="default"/>
                      <w:sz w:val="18"/>
                      <w:szCs w:val="18"/>
                    </w:rPr>
                  </w:pPr>
                  <w:r>
                    <w:rPr>
                      <w:sz w:val="18"/>
                      <w:szCs w:val="18"/>
                    </w:rPr>
                    <w:t>单体抽吸工序</w:t>
                  </w:r>
                </w:p>
              </w:tc>
              <w:tc>
                <w:tcPr>
                  <w:tcW w:w="184" w:type="pct"/>
                  <w:vMerge w:val="restart"/>
                  <w:tcBorders>
                    <w:tl2br w:val="nil"/>
                    <w:tr2bl w:val="nil"/>
                  </w:tcBorders>
                  <w:vAlign w:val="center"/>
                </w:tcPr>
                <w:p w14:paraId="44672F47">
                  <w:pPr>
                    <w:pStyle w:val="83"/>
                    <w:rPr>
                      <w:rFonts w:hint="default"/>
                      <w:sz w:val="18"/>
                      <w:szCs w:val="18"/>
                    </w:rPr>
                  </w:pPr>
                  <w:r>
                    <w:rPr>
                      <w:sz w:val="18"/>
                      <w:szCs w:val="18"/>
                    </w:rPr>
                    <w:t>单体抽吸废气</w:t>
                  </w:r>
                </w:p>
              </w:tc>
              <w:tc>
                <w:tcPr>
                  <w:tcW w:w="213" w:type="pct"/>
                  <w:tcBorders>
                    <w:tl2br w:val="nil"/>
                    <w:tr2bl w:val="nil"/>
                  </w:tcBorders>
                  <w:vAlign w:val="center"/>
                </w:tcPr>
                <w:p w14:paraId="458D7DAD">
                  <w:pPr>
                    <w:pStyle w:val="83"/>
                    <w:rPr>
                      <w:rFonts w:hint="default"/>
                      <w:sz w:val="18"/>
                      <w:szCs w:val="18"/>
                    </w:rPr>
                  </w:pPr>
                  <w:r>
                    <w:rPr>
                      <w:sz w:val="18"/>
                      <w:szCs w:val="18"/>
                    </w:rPr>
                    <w:t>非甲烷总烃</w:t>
                  </w:r>
                </w:p>
              </w:tc>
              <w:tc>
                <w:tcPr>
                  <w:tcW w:w="223" w:type="pct"/>
                  <w:tcBorders>
                    <w:tl2br w:val="nil"/>
                    <w:tr2bl w:val="nil"/>
                  </w:tcBorders>
                  <w:vAlign w:val="center"/>
                </w:tcPr>
                <w:p w14:paraId="601B293E">
                  <w:pPr>
                    <w:pStyle w:val="83"/>
                    <w:rPr>
                      <w:rFonts w:hint="default"/>
                      <w:sz w:val="18"/>
                      <w:szCs w:val="18"/>
                    </w:rPr>
                  </w:pPr>
                </w:p>
              </w:tc>
              <w:tc>
                <w:tcPr>
                  <w:tcW w:w="253" w:type="pct"/>
                  <w:tcBorders>
                    <w:tl2br w:val="nil"/>
                    <w:tr2bl w:val="nil"/>
                  </w:tcBorders>
                  <w:vAlign w:val="center"/>
                </w:tcPr>
                <w:p w14:paraId="0D0A0FBC">
                  <w:pPr>
                    <w:pStyle w:val="83"/>
                    <w:rPr>
                      <w:rFonts w:hint="default"/>
                      <w:sz w:val="18"/>
                      <w:szCs w:val="18"/>
                    </w:rPr>
                  </w:pPr>
                </w:p>
              </w:tc>
              <w:tc>
                <w:tcPr>
                  <w:tcW w:w="301" w:type="pct"/>
                  <w:tcBorders>
                    <w:tl2br w:val="nil"/>
                    <w:tr2bl w:val="nil"/>
                  </w:tcBorders>
                  <w:vAlign w:val="center"/>
                </w:tcPr>
                <w:p w14:paraId="560A5B77">
                  <w:pPr>
                    <w:pStyle w:val="83"/>
                    <w:rPr>
                      <w:rFonts w:hint="default"/>
                      <w:sz w:val="18"/>
                      <w:szCs w:val="18"/>
                    </w:rPr>
                  </w:pPr>
                </w:p>
              </w:tc>
              <w:tc>
                <w:tcPr>
                  <w:tcW w:w="322" w:type="pct"/>
                  <w:tcBorders>
                    <w:tl2br w:val="nil"/>
                    <w:tr2bl w:val="nil"/>
                  </w:tcBorders>
                  <w:vAlign w:val="center"/>
                </w:tcPr>
                <w:p w14:paraId="6663B899">
                  <w:pPr>
                    <w:pStyle w:val="83"/>
                    <w:rPr>
                      <w:rFonts w:hint="default"/>
                      <w:sz w:val="18"/>
                      <w:szCs w:val="18"/>
                    </w:rPr>
                  </w:pPr>
                </w:p>
              </w:tc>
              <w:tc>
                <w:tcPr>
                  <w:tcW w:w="214" w:type="pct"/>
                  <w:vMerge w:val="restart"/>
                  <w:tcBorders>
                    <w:tl2br w:val="nil"/>
                    <w:tr2bl w:val="nil"/>
                  </w:tcBorders>
                  <w:vAlign w:val="center"/>
                </w:tcPr>
                <w:p w14:paraId="1AADB3A7">
                  <w:pPr>
                    <w:pStyle w:val="83"/>
                    <w:rPr>
                      <w:rFonts w:hint="default"/>
                      <w:sz w:val="18"/>
                      <w:szCs w:val="18"/>
                    </w:rPr>
                  </w:pPr>
                  <w:r>
                    <w:rPr>
                      <w:sz w:val="18"/>
                      <w:szCs w:val="18"/>
                    </w:rPr>
                    <w:t>无组织</w:t>
                  </w:r>
                </w:p>
              </w:tc>
              <w:tc>
                <w:tcPr>
                  <w:tcW w:w="287" w:type="pct"/>
                  <w:tcBorders>
                    <w:tl2br w:val="nil"/>
                    <w:tr2bl w:val="nil"/>
                  </w:tcBorders>
                  <w:vAlign w:val="center"/>
                </w:tcPr>
                <w:p w14:paraId="14D1E0FE">
                  <w:pPr>
                    <w:pStyle w:val="83"/>
                    <w:rPr>
                      <w:rFonts w:hint="default"/>
                      <w:sz w:val="18"/>
                      <w:szCs w:val="18"/>
                    </w:rPr>
                  </w:pPr>
                </w:p>
              </w:tc>
              <w:tc>
                <w:tcPr>
                  <w:tcW w:w="268" w:type="pct"/>
                  <w:tcBorders>
                    <w:tl2br w:val="nil"/>
                    <w:tr2bl w:val="nil"/>
                  </w:tcBorders>
                  <w:vAlign w:val="center"/>
                </w:tcPr>
                <w:p w14:paraId="52B12326">
                  <w:pPr>
                    <w:pStyle w:val="83"/>
                    <w:rPr>
                      <w:rFonts w:hint="default"/>
                      <w:sz w:val="18"/>
                      <w:szCs w:val="18"/>
                    </w:rPr>
                  </w:pPr>
                </w:p>
              </w:tc>
              <w:tc>
                <w:tcPr>
                  <w:tcW w:w="199" w:type="pct"/>
                  <w:tcBorders>
                    <w:tl2br w:val="nil"/>
                    <w:tr2bl w:val="nil"/>
                  </w:tcBorders>
                  <w:vAlign w:val="center"/>
                </w:tcPr>
                <w:p w14:paraId="709E4F74">
                  <w:pPr>
                    <w:pStyle w:val="83"/>
                    <w:rPr>
                      <w:rFonts w:hint="default"/>
                      <w:sz w:val="18"/>
                      <w:szCs w:val="18"/>
                    </w:rPr>
                  </w:pPr>
                </w:p>
              </w:tc>
              <w:tc>
                <w:tcPr>
                  <w:tcW w:w="254" w:type="pct"/>
                  <w:tcBorders>
                    <w:tl2br w:val="nil"/>
                    <w:tr2bl w:val="nil"/>
                  </w:tcBorders>
                  <w:vAlign w:val="center"/>
                </w:tcPr>
                <w:p w14:paraId="045B0F81">
                  <w:pPr>
                    <w:pStyle w:val="83"/>
                    <w:rPr>
                      <w:rFonts w:hint="default"/>
                      <w:sz w:val="18"/>
                      <w:szCs w:val="18"/>
                    </w:rPr>
                  </w:pPr>
                </w:p>
              </w:tc>
              <w:tc>
                <w:tcPr>
                  <w:tcW w:w="264" w:type="pct"/>
                  <w:tcBorders>
                    <w:tl2br w:val="nil"/>
                    <w:tr2bl w:val="nil"/>
                  </w:tcBorders>
                  <w:vAlign w:val="center"/>
                </w:tcPr>
                <w:p w14:paraId="346E6CCE">
                  <w:pPr>
                    <w:pStyle w:val="83"/>
                    <w:rPr>
                      <w:rFonts w:hint="default"/>
                      <w:sz w:val="18"/>
                      <w:szCs w:val="18"/>
                    </w:rPr>
                  </w:pPr>
                  <w:r>
                    <w:rPr>
                      <w:sz w:val="18"/>
                      <w:szCs w:val="18"/>
                    </w:rPr>
                    <w:t>0.014</w:t>
                  </w:r>
                </w:p>
              </w:tc>
              <w:tc>
                <w:tcPr>
                  <w:tcW w:w="295" w:type="pct"/>
                  <w:tcBorders>
                    <w:tl2br w:val="nil"/>
                    <w:tr2bl w:val="nil"/>
                  </w:tcBorders>
                  <w:vAlign w:val="center"/>
                </w:tcPr>
                <w:p w14:paraId="0B50E35F">
                  <w:pPr>
                    <w:pStyle w:val="83"/>
                    <w:rPr>
                      <w:rFonts w:hint="default"/>
                      <w:sz w:val="18"/>
                      <w:szCs w:val="18"/>
                    </w:rPr>
                  </w:pPr>
                  <w:r>
                    <w:rPr>
                      <w:sz w:val="18"/>
                      <w:szCs w:val="18"/>
                    </w:rPr>
                    <w:t>0.002</w:t>
                  </w:r>
                </w:p>
              </w:tc>
              <w:tc>
                <w:tcPr>
                  <w:tcW w:w="313" w:type="pct"/>
                  <w:tcBorders>
                    <w:tl2br w:val="nil"/>
                    <w:tr2bl w:val="nil"/>
                  </w:tcBorders>
                  <w:vAlign w:val="center"/>
                </w:tcPr>
                <w:p w14:paraId="392F6065">
                  <w:pPr>
                    <w:pStyle w:val="83"/>
                    <w:rPr>
                      <w:rFonts w:hint="default"/>
                      <w:sz w:val="18"/>
                      <w:szCs w:val="18"/>
                    </w:rPr>
                  </w:pPr>
                </w:p>
              </w:tc>
              <w:tc>
                <w:tcPr>
                  <w:tcW w:w="120" w:type="pct"/>
                  <w:tcBorders>
                    <w:tl2br w:val="nil"/>
                    <w:tr2bl w:val="nil"/>
                  </w:tcBorders>
                  <w:vAlign w:val="center"/>
                </w:tcPr>
                <w:p w14:paraId="6991D4F6">
                  <w:pPr>
                    <w:pStyle w:val="83"/>
                    <w:rPr>
                      <w:rFonts w:hint="default"/>
                      <w:sz w:val="18"/>
                      <w:szCs w:val="18"/>
                    </w:rPr>
                  </w:pPr>
                </w:p>
              </w:tc>
              <w:tc>
                <w:tcPr>
                  <w:tcW w:w="171" w:type="pct"/>
                  <w:tcBorders>
                    <w:tl2br w:val="nil"/>
                    <w:tr2bl w:val="nil"/>
                  </w:tcBorders>
                  <w:vAlign w:val="center"/>
                </w:tcPr>
                <w:p w14:paraId="1AA3CC25">
                  <w:pPr>
                    <w:pStyle w:val="83"/>
                    <w:rPr>
                      <w:rFonts w:hint="default"/>
                      <w:sz w:val="18"/>
                      <w:szCs w:val="18"/>
                    </w:rPr>
                  </w:pPr>
                </w:p>
              </w:tc>
              <w:tc>
                <w:tcPr>
                  <w:tcW w:w="152" w:type="pct"/>
                  <w:tcBorders>
                    <w:tl2br w:val="nil"/>
                    <w:tr2bl w:val="nil"/>
                  </w:tcBorders>
                  <w:vAlign w:val="center"/>
                </w:tcPr>
                <w:p w14:paraId="18DB54B3">
                  <w:pPr>
                    <w:pStyle w:val="83"/>
                    <w:rPr>
                      <w:rFonts w:hint="default"/>
                      <w:sz w:val="18"/>
                      <w:szCs w:val="18"/>
                    </w:rPr>
                  </w:pPr>
                </w:p>
              </w:tc>
              <w:tc>
                <w:tcPr>
                  <w:tcW w:w="149" w:type="pct"/>
                  <w:tcBorders>
                    <w:tl2br w:val="nil"/>
                    <w:tr2bl w:val="nil"/>
                  </w:tcBorders>
                  <w:vAlign w:val="center"/>
                </w:tcPr>
                <w:p w14:paraId="314D25C7">
                  <w:pPr>
                    <w:pStyle w:val="83"/>
                    <w:rPr>
                      <w:rFonts w:hint="default"/>
                      <w:sz w:val="18"/>
                      <w:szCs w:val="18"/>
                    </w:rPr>
                  </w:pPr>
                </w:p>
              </w:tc>
              <w:tc>
                <w:tcPr>
                  <w:tcW w:w="224" w:type="pct"/>
                  <w:tcBorders>
                    <w:tl2br w:val="nil"/>
                    <w:tr2bl w:val="nil"/>
                  </w:tcBorders>
                  <w:vAlign w:val="center"/>
                </w:tcPr>
                <w:p w14:paraId="77AF1975">
                  <w:pPr>
                    <w:pStyle w:val="83"/>
                    <w:rPr>
                      <w:rFonts w:hint="default"/>
                      <w:sz w:val="18"/>
                      <w:szCs w:val="18"/>
                    </w:rPr>
                  </w:pPr>
                  <w:r>
                    <w:rPr>
                      <w:sz w:val="18"/>
                      <w:szCs w:val="18"/>
                    </w:rPr>
                    <w:t>8760</w:t>
                  </w:r>
                </w:p>
              </w:tc>
              <w:tc>
                <w:tcPr>
                  <w:tcW w:w="189" w:type="pct"/>
                  <w:tcBorders>
                    <w:tl2br w:val="nil"/>
                    <w:tr2bl w:val="nil"/>
                  </w:tcBorders>
                  <w:vAlign w:val="center"/>
                </w:tcPr>
                <w:p w14:paraId="1370995D">
                  <w:pPr>
                    <w:pStyle w:val="83"/>
                    <w:rPr>
                      <w:rFonts w:hint="default"/>
                      <w:sz w:val="18"/>
                      <w:szCs w:val="18"/>
                    </w:rPr>
                  </w:pPr>
                </w:p>
              </w:tc>
              <w:tc>
                <w:tcPr>
                  <w:tcW w:w="188" w:type="pct"/>
                  <w:tcBorders>
                    <w:tl2br w:val="nil"/>
                    <w:tr2bl w:val="nil"/>
                  </w:tcBorders>
                  <w:vAlign w:val="center"/>
                </w:tcPr>
                <w:p w14:paraId="61B84200">
                  <w:pPr>
                    <w:pStyle w:val="83"/>
                    <w:rPr>
                      <w:rFonts w:hint="default"/>
                      <w:sz w:val="18"/>
                      <w:szCs w:val="18"/>
                    </w:rPr>
                  </w:pPr>
                  <w:r>
                    <w:rPr>
                      <w:sz w:val="18"/>
                      <w:szCs w:val="18"/>
                    </w:rPr>
                    <w:t>是</w:t>
                  </w:r>
                </w:p>
              </w:tc>
            </w:tr>
            <w:tr w14:paraId="3B6EABD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continue"/>
                  <w:tcBorders>
                    <w:tl2br w:val="nil"/>
                    <w:tr2bl w:val="nil"/>
                  </w:tcBorders>
                  <w:vAlign w:val="center"/>
                </w:tcPr>
                <w:p w14:paraId="59C0F644">
                  <w:pPr>
                    <w:pStyle w:val="83"/>
                    <w:rPr>
                      <w:rFonts w:hint="default"/>
                      <w:sz w:val="18"/>
                      <w:szCs w:val="18"/>
                    </w:rPr>
                  </w:pPr>
                </w:p>
              </w:tc>
              <w:tc>
                <w:tcPr>
                  <w:tcW w:w="184" w:type="pct"/>
                  <w:vMerge w:val="continue"/>
                  <w:tcBorders>
                    <w:tl2br w:val="nil"/>
                    <w:tr2bl w:val="nil"/>
                  </w:tcBorders>
                  <w:vAlign w:val="center"/>
                </w:tcPr>
                <w:p w14:paraId="5AB46758">
                  <w:pPr>
                    <w:pStyle w:val="83"/>
                    <w:rPr>
                      <w:rFonts w:hint="default"/>
                      <w:sz w:val="18"/>
                      <w:szCs w:val="18"/>
                    </w:rPr>
                  </w:pPr>
                </w:p>
              </w:tc>
              <w:tc>
                <w:tcPr>
                  <w:tcW w:w="213" w:type="pct"/>
                  <w:tcBorders>
                    <w:tl2br w:val="nil"/>
                    <w:tr2bl w:val="nil"/>
                  </w:tcBorders>
                  <w:vAlign w:val="center"/>
                </w:tcPr>
                <w:p w14:paraId="55ED703C">
                  <w:pPr>
                    <w:pStyle w:val="83"/>
                    <w:rPr>
                      <w:rFonts w:hint="default"/>
                      <w:sz w:val="18"/>
                      <w:szCs w:val="18"/>
                    </w:rPr>
                  </w:pPr>
                  <w:r>
                    <w:rPr>
                      <w:sz w:val="18"/>
                      <w:szCs w:val="18"/>
                    </w:rPr>
                    <w:t>颗粒物</w:t>
                  </w:r>
                </w:p>
              </w:tc>
              <w:tc>
                <w:tcPr>
                  <w:tcW w:w="223" w:type="pct"/>
                  <w:tcBorders>
                    <w:tl2br w:val="nil"/>
                    <w:tr2bl w:val="nil"/>
                  </w:tcBorders>
                  <w:vAlign w:val="center"/>
                </w:tcPr>
                <w:p w14:paraId="10F7A2C3">
                  <w:pPr>
                    <w:pStyle w:val="83"/>
                    <w:rPr>
                      <w:rFonts w:hint="default"/>
                      <w:sz w:val="18"/>
                      <w:szCs w:val="18"/>
                    </w:rPr>
                  </w:pPr>
                </w:p>
              </w:tc>
              <w:tc>
                <w:tcPr>
                  <w:tcW w:w="253" w:type="pct"/>
                  <w:tcBorders>
                    <w:tl2br w:val="nil"/>
                    <w:tr2bl w:val="nil"/>
                  </w:tcBorders>
                  <w:vAlign w:val="center"/>
                </w:tcPr>
                <w:p w14:paraId="072BDB13">
                  <w:pPr>
                    <w:pStyle w:val="83"/>
                    <w:rPr>
                      <w:rFonts w:hint="default"/>
                      <w:sz w:val="18"/>
                      <w:szCs w:val="18"/>
                    </w:rPr>
                  </w:pPr>
                </w:p>
              </w:tc>
              <w:tc>
                <w:tcPr>
                  <w:tcW w:w="301" w:type="pct"/>
                  <w:tcBorders>
                    <w:tl2br w:val="nil"/>
                    <w:tr2bl w:val="nil"/>
                  </w:tcBorders>
                  <w:vAlign w:val="center"/>
                </w:tcPr>
                <w:p w14:paraId="38801F46">
                  <w:pPr>
                    <w:pStyle w:val="83"/>
                    <w:rPr>
                      <w:rFonts w:hint="default"/>
                      <w:sz w:val="18"/>
                      <w:szCs w:val="18"/>
                    </w:rPr>
                  </w:pPr>
                </w:p>
              </w:tc>
              <w:tc>
                <w:tcPr>
                  <w:tcW w:w="322" w:type="pct"/>
                  <w:tcBorders>
                    <w:tl2br w:val="nil"/>
                    <w:tr2bl w:val="nil"/>
                  </w:tcBorders>
                  <w:vAlign w:val="center"/>
                </w:tcPr>
                <w:p w14:paraId="263CA330">
                  <w:pPr>
                    <w:pStyle w:val="83"/>
                    <w:rPr>
                      <w:rFonts w:hint="default"/>
                      <w:sz w:val="18"/>
                      <w:szCs w:val="18"/>
                    </w:rPr>
                  </w:pPr>
                </w:p>
              </w:tc>
              <w:tc>
                <w:tcPr>
                  <w:tcW w:w="214" w:type="pct"/>
                  <w:vMerge w:val="continue"/>
                  <w:tcBorders>
                    <w:tl2br w:val="nil"/>
                    <w:tr2bl w:val="nil"/>
                  </w:tcBorders>
                  <w:vAlign w:val="center"/>
                </w:tcPr>
                <w:p w14:paraId="7F4D2B58">
                  <w:pPr>
                    <w:pStyle w:val="83"/>
                    <w:rPr>
                      <w:rFonts w:hint="default"/>
                      <w:sz w:val="18"/>
                      <w:szCs w:val="18"/>
                    </w:rPr>
                  </w:pPr>
                </w:p>
              </w:tc>
              <w:tc>
                <w:tcPr>
                  <w:tcW w:w="287" w:type="pct"/>
                  <w:tcBorders>
                    <w:tl2br w:val="nil"/>
                    <w:tr2bl w:val="nil"/>
                  </w:tcBorders>
                  <w:vAlign w:val="center"/>
                </w:tcPr>
                <w:p w14:paraId="4E84D70A">
                  <w:pPr>
                    <w:pStyle w:val="83"/>
                    <w:rPr>
                      <w:rFonts w:hint="default"/>
                      <w:sz w:val="18"/>
                      <w:szCs w:val="18"/>
                    </w:rPr>
                  </w:pPr>
                </w:p>
              </w:tc>
              <w:tc>
                <w:tcPr>
                  <w:tcW w:w="268" w:type="pct"/>
                  <w:tcBorders>
                    <w:tl2br w:val="nil"/>
                    <w:tr2bl w:val="nil"/>
                  </w:tcBorders>
                  <w:vAlign w:val="center"/>
                </w:tcPr>
                <w:p w14:paraId="593A6F13">
                  <w:pPr>
                    <w:pStyle w:val="83"/>
                    <w:rPr>
                      <w:rFonts w:hint="default"/>
                      <w:sz w:val="18"/>
                      <w:szCs w:val="18"/>
                    </w:rPr>
                  </w:pPr>
                </w:p>
              </w:tc>
              <w:tc>
                <w:tcPr>
                  <w:tcW w:w="199" w:type="pct"/>
                  <w:tcBorders>
                    <w:tl2br w:val="nil"/>
                    <w:tr2bl w:val="nil"/>
                  </w:tcBorders>
                  <w:vAlign w:val="center"/>
                </w:tcPr>
                <w:p w14:paraId="31C420F1">
                  <w:pPr>
                    <w:pStyle w:val="83"/>
                    <w:rPr>
                      <w:rFonts w:hint="default"/>
                      <w:sz w:val="18"/>
                      <w:szCs w:val="18"/>
                    </w:rPr>
                  </w:pPr>
                </w:p>
              </w:tc>
              <w:tc>
                <w:tcPr>
                  <w:tcW w:w="254" w:type="pct"/>
                  <w:tcBorders>
                    <w:tl2br w:val="nil"/>
                    <w:tr2bl w:val="nil"/>
                  </w:tcBorders>
                  <w:vAlign w:val="center"/>
                </w:tcPr>
                <w:p w14:paraId="4C308CC0">
                  <w:pPr>
                    <w:pStyle w:val="83"/>
                    <w:rPr>
                      <w:rFonts w:hint="default"/>
                      <w:sz w:val="18"/>
                      <w:szCs w:val="18"/>
                    </w:rPr>
                  </w:pPr>
                </w:p>
              </w:tc>
              <w:tc>
                <w:tcPr>
                  <w:tcW w:w="264" w:type="pct"/>
                  <w:tcBorders>
                    <w:tl2br w:val="nil"/>
                    <w:tr2bl w:val="nil"/>
                  </w:tcBorders>
                  <w:vAlign w:val="center"/>
                </w:tcPr>
                <w:p w14:paraId="7D947B5C">
                  <w:pPr>
                    <w:pStyle w:val="83"/>
                    <w:rPr>
                      <w:rFonts w:hint="default"/>
                      <w:sz w:val="18"/>
                      <w:szCs w:val="18"/>
                    </w:rPr>
                  </w:pPr>
                  <w:r>
                    <w:rPr>
                      <w:sz w:val="18"/>
                      <w:szCs w:val="18"/>
                    </w:rPr>
                    <w:t>0.043</w:t>
                  </w:r>
                </w:p>
              </w:tc>
              <w:tc>
                <w:tcPr>
                  <w:tcW w:w="295" w:type="pct"/>
                  <w:tcBorders>
                    <w:tl2br w:val="nil"/>
                    <w:tr2bl w:val="nil"/>
                  </w:tcBorders>
                  <w:vAlign w:val="center"/>
                </w:tcPr>
                <w:p w14:paraId="444D81EA">
                  <w:pPr>
                    <w:pStyle w:val="83"/>
                    <w:rPr>
                      <w:rFonts w:hint="default"/>
                      <w:sz w:val="18"/>
                      <w:szCs w:val="18"/>
                    </w:rPr>
                  </w:pPr>
                  <w:r>
                    <w:rPr>
                      <w:sz w:val="18"/>
                      <w:szCs w:val="18"/>
                    </w:rPr>
                    <w:t>0.005</w:t>
                  </w:r>
                </w:p>
              </w:tc>
              <w:tc>
                <w:tcPr>
                  <w:tcW w:w="313" w:type="pct"/>
                  <w:tcBorders>
                    <w:tl2br w:val="nil"/>
                    <w:tr2bl w:val="nil"/>
                  </w:tcBorders>
                  <w:vAlign w:val="center"/>
                </w:tcPr>
                <w:p w14:paraId="6C7DD3D5">
                  <w:pPr>
                    <w:pStyle w:val="83"/>
                    <w:rPr>
                      <w:rFonts w:hint="default"/>
                      <w:sz w:val="18"/>
                      <w:szCs w:val="18"/>
                    </w:rPr>
                  </w:pPr>
                </w:p>
              </w:tc>
              <w:tc>
                <w:tcPr>
                  <w:tcW w:w="120" w:type="pct"/>
                  <w:tcBorders>
                    <w:tl2br w:val="nil"/>
                    <w:tr2bl w:val="nil"/>
                  </w:tcBorders>
                  <w:vAlign w:val="center"/>
                </w:tcPr>
                <w:p w14:paraId="32348CD0">
                  <w:pPr>
                    <w:pStyle w:val="83"/>
                    <w:rPr>
                      <w:rFonts w:hint="default"/>
                      <w:sz w:val="18"/>
                      <w:szCs w:val="18"/>
                    </w:rPr>
                  </w:pPr>
                </w:p>
              </w:tc>
              <w:tc>
                <w:tcPr>
                  <w:tcW w:w="171" w:type="pct"/>
                  <w:tcBorders>
                    <w:tl2br w:val="nil"/>
                    <w:tr2bl w:val="nil"/>
                  </w:tcBorders>
                  <w:vAlign w:val="center"/>
                </w:tcPr>
                <w:p w14:paraId="250AD9E9">
                  <w:pPr>
                    <w:pStyle w:val="83"/>
                    <w:rPr>
                      <w:rFonts w:hint="default"/>
                      <w:sz w:val="18"/>
                      <w:szCs w:val="18"/>
                    </w:rPr>
                  </w:pPr>
                </w:p>
              </w:tc>
              <w:tc>
                <w:tcPr>
                  <w:tcW w:w="152" w:type="pct"/>
                  <w:tcBorders>
                    <w:tl2br w:val="nil"/>
                    <w:tr2bl w:val="nil"/>
                  </w:tcBorders>
                  <w:vAlign w:val="center"/>
                </w:tcPr>
                <w:p w14:paraId="2C568B06">
                  <w:pPr>
                    <w:pStyle w:val="83"/>
                    <w:rPr>
                      <w:rFonts w:hint="default"/>
                      <w:sz w:val="18"/>
                      <w:szCs w:val="18"/>
                    </w:rPr>
                  </w:pPr>
                </w:p>
              </w:tc>
              <w:tc>
                <w:tcPr>
                  <w:tcW w:w="149" w:type="pct"/>
                  <w:tcBorders>
                    <w:tl2br w:val="nil"/>
                    <w:tr2bl w:val="nil"/>
                  </w:tcBorders>
                  <w:vAlign w:val="center"/>
                </w:tcPr>
                <w:p w14:paraId="0F2034AF">
                  <w:pPr>
                    <w:pStyle w:val="83"/>
                    <w:rPr>
                      <w:rFonts w:hint="default"/>
                      <w:sz w:val="18"/>
                      <w:szCs w:val="18"/>
                    </w:rPr>
                  </w:pPr>
                </w:p>
              </w:tc>
              <w:tc>
                <w:tcPr>
                  <w:tcW w:w="224" w:type="pct"/>
                  <w:tcBorders>
                    <w:tl2br w:val="nil"/>
                    <w:tr2bl w:val="nil"/>
                  </w:tcBorders>
                  <w:vAlign w:val="center"/>
                </w:tcPr>
                <w:p w14:paraId="6191C655">
                  <w:pPr>
                    <w:pStyle w:val="83"/>
                    <w:rPr>
                      <w:rFonts w:hint="default"/>
                      <w:sz w:val="18"/>
                      <w:szCs w:val="18"/>
                    </w:rPr>
                  </w:pPr>
                  <w:r>
                    <w:rPr>
                      <w:sz w:val="18"/>
                      <w:szCs w:val="18"/>
                    </w:rPr>
                    <w:t>8760</w:t>
                  </w:r>
                </w:p>
              </w:tc>
              <w:tc>
                <w:tcPr>
                  <w:tcW w:w="189" w:type="pct"/>
                  <w:tcBorders>
                    <w:tl2br w:val="nil"/>
                    <w:tr2bl w:val="nil"/>
                  </w:tcBorders>
                  <w:vAlign w:val="center"/>
                </w:tcPr>
                <w:p w14:paraId="3072A3E4">
                  <w:pPr>
                    <w:pStyle w:val="83"/>
                    <w:rPr>
                      <w:rFonts w:hint="default"/>
                      <w:sz w:val="18"/>
                      <w:szCs w:val="18"/>
                    </w:rPr>
                  </w:pPr>
                </w:p>
              </w:tc>
              <w:tc>
                <w:tcPr>
                  <w:tcW w:w="188" w:type="pct"/>
                  <w:tcBorders>
                    <w:tl2br w:val="nil"/>
                    <w:tr2bl w:val="nil"/>
                  </w:tcBorders>
                  <w:vAlign w:val="center"/>
                </w:tcPr>
                <w:p w14:paraId="390622B7">
                  <w:pPr>
                    <w:pStyle w:val="83"/>
                    <w:rPr>
                      <w:rFonts w:hint="default"/>
                      <w:sz w:val="18"/>
                      <w:szCs w:val="18"/>
                    </w:rPr>
                  </w:pPr>
                  <w:r>
                    <w:rPr>
                      <w:sz w:val="18"/>
                      <w:szCs w:val="18"/>
                    </w:rPr>
                    <w:t>是</w:t>
                  </w:r>
                </w:p>
              </w:tc>
            </w:tr>
            <w:tr w14:paraId="7AA0FCB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restart"/>
                  <w:tcBorders>
                    <w:tl2br w:val="nil"/>
                    <w:tr2bl w:val="nil"/>
                  </w:tcBorders>
                  <w:vAlign w:val="center"/>
                </w:tcPr>
                <w:p w14:paraId="1FC3E78C">
                  <w:pPr>
                    <w:pStyle w:val="83"/>
                    <w:rPr>
                      <w:rFonts w:hint="default"/>
                      <w:sz w:val="18"/>
                      <w:szCs w:val="18"/>
                    </w:rPr>
                  </w:pPr>
                  <w:r>
                    <w:rPr>
                      <w:sz w:val="18"/>
                      <w:szCs w:val="18"/>
                    </w:rPr>
                    <w:t>纺丝上油工序</w:t>
                  </w:r>
                </w:p>
              </w:tc>
              <w:tc>
                <w:tcPr>
                  <w:tcW w:w="184" w:type="pct"/>
                  <w:vMerge w:val="restart"/>
                  <w:tcBorders>
                    <w:tl2br w:val="nil"/>
                    <w:tr2bl w:val="nil"/>
                  </w:tcBorders>
                  <w:vAlign w:val="center"/>
                </w:tcPr>
                <w:p w14:paraId="3996AA6B">
                  <w:pPr>
                    <w:pStyle w:val="83"/>
                    <w:rPr>
                      <w:rFonts w:hint="default"/>
                      <w:sz w:val="18"/>
                      <w:szCs w:val="18"/>
                    </w:rPr>
                  </w:pPr>
                  <w:r>
                    <w:rPr>
                      <w:sz w:val="18"/>
                      <w:szCs w:val="18"/>
                    </w:rPr>
                    <w:t>油剂废气</w:t>
                  </w:r>
                </w:p>
              </w:tc>
              <w:tc>
                <w:tcPr>
                  <w:tcW w:w="213" w:type="pct"/>
                  <w:tcBorders>
                    <w:tl2br w:val="nil"/>
                    <w:tr2bl w:val="nil"/>
                  </w:tcBorders>
                  <w:vAlign w:val="center"/>
                </w:tcPr>
                <w:p w14:paraId="6414AC6D">
                  <w:pPr>
                    <w:pStyle w:val="83"/>
                    <w:rPr>
                      <w:rFonts w:hint="default"/>
                      <w:sz w:val="18"/>
                      <w:szCs w:val="18"/>
                    </w:rPr>
                  </w:pPr>
                  <w:r>
                    <w:rPr>
                      <w:sz w:val="18"/>
                      <w:szCs w:val="18"/>
                    </w:rPr>
                    <w:t>非甲烷总烃</w:t>
                  </w:r>
                </w:p>
              </w:tc>
              <w:tc>
                <w:tcPr>
                  <w:tcW w:w="223" w:type="pct"/>
                  <w:tcBorders>
                    <w:tl2br w:val="nil"/>
                    <w:tr2bl w:val="nil"/>
                  </w:tcBorders>
                  <w:vAlign w:val="center"/>
                </w:tcPr>
                <w:p w14:paraId="0827BE79">
                  <w:pPr>
                    <w:pStyle w:val="83"/>
                    <w:rPr>
                      <w:rFonts w:hint="default"/>
                      <w:sz w:val="18"/>
                      <w:szCs w:val="18"/>
                    </w:rPr>
                  </w:pPr>
                </w:p>
              </w:tc>
              <w:tc>
                <w:tcPr>
                  <w:tcW w:w="253" w:type="pct"/>
                  <w:tcBorders>
                    <w:tl2br w:val="nil"/>
                    <w:tr2bl w:val="nil"/>
                  </w:tcBorders>
                  <w:vAlign w:val="center"/>
                </w:tcPr>
                <w:p w14:paraId="77C2D882">
                  <w:pPr>
                    <w:pStyle w:val="83"/>
                    <w:rPr>
                      <w:rFonts w:hint="default"/>
                      <w:sz w:val="18"/>
                      <w:szCs w:val="18"/>
                    </w:rPr>
                  </w:pPr>
                </w:p>
              </w:tc>
              <w:tc>
                <w:tcPr>
                  <w:tcW w:w="301" w:type="pct"/>
                  <w:tcBorders>
                    <w:tl2br w:val="nil"/>
                    <w:tr2bl w:val="nil"/>
                  </w:tcBorders>
                  <w:vAlign w:val="center"/>
                </w:tcPr>
                <w:p w14:paraId="08F8E80B">
                  <w:pPr>
                    <w:pStyle w:val="83"/>
                    <w:rPr>
                      <w:rFonts w:hint="default"/>
                      <w:sz w:val="18"/>
                      <w:szCs w:val="18"/>
                    </w:rPr>
                  </w:pPr>
                </w:p>
              </w:tc>
              <w:tc>
                <w:tcPr>
                  <w:tcW w:w="322" w:type="pct"/>
                  <w:tcBorders>
                    <w:tl2br w:val="nil"/>
                    <w:tr2bl w:val="nil"/>
                  </w:tcBorders>
                  <w:vAlign w:val="center"/>
                </w:tcPr>
                <w:p w14:paraId="4FEAA85D">
                  <w:pPr>
                    <w:pStyle w:val="83"/>
                    <w:rPr>
                      <w:rFonts w:hint="default"/>
                      <w:sz w:val="18"/>
                      <w:szCs w:val="18"/>
                    </w:rPr>
                  </w:pPr>
                </w:p>
              </w:tc>
              <w:tc>
                <w:tcPr>
                  <w:tcW w:w="214" w:type="pct"/>
                  <w:vMerge w:val="continue"/>
                  <w:tcBorders>
                    <w:tl2br w:val="nil"/>
                    <w:tr2bl w:val="nil"/>
                  </w:tcBorders>
                  <w:vAlign w:val="center"/>
                </w:tcPr>
                <w:p w14:paraId="7849E4BA">
                  <w:pPr>
                    <w:pStyle w:val="83"/>
                    <w:rPr>
                      <w:rFonts w:hint="default"/>
                      <w:sz w:val="18"/>
                      <w:szCs w:val="18"/>
                    </w:rPr>
                  </w:pPr>
                </w:p>
              </w:tc>
              <w:tc>
                <w:tcPr>
                  <w:tcW w:w="287" w:type="pct"/>
                  <w:tcBorders>
                    <w:tl2br w:val="nil"/>
                    <w:tr2bl w:val="nil"/>
                  </w:tcBorders>
                  <w:vAlign w:val="center"/>
                </w:tcPr>
                <w:p w14:paraId="45D8B7D2">
                  <w:pPr>
                    <w:pStyle w:val="83"/>
                    <w:rPr>
                      <w:rFonts w:hint="default"/>
                      <w:sz w:val="18"/>
                      <w:szCs w:val="18"/>
                    </w:rPr>
                  </w:pPr>
                </w:p>
              </w:tc>
              <w:tc>
                <w:tcPr>
                  <w:tcW w:w="268" w:type="pct"/>
                  <w:tcBorders>
                    <w:tl2br w:val="nil"/>
                    <w:tr2bl w:val="nil"/>
                  </w:tcBorders>
                  <w:vAlign w:val="center"/>
                </w:tcPr>
                <w:p w14:paraId="2610BDB2">
                  <w:pPr>
                    <w:pStyle w:val="83"/>
                    <w:rPr>
                      <w:rFonts w:hint="default"/>
                      <w:sz w:val="18"/>
                      <w:szCs w:val="18"/>
                    </w:rPr>
                  </w:pPr>
                </w:p>
              </w:tc>
              <w:tc>
                <w:tcPr>
                  <w:tcW w:w="199" w:type="pct"/>
                  <w:tcBorders>
                    <w:tl2br w:val="nil"/>
                    <w:tr2bl w:val="nil"/>
                  </w:tcBorders>
                  <w:vAlign w:val="center"/>
                </w:tcPr>
                <w:p w14:paraId="6B4A174D">
                  <w:pPr>
                    <w:pStyle w:val="83"/>
                    <w:rPr>
                      <w:rFonts w:hint="default"/>
                      <w:sz w:val="18"/>
                      <w:szCs w:val="18"/>
                    </w:rPr>
                  </w:pPr>
                </w:p>
              </w:tc>
              <w:tc>
                <w:tcPr>
                  <w:tcW w:w="254" w:type="pct"/>
                  <w:tcBorders>
                    <w:tl2br w:val="nil"/>
                    <w:tr2bl w:val="nil"/>
                  </w:tcBorders>
                  <w:vAlign w:val="center"/>
                </w:tcPr>
                <w:p w14:paraId="146CC34F">
                  <w:pPr>
                    <w:pStyle w:val="83"/>
                    <w:rPr>
                      <w:rFonts w:hint="default"/>
                      <w:sz w:val="18"/>
                      <w:szCs w:val="18"/>
                    </w:rPr>
                  </w:pPr>
                </w:p>
              </w:tc>
              <w:tc>
                <w:tcPr>
                  <w:tcW w:w="264" w:type="pct"/>
                  <w:tcBorders>
                    <w:tl2br w:val="nil"/>
                    <w:tr2bl w:val="nil"/>
                  </w:tcBorders>
                  <w:vAlign w:val="center"/>
                </w:tcPr>
                <w:p w14:paraId="2B8D7B8D">
                  <w:pPr>
                    <w:pStyle w:val="83"/>
                    <w:rPr>
                      <w:rFonts w:hint="default"/>
                      <w:sz w:val="18"/>
                      <w:szCs w:val="18"/>
                    </w:rPr>
                  </w:pPr>
                  <w:r>
                    <w:rPr>
                      <w:sz w:val="18"/>
                      <w:szCs w:val="18"/>
                    </w:rPr>
                    <w:t>0.08</w:t>
                  </w:r>
                </w:p>
              </w:tc>
              <w:tc>
                <w:tcPr>
                  <w:tcW w:w="295" w:type="pct"/>
                  <w:tcBorders>
                    <w:tl2br w:val="nil"/>
                    <w:tr2bl w:val="nil"/>
                  </w:tcBorders>
                  <w:vAlign w:val="center"/>
                </w:tcPr>
                <w:p w14:paraId="6DC99F7F">
                  <w:pPr>
                    <w:pStyle w:val="83"/>
                    <w:rPr>
                      <w:rFonts w:hint="default"/>
                      <w:sz w:val="18"/>
                      <w:szCs w:val="18"/>
                    </w:rPr>
                  </w:pPr>
                  <w:r>
                    <w:rPr>
                      <w:sz w:val="18"/>
                      <w:szCs w:val="18"/>
                    </w:rPr>
                    <w:t>0.009</w:t>
                  </w:r>
                </w:p>
              </w:tc>
              <w:tc>
                <w:tcPr>
                  <w:tcW w:w="313" w:type="pct"/>
                  <w:tcBorders>
                    <w:tl2br w:val="nil"/>
                    <w:tr2bl w:val="nil"/>
                  </w:tcBorders>
                  <w:vAlign w:val="center"/>
                </w:tcPr>
                <w:p w14:paraId="6AF8ABB8">
                  <w:pPr>
                    <w:pStyle w:val="83"/>
                    <w:rPr>
                      <w:rFonts w:hint="default"/>
                      <w:sz w:val="18"/>
                      <w:szCs w:val="18"/>
                    </w:rPr>
                  </w:pPr>
                </w:p>
              </w:tc>
              <w:tc>
                <w:tcPr>
                  <w:tcW w:w="120" w:type="pct"/>
                  <w:tcBorders>
                    <w:tl2br w:val="nil"/>
                    <w:tr2bl w:val="nil"/>
                  </w:tcBorders>
                  <w:vAlign w:val="center"/>
                </w:tcPr>
                <w:p w14:paraId="60E090ED">
                  <w:pPr>
                    <w:pStyle w:val="83"/>
                    <w:rPr>
                      <w:rFonts w:hint="default"/>
                      <w:sz w:val="18"/>
                      <w:szCs w:val="18"/>
                    </w:rPr>
                  </w:pPr>
                </w:p>
              </w:tc>
              <w:tc>
                <w:tcPr>
                  <w:tcW w:w="171" w:type="pct"/>
                  <w:tcBorders>
                    <w:tl2br w:val="nil"/>
                    <w:tr2bl w:val="nil"/>
                  </w:tcBorders>
                  <w:vAlign w:val="center"/>
                </w:tcPr>
                <w:p w14:paraId="2224C145">
                  <w:pPr>
                    <w:pStyle w:val="83"/>
                    <w:rPr>
                      <w:rFonts w:hint="default"/>
                      <w:sz w:val="18"/>
                      <w:szCs w:val="18"/>
                    </w:rPr>
                  </w:pPr>
                </w:p>
              </w:tc>
              <w:tc>
                <w:tcPr>
                  <w:tcW w:w="152" w:type="pct"/>
                  <w:tcBorders>
                    <w:tl2br w:val="nil"/>
                    <w:tr2bl w:val="nil"/>
                  </w:tcBorders>
                  <w:vAlign w:val="center"/>
                </w:tcPr>
                <w:p w14:paraId="7717407D">
                  <w:pPr>
                    <w:pStyle w:val="83"/>
                    <w:rPr>
                      <w:rFonts w:hint="default"/>
                      <w:sz w:val="18"/>
                      <w:szCs w:val="18"/>
                    </w:rPr>
                  </w:pPr>
                </w:p>
              </w:tc>
              <w:tc>
                <w:tcPr>
                  <w:tcW w:w="149" w:type="pct"/>
                  <w:tcBorders>
                    <w:tl2br w:val="nil"/>
                    <w:tr2bl w:val="nil"/>
                  </w:tcBorders>
                  <w:vAlign w:val="center"/>
                </w:tcPr>
                <w:p w14:paraId="5212061A">
                  <w:pPr>
                    <w:pStyle w:val="83"/>
                    <w:rPr>
                      <w:rFonts w:hint="default"/>
                      <w:sz w:val="18"/>
                      <w:szCs w:val="18"/>
                    </w:rPr>
                  </w:pPr>
                </w:p>
              </w:tc>
              <w:tc>
                <w:tcPr>
                  <w:tcW w:w="224" w:type="pct"/>
                  <w:tcBorders>
                    <w:tl2br w:val="nil"/>
                    <w:tr2bl w:val="nil"/>
                  </w:tcBorders>
                  <w:vAlign w:val="center"/>
                </w:tcPr>
                <w:p w14:paraId="1880F5AE">
                  <w:pPr>
                    <w:pStyle w:val="83"/>
                    <w:rPr>
                      <w:rFonts w:hint="default"/>
                      <w:sz w:val="18"/>
                      <w:szCs w:val="18"/>
                    </w:rPr>
                  </w:pPr>
                  <w:r>
                    <w:rPr>
                      <w:sz w:val="18"/>
                      <w:szCs w:val="18"/>
                    </w:rPr>
                    <w:t>8760</w:t>
                  </w:r>
                </w:p>
              </w:tc>
              <w:tc>
                <w:tcPr>
                  <w:tcW w:w="189" w:type="pct"/>
                  <w:tcBorders>
                    <w:tl2br w:val="nil"/>
                    <w:tr2bl w:val="nil"/>
                  </w:tcBorders>
                  <w:vAlign w:val="center"/>
                </w:tcPr>
                <w:p w14:paraId="265DCCB5">
                  <w:pPr>
                    <w:pStyle w:val="83"/>
                    <w:rPr>
                      <w:rFonts w:hint="default"/>
                      <w:sz w:val="18"/>
                      <w:szCs w:val="18"/>
                    </w:rPr>
                  </w:pPr>
                </w:p>
              </w:tc>
              <w:tc>
                <w:tcPr>
                  <w:tcW w:w="188" w:type="pct"/>
                  <w:tcBorders>
                    <w:tl2br w:val="nil"/>
                    <w:tr2bl w:val="nil"/>
                  </w:tcBorders>
                  <w:vAlign w:val="center"/>
                </w:tcPr>
                <w:p w14:paraId="778313F1">
                  <w:pPr>
                    <w:pStyle w:val="83"/>
                    <w:rPr>
                      <w:rFonts w:hint="default"/>
                      <w:sz w:val="18"/>
                      <w:szCs w:val="18"/>
                    </w:rPr>
                  </w:pPr>
                  <w:r>
                    <w:rPr>
                      <w:sz w:val="18"/>
                      <w:szCs w:val="18"/>
                    </w:rPr>
                    <w:t>是</w:t>
                  </w:r>
                </w:p>
              </w:tc>
            </w:tr>
            <w:tr w14:paraId="22B8E34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vMerge w:val="continue"/>
                  <w:tcBorders>
                    <w:tl2br w:val="nil"/>
                    <w:tr2bl w:val="nil"/>
                  </w:tcBorders>
                  <w:vAlign w:val="center"/>
                </w:tcPr>
                <w:p w14:paraId="0D0C9FA0">
                  <w:pPr>
                    <w:pStyle w:val="83"/>
                    <w:rPr>
                      <w:rFonts w:hint="default"/>
                      <w:sz w:val="18"/>
                      <w:szCs w:val="18"/>
                    </w:rPr>
                  </w:pPr>
                </w:p>
              </w:tc>
              <w:tc>
                <w:tcPr>
                  <w:tcW w:w="184" w:type="pct"/>
                  <w:vMerge w:val="continue"/>
                  <w:tcBorders>
                    <w:tl2br w:val="nil"/>
                    <w:tr2bl w:val="nil"/>
                  </w:tcBorders>
                  <w:vAlign w:val="center"/>
                </w:tcPr>
                <w:p w14:paraId="3854832F">
                  <w:pPr>
                    <w:pStyle w:val="83"/>
                    <w:rPr>
                      <w:rFonts w:hint="default"/>
                      <w:sz w:val="18"/>
                      <w:szCs w:val="18"/>
                    </w:rPr>
                  </w:pPr>
                </w:p>
              </w:tc>
              <w:tc>
                <w:tcPr>
                  <w:tcW w:w="213" w:type="pct"/>
                  <w:tcBorders>
                    <w:tl2br w:val="nil"/>
                    <w:tr2bl w:val="nil"/>
                  </w:tcBorders>
                  <w:vAlign w:val="center"/>
                </w:tcPr>
                <w:p w14:paraId="1D39758C">
                  <w:pPr>
                    <w:pStyle w:val="83"/>
                    <w:rPr>
                      <w:rFonts w:hint="default"/>
                      <w:sz w:val="18"/>
                      <w:szCs w:val="18"/>
                    </w:rPr>
                  </w:pPr>
                  <w:r>
                    <w:rPr>
                      <w:sz w:val="18"/>
                      <w:szCs w:val="18"/>
                    </w:rPr>
                    <w:t>颗粒物</w:t>
                  </w:r>
                </w:p>
              </w:tc>
              <w:tc>
                <w:tcPr>
                  <w:tcW w:w="223" w:type="pct"/>
                  <w:tcBorders>
                    <w:tl2br w:val="nil"/>
                    <w:tr2bl w:val="nil"/>
                  </w:tcBorders>
                  <w:vAlign w:val="center"/>
                </w:tcPr>
                <w:p w14:paraId="405F3CAC">
                  <w:pPr>
                    <w:pStyle w:val="83"/>
                    <w:rPr>
                      <w:rFonts w:hint="default"/>
                      <w:sz w:val="18"/>
                      <w:szCs w:val="18"/>
                    </w:rPr>
                  </w:pPr>
                </w:p>
              </w:tc>
              <w:tc>
                <w:tcPr>
                  <w:tcW w:w="253" w:type="pct"/>
                  <w:tcBorders>
                    <w:tl2br w:val="nil"/>
                    <w:tr2bl w:val="nil"/>
                  </w:tcBorders>
                  <w:vAlign w:val="center"/>
                </w:tcPr>
                <w:p w14:paraId="20A770E5">
                  <w:pPr>
                    <w:pStyle w:val="83"/>
                    <w:rPr>
                      <w:rFonts w:hint="default"/>
                      <w:sz w:val="18"/>
                      <w:szCs w:val="18"/>
                    </w:rPr>
                  </w:pPr>
                </w:p>
              </w:tc>
              <w:tc>
                <w:tcPr>
                  <w:tcW w:w="301" w:type="pct"/>
                  <w:tcBorders>
                    <w:tl2br w:val="nil"/>
                    <w:tr2bl w:val="nil"/>
                  </w:tcBorders>
                  <w:vAlign w:val="center"/>
                </w:tcPr>
                <w:p w14:paraId="52A2D5EF">
                  <w:pPr>
                    <w:pStyle w:val="83"/>
                    <w:rPr>
                      <w:rFonts w:hint="default"/>
                      <w:sz w:val="18"/>
                      <w:szCs w:val="18"/>
                    </w:rPr>
                  </w:pPr>
                </w:p>
              </w:tc>
              <w:tc>
                <w:tcPr>
                  <w:tcW w:w="322" w:type="pct"/>
                  <w:tcBorders>
                    <w:tl2br w:val="nil"/>
                    <w:tr2bl w:val="nil"/>
                  </w:tcBorders>
                  <w:vAlign w:val="center"/>
                </w:tcPr>
                <w:p w14:paraId="4BF61C5F">
                  <w:pPr>
                    <w:pStyle w:val="83"/>
                    <w:rPr>
                      <w:rFonts w:hint="default"/>
                      <w:sz w:val="18"/>
                      <w:szCs w:val="18"/>
                    </w:rPr>
                  </w:pPr>
                </w:p>
              </w:tc>
              <w:tc>
                <w:tcPr>
                  <w:tcW w:w="214" w:type="pct"/>
                  <w:vMerge w:val="continue"/>
                  <w:tcBorders>
                    <w:tl2br w:val="nil"/>
                    <w:tr2bl w:val="nil"/>
                  </w:tcBorders>
                  <w:vAlign w:val="center"/>
                </w:tcPr>
                <w:p w14:paraId="3BAB4D97">
                  <w:pPr>
                    <w:pStyle w:val="83"/>
                    <w:rPr>
                      <w:rFonts w:hint="default"/>
                      <w:sz w:val="18"/>
                      <w:szCs w:val="18"/>
                    </w:rPr>
                  </w:pPr>
                </w:p>
              </w:tc>
              <w:tc>
                <w:tcPr>
                  <w:tcW w:w="287" w:type="pct"/>
                  <w:tcBorders>
                    <w:tl2br w:val="nil"/>
                    <w:tr2bl w:val="nil"/>
                  </w:tcBorders>
                  <w:vAlign w:val="center"/>
                </w:tcPr>
                <w:p w14:paraId="35CC74F8">
                  <w:pPr>
                    <w:pStyle w:val="83"/>
                    <w:rPr>
                      <w:rFonts w:hint="default"/>
                      <w:sz w:val="18"/>
                      <w:szCs w:val="18"/>
                    </w:rPr>
                  </w:pPr>
                </w:p>
              </w:tc>
              <w:tc>
                <w:tcPr>
                  <w:tcW w:w="268" w:type="pct"/>
                  <w:tcBorders>
                    <w:tl2br w:val="nil"/>
                    <w:tr2bl w:val="nil"/>
                  </w:tcBorders>
                  <w:vAlign w:val="center"/>
                </w:tcPr>
                <w:p w14:paraId="7FB02322">
                  <w:pPr>
                    <w:pStyle w:val="83"/>
                    <w:rPr>
                      <w:rFonts w:hint="default"/>
                      <w:sz w:val="18"/>
                      <w:szCs w:val="18"/>
                    </w:rPr>
                  </w:pPr>
                </w:p>
              </w:tc>
              <w:tc>
                <w:tcPr>
                  <w:tcW w:w="199" w:type="pct"/>
                  <w:tcBorders>
                    <w:tl2br w:val="nil"/>
                    <w:tr2bl w:val="nil"/>
                  </w:tcBorders>
                  <w:vAlign w:val="center"/>
                </w:tcPr>
                <w:p w14:paraId="2340D5C6">
                  <w:pPr>
                    <w:pStyle w:val="83"/>
                    <w:rPr>
                      <w:rFonts w:hint="default"/>
                      <w:sz w:val="18"/>
                      <w:szCs w:val="18"/>
                    </w:rPr>
                  </w:pPr>
                </w:p>
              </w:tc>
              <w:tc>
                <w:tcPr>
                  <w:tcW w:w="254" w:type="pct"/>
                  <w:tcBorders>
                    <w:tl2br w:val="nil"/>
                    <w:tr2bl w:val="nil"/>
                  </w:tcBorders>
                  <w:vAlign w:val="center"/>
                </w:tcPr>
                <w:p w14:paraId="0955E1AD">
                  <w:pPr>
                    <w:pStyle w:val="83"/>
                    <w:rPr>
                      <w:rFonts w:hint="default"/>
                      <w:sz w:val="18"/>
                      <w:szCs w:val="18"/>
                    </w:rPr>
                  </w:pPr>
                </w:p>
              </w:tc>
              <w:tc>
                <w:tcPr>
                  <w:tcW w:w="264" w:type="pct"/>
                  <w:tcBorders>
                    <w:tl2br w:val="nil"/>
                    <w:tr2bl w:val="nil"/>
                  </w:tcBorders>
                  <w:vAlign w:val="center"/>
                </w:tcPr>
                <w:p w14:paraId="3EBF6E08">
                  <w:pPr>
                    <w:pStyle w:val="83"/>
                    <w:rPr>
                      <w:rFonts w:hint="default"/>
                      <w:sz w:val="18"/>
                      <w:szCs w:val="18"/>
                    </w:rPr>
                  </w:pPr>
                  <w:r>
                    <w:rPr>
                      <w:sz w:val="18"/>
                      <w:szCs w:val="18"/>
                    </w:rPr>
                    <w:t>0.32</w:t>
                  </w:r>
                </w:p>
              </w:tc>
              <w:tc>
                <w:tcPr>
                  <w:tcW w:w="295" w:type="pct"/>
                  <w:tcBorders>
                    <w:tl2br w:val="nil"/>
                    <w:tr2bl w:val="nil"/>
                  </w:tcBorders>
                  <w:vAlign w:val="center"/>
                </w:tcPr>
                <w:p w14:paraId="50ED0DFC">
                  <w:pPr>
                    <w:pStyle w:val="83"/>
                    <w:rPr>
                      <w:rFonts w:hint="default"/>
                      <w:sz w:val="18"/>
                      <w:szCs w:val="18"/>
                    </w:rPr>
                  </w:pPr>
                  <w:r>
                    <w:rPr>
                      <w:sz w:val="18"/>
                      <w:szCs w:val="18"/>
                    </w:rPr>
                    <w:t>0.036</w:t>
                  </w:r>
                </w:p>
              </w:tc>
              <w:tc>
                <w:tcPr>
                  <w:tcW w:w="313" w:type="pct"/>
                  <w:tcBorders>
                    <w:tl2br w:val="nil"/>
                    <w:tr2bl w:val="nil"/>
                  </w:tcBorders>
                  <w:vAlign w:val="center"/>
                </w:tcPr>
                <w:p w14:paraId="313E57A9">
                  <w:pPr>
                    <w:pStyle w:val="83"/>
                    <w:rPr>
                      <w:rFonts w:hint="default"/>
                      <w:sz w:val="18"/>
                      <w:szCs w:val="18"/>
                    </w:rPr>
                  </w:pPr>
                </w:p>
              </w:tc>
              <w:tc>
                <w:tcPr>
                  <w:tcW w:w="120" w:type="pct"/>
                  <w:tcBorders>
                    <w:tl2br w:val="nil"/>
                    <w:tr2bl w:val="nil"/>
                  </w:tcBorders>
                  <w:vAlign w:val="center"/>
                </w:tcPr>
                <w:p w14:paraId="3FB5C370">
                  <w:pPr>
                    <w:pStyle w:val="83"/>
                    <w:rPr>
                      <w:rFonts w:hint="default"/>
                      <w:sz w:val="18"/>
                      <w:szCs w:val="18"/>
                    </w:rPr>
                  </w:pPr>
                </w:p>
              </w:tc>
              <w:tc>
                <w:tcPr>
                  <w:tcW w:w="171" w:type="pct"/>
                  <w:tcBorders>
                    <w:tl2br w:val="nil"/>
                    <w:tr2bl w:val="nil"/>
                  </w:tcBorders>
                  <w:vAlign w:val="center"/>
                </w:tcPr>
                <w:p w14:paraId="3B177FBF">
                  <w:pPr>
                    <w:pStyle w:val="83"/>
                    <w:rPr>
                      <w:rFonts w:hint="default"/>
                      <w:sz w:val="18"/>
                      <w:szCs w:val="18"/>
                    </w:rPr>
                  </w:pPr>
                </w:p>
              </w:tc>
              <w:tc>
                <w:tcPr>
                  <w:tcW w:w="152" w:type="pct"/>
                  <w:tcBorders>
                    <w:tl2br w:val="nil"/>
                    <w:tr2bl w:val="nil"/>
                  </w:tcBorders>
                  <w:vAlign w:val="center"/>
                </w:tcPr>
                <w:p w14:paraId="0F8C96FC">
                  <w:pPr>
                    <w:pStyle w:val="83"/>
                    <w:rPr>
                      <w:rFonts w:hint="default"/>
                      <w:sz w:val="18"/>
                      <w:szCs w:val="18"/>
                    </w:rPr>
                  </w:pPr>
                </w:p>
              </w:tc>
              <w:tc>
                <w:tcPr>
                  <w:tcW w:w="149" w:type="pct"/>
                  <w:tcBorders>
                    <w:tl2br w:val="nil"/>
                    <w:tr2bl w:val="nil"/>
                  </w:tcBorders>
                  <w:vAlign w:val="center"/>
                </w:tcPr>
                <w:p w14:paraId="1F88F7CC">
                  <w:pPr>
                    <w:pStyle w:val="83"/>
                    <w:rPr>
                      <w:rFonts w:hint="default"/>
                      <w:sz w:val="18"/>
                      <w:szCs w:val="18"/>
                    </w:rPr>
                  </w:pPr>
                </w:p>
              </w:tc>
              <w:tc>
                <w:tcPr>
                  <w:tcW w:w="224" w:type="pct"/>
                  <w:tcBorders>
                    <w:tl2br w:val="nil"/>
                    <w:tr2bl w:val="nil"/>
                  </w:tcBorders>
                  <w:vAlign w:val="center"/>
                </w:tcPr>
                <w:p w14:paraId="64971411">
                  <w:pPr>
                    <w:pStyle w:val="83"/>
                    <w:rPr>
                      <w:rFonts w:hint="default"/>
                      <w:sz w:val="18"/>
                      <w:szCs w:val="18"/>
                    </w:rPr>
                  </w:pPr>
                  <w:r>
                    <w:rPr>
                      <w:sz w:val="18"/>
                      <w:szCs w:val="18"/>
                    </w:rPr>
                    <w:t>8760</w:t>
                  </w:r>
                </w:p>
              </w:tc>
              <w:tc>
                <w:tcPr>
                  <w:tcW w:w="189" w:type="pct"/>
                  <w:tcBorders>
                    <w:tl2br w:val="nil"/>
                    <w:tr2bl w:val="nil"/>
                  </w:tcBorders>
                  <w:vAlign w:val="center"/>
                </w:tcPr>
                <w:p w14:paraId="12E9AA8B">
                  <w:pPr>
                    <w:pStyle w:val="83"/>
                    <w:rPr>
                      <w:rFonts w:hint="default"/>
                      <w:sz w:val="18"/>
                      <w:szCs w:val="18"/>
                    </w:rPr>
                  </w:pPr>
                </w:p>
              </w:tc>
              <w:tc>
                <w:tcPr>
                  <w:tcW w:w="188" w:type="pct"/>
                  <w:tcBorders>
                    <w:tl2br w:val="nil"/>
                    <w:tr2bl w:val="nil"/>
                  </w:tcBorders>
                  <w:vAlign w:val="center"/>
                </w:tcPr>
                <w:p w14:paraId="29404C39">
                  <w:pPr>
                    <w:pStyle w:val="83"/>
                    <w:rPr>
                      <w:rFonts w:hint="default"/>
                      <w:sz w:val="18"/>
                      <w:szCs w:val="18"/>
                    </w:rPr>
                  </w:pPr>
                  <w:r>
                    <w:rPr>
                      <w:sz w:val="18"/>
                      <w:szCs w:val="18"/>
                    </w:rPr>
                    <w:t>是</w:t>
                  </w:r>
                </w:p>
              </w:tc>
            </w:tr>
            <w:tr w14:paraId="752415A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tcBorders>
                    <w:tl2br w:val="nil"/>
                    <w:tr2bl w:val="nil"/>
                  </w:tcBorders>
                  <w:vAlign w:val="center"/>
                </w:tcPr>
                <w:p w14:paraId="29F2DF19">
                  <w:pPr>
                    <w:pStyle w:val="83"/>
                    <w:rPr>
                      <w:rFonts w:hint="default"/>
                      <w:sz w:val="18"/>
                      <w:szCs w:val="18"/>
                    </w:rPr>
                  </w:pPr>
                  <w:r>
                    <w:rPr>
                      <w:sz w:val="18"/>
                      <w:szCs w:val="18"/>
                    </w:rPr>
                    <w:t>组件清洗工序</w:t>
                  </w:r>
                </w:p>
              </w:tc>
              <w:tc>
                <w:tcPr>
                  <w:tcW w:w="184" w:type="pct"/>
                  <w:tcBorders>
                    <w:tl2br w:val="nil"/>
                    <w:tr2bl w:val="nil"/>
                  </w:tcBorders>
                  <w:vAlign w:val="center"/>
                </w:tcPr>
                <w:p w14:paraId="65659B8B">
                  <w:pPr>
                    <w:pStyle w:val="83"/>
                    <w:rPr>
                      <w:rFonts w:hint="default"/>
                      <w:sz w:val="18"/>
                      <w:szCs w:val="18"/>
                    </w:rPr>
                  </w:pPr>
                  <w:r>
                    <w:rPr>
                      <w:sz w:val="18"/>
                      <w:szCs w:val="18"/>
                    </w:rPr>
                    <w:t>煅烧废气</w:t>
                  </w:r>
                </w:p>
              </w:tc>
              <w:tc>
                <w:tcPr>
                  <w:tcW w:w="213" w:type="pct"/>
                  <w:tcBorders>
                    <w:tl2br w:val="nil"/>
                    <w:tr2bl w:val="nil"/>
                  </w:tcBorders>
                  <w:vAlign w:val="center"/>
                </w:tcPr>
                <w:p w14:paraId="060D1F0F">
                  <w:pPr>
                    <w:pStyle w:val="83"/>
                    <w:rPr>
                      <w:rFonts w:hint="default"/>
                      <w:sz w:val="18"/>
                      <w:szCs w:val="18"/>
                    </w:rPr>
                  </w:pPr>
                  <w:r>
                    <w:rPr>
                      <w:sz w:val="18"/>
                      <w:szCs w:val="18"/>
                    </w:rPr>
                    <w:t>非甲烷总烃</w:t>
                  </w:r>
                </w:p>
              </w:tc>
              <w:tc>
                <w:tcPr>
                  <w:tcW w:w="223" w:type="pct"/>
                  <w:tcBorders>
                    <w:tl2br w:val="nil"/>
                    <w:tr2bl w:val="nil"/>
                  </w:tcBorders>
                  <w:vAlign w:val="center"/>
                </w:tcPr>
                <w:p w14:paraId="406D23B8">
                  <w:pPr>
                    <w:pStyle w:val="83"/>
                    <w:rPr>
                      <w:rFonts w:hint="default"/>
                      <w:sz w:val="18"/>
                      <w:szCs w:val="18"/>
                    </w:rPr>
                  </w:pPr>
                </w:p>
              </w:tc>
              <w:tc>
                <w:tcPr>
                  <w:tcW w:w="253" w:type="pct"/>
                  <w:tcBorders>
                    <w:tl2br w:val="nil"/>
                    <w:tr2bl w:val="nil"/>
                  </w:tcBorders>
                  <w:vAlign w:val="center"/>
                </w:tcPr>
                <w:p w14:paraId="36001632">
                  <w:pPr>
                    <w:pStyle w:val="83"/>
                    <w:rPr>
                      <w:rFonts w:hint="default"/>
                      <w:sz w:val="18"/>
                      <w:szCs w:val="18"/>
                    </w:rPr>
                  </w:pPr>
                </w:p>
              </w:tc>
              <w:tc>
                <w:tcPr>
                  <w:tcW w:w="301" w:type="pct"/>
                  <w:tcBorders>
                    <w:tl2br w:val="nil"/>
                    <w:tr2bl w:val="nil"/>
                  </w:tcBorders>
                  <w:vAlign w:val="center"/>
                </w:tcPr>
                <w:p w14:paraId="3C605986">
                  <w:pPr>
                    <w:pStyle w:val="83"/>
                    <w:rPr>
                      <w:rFonts w:hint="default"/>
                      <w:sz w:val="18"/>
                      <w:szCs w:val="18"/>
                    </w:rPr>
                  </w:pPr>
                </w:p>
              </w:tc>
              <w:tc>
                <w:tcPr>
                  <w:tcW w:w="322" w:type="pct"/>
                  <w:tcBorders>
                    <w:tl2br w:val="nil"/>
                    <w:tr2bl w:val="nil"/>
                  </w:tcBorders>
                  <w:vAlign w:val="center"/>
                </w:tcPr>
                <w:p w14:paraId="57574FF5">
                  <w:pPr>
                    <w:pStyle w:val="83"/>
                    <w:rPr>
                      <w:rFonts w:hint="default"/>
                      <w:sz w:val="18"/>
                      <w:szCs w:val="18"/>
                    </w:rPr>
                  </w:pPr>
                </w:p>
              </w:tc>
              <w:tc>
                <w:tcPr>
                  <w:tcW w:w="214" w:type="pct"/>
                  <w:vMerge w:val="continue"/>
                  <w:tcBorders>
                    <w:tl2br w:val="nil"/>
                    <w:tr2bl w:val="nil"/>
                  </w:tcBorders>
                  <w:vAlign w:val="center"/>
                </w:tcPr>
                <w:p w14:paraId="4BA34185">
                  <w:pPr>
                    <w:pStyle w:val="83"/>
                    <w:rPr>
                      <w:rFonts w:hint="default"/>
                      <w:sz w:val="18"/>
                      <w:szCs w:val="18"/>
                    </w:rPr>
                  </w:pPr>
                </w:p>
              </w:tc>
              <w:tc>
                <w:tcPr>
                  <w:tcW w:w="287" w:type="pct"/>
                  <w:tcBorders>
                    <w:tl2br w:val="nil"/>
                    <w:tr2bl w:val="nil"/>
                  </w:tcBorders>
                  <w:vAlign w:val="center"/>
                </w:tcPr>
                <w:p w14:paraId="51156B26">
                  <w:pPr>
                    <w:pStyle w:val="83"/>
                    <w:rPr>
                      <w:rFonts w:hint="default"/>
                      <w:sz w:val="18"/>
                      <w:szCs w:val="18"/>
                    </w:rPr>
                  </w:pPr>
                </w:p>
              </w:tc>
              <w:tc>
                <w:tcPr>
                  <w:tcW w:w="268" w:type="pct"/>
                  <w:tcBorders>
                    <w:tl2br w:val="nil"/>
                    <w:tr2bl w:val="nil"/>
                  </w:tcBorders>
                  <w:vAlign w:val="center"/>
                </w:tcPr>
                <w:p w14:paraId="3DBC76DC">
                  <w:pPr>
                    <w:pStyle w:val="83"/>
                    <w:rPr>
                      <w:rFonts w:hint="default"/>
                      <w:sz w:val="18"/>
                      <w:szCs w:val="18"/>
                    </w:rPr>
                  </w:pPr>
                </w:p>
              </w:tc>
              <w:tc>
                <w:tcPr>
                  <w:tcW w:w="199" w:type="pct"/>
                  <w:tcBorders>
                    <w:tl2br w:val="nil"/>
                    <w:tr2bl w:val="nil"/>
                  </w:tcBorders>
                  <w:vAlign w:val="center"/>
                </w:tcPr>
                <w:p w14:paraId="0228988A">
                  <w:pPr>
                    <w:pStyle w:val="83"/>
                    <w:rPr>
                      <w:rFonts w:hint="default"/>
                      <w:sz w:val="18"/>
                      <w:szCs w:val="18"/>
                    </w:rPr>
                  </w:pPr>
                </w:p>
              </w:tc>
              <w:tc>
                <w:tcPr>
                  <w:tcW w:w="254" w:type="pct"/>
                  <w:tcBorders>
                    <w:tl2br w:val="nil"/>
                    <w:tr2bl w:val="nil"/>
                  </w:tcBorders>
                  <w:vAlign w:val="center"/>
                </w:tcPr>
                <w:p w14:paraId="6A70859A">
                  <w:pPr>
                    <w:pStyle w:val="83"/>
                    <w:rPr>
                      <w:rFonts w:hint="default"/>
                      <w:sz w:val="18"/>
                      <w:szCs w:val="18"/>
                    </w:rPr>
                  </w:pPr>
                </w:p>
              </w:tc>
              <w:tc>
                <w:tcPr>
                  <w:tcW w:w="264" w:type="pct"/>
                  <w:tcBorders>
                    <w:tl2br w:val="nil"/>
                    <w:tr2bl w:val="nil"/>
                  </w:tcBorders>
                  <w:vAlign w:val="center"/>
                </w:tcPr>
                <w:p w14:paraId="79C249DF">
                  <w:pPr>
                    <w:pStyle w:val="83"/>
                    <w:rPr>
                      <w:rFonts w:hint="default"/>
                      <w:sz w:val="18"/>
                      <w:szCs w:val="18"/>
                    </w:rPr>
                  </w:pPr>
                  <w:r>
                    <w:rPr>
                      <w:sz w:val="18"/>
                      <w:szCs w:val="18"/>
                    </w:rPr>
                    <w:t>0.025</w:t>
                  </w:r>
                </w:p>
              </w:tc>
              <w:tc>
                <w:tcPr>
                  <w:tcW w:w="295" w:type="pct"/>
                  <w:tcBorders>
                    <w:tl2br w:val="nil"/>
                    <w:tr2bl w:val="nil"/>
                  </w:tcBorders>
                  <w:vAlign w:val="center"/>
                </w:tcPr>
                <w:p w14:paraId="2D98FA8E">
                  <w:pPr>
                    <w:pStyle w:val="83"/>
                    <w:rPr>
                      <w:rFonts w:hint="default"/>
                      <w:sz w:val="18"/>
                      <w:szCs w:val="18"/>
                    </w:rPr>
                  </w:pPr>
                  <w:r>
                    <w:rPr>
                      <w:sz w:val="18"/>
                      <w:szCs w:val="18"/>
                    </w:rPr>
                    <w:t>0.014</w:t>
                  </w:r>
                </w:p>
              </w:tc>
              <w:tc>
                <w:tcPr>
                  <w:tcW w:w="313" w:type="pct"/>
                  <w:tcBorders>
                    <w:tl2br w:val="nil"/>
                    <w:tr2bl w:val="nil"/>
                  </w:tcBorders>
                  <w:vAlign w:val="center"/>
                </w:tcPr>
                <w:p w14:paraId="60D0EDE1">
                  <w:pPr>
                    <w:pStyle w:val="83"/>
                    <w:rPr>
                      <w:rFonts w:hint="default"/>
                      <w:sz w:val="18"/>
                      <w:szCs w:val="18"/>
                    </w:rPr>
                  </w:pPr>
                </w:p>
              </w:tc>
              <w:tc>
                <w:tcPr>
                  <w:tcW w:w="120" w:type="pct"/>
                  <w:tcBorders>
                    <w:tl2br w:val="nil"/>
                    <w:tr2bl w:val="nil"/>
                  </w:tcBorders>
                  <w:vAlign w:val="center"/>
                </w:tcPr>
                <w:p w14:paraId="4A42B7D7">
                  <w:pPr>
                    <w:pStyle w:val="83"/>
                    <w:rPr>
                      <w:rFonts w:hint="default"/>
                      <w:sz w:val="18"/>
                      <w:szCs w:val="18"/>
                    </w:rPr>
                  </w:pPr>
                </w:p>
              </w:tc>
              <w:tc>
                <w:tcPr>
                  <w:tcW w:w="171" w:type="pct"/>
                  <w:tcBorders>
                    <w:tl2br w:val="nil"/>
                    <w:tr2bl w:val="nil"/>
                  </w:tcBorders>
                  <w:vAlign w:val="center"/>
                </w:tcPr>
                <w:p w14:paraId="7C938A8B">
                  <w:pPr>
                    <w:pStyle w:val="83"/>
                    <w:rPr>
                      <w:rFonts w:hint="default"/>
                      <w:sz w:val="18"/>
                      <w:szCs w:val="18"/>
                    </w:rPr>
                  </w:pPr>
                </w:p>
              </w:tc>
              <w:tc>
                <w:tcPr>
                  <w:tcW w:w="152" w:type="pct"/>
                  <w:tcBorders>
                    <w:tl2br w:val="nil"/>
                    <w:tr2bl w:val="nil"/>
                  </w:tcBorders>
                  <w:vAlign w:val="center"/>
                </w:tcPr>
                <w:p w14:paraId="4336F5B9">
                  <w:pPr>
                    <w:pStyle w:val="83"/>
                    <w:rPr>
                      <w:rFonts w:hint="default"/>
                      <w:sz w:val="18"/>
                      <w:szCs w:val="18"/>
                    </w:rPr>
                  </w:pPr>
                </w:p>
              </w:tc>
              <w:tc>
                <w:tcPr>
                  <w:tcW w:w="149" w:type="pct"/>
                  <w:tcBorders>
                    <w:tl2br w:val="nil"/>
                    <w:tr2bl w:val="nil"/>
                  </w:tcBorders>
                  <w:vAlign w:val="center"/>
                </w:tcPr>
                <w:p w14:paraId="2E7DA488">
                  <w:pPr>
                    <w:pStyle w:val="83"/>
                    <w:rPr>
                      <w:rFonts w:hint="default"/>
                      <w:sz w:val="18"/>
                      <w:szCs w:val="18"/>
                    </w:rPr>
                  </w:pPr>
                </w:p>
              </w:tc>
              <w:tc>
                <w:tcPr>
                  <w:tcW w:w="224" w:type="pct"/>
                  <w:tcBorders>
                    <w:tl2br w:val="nil"/>
                    <w:tr2bl w:val="nil"/>
                  </w:tcBorders>
                  <w:vAlign w:val="center"/>
                </w:tcPr>
                <w:p w14:paraId="251DC595">
                  <w:pPr>
                    <w:pStyle w:val="83"/>
                    <w:rPr>
                      <w:rFonts w:hint="default"/>
                      <w:sz w:val="18"/>
                      <w:szCs w:val="18"/>
                    </w:rPr>
                  </w:pPr>
                  <w:r>
                    <w:rPr>
                      <w:sz w:val="18"/>
                      <w:szCs w:val="18"/>
                    </w:rPr>
                    <w:t>1728</w:t>
                  </w:r>
                </w:p>
              </w:tc>
              <w:tc>
                <w:tcPr>
                  <w:tcW w:w="189" w:type="pct"/>
                  <w:tcBorders>
                    <w:tl2br w:val="nil"/>
                    <w:tr2bl w:val="nil"/>
                  </w:tcBorders>
                  <w:vAlign w:val="center"/>
                </w:tcPr>
                <w:p w14:paraId="0231A63F">
                  <w:pPr>
                    <w:pStyle w:val="83"/>
                    <w:rPr>
                      <w:rFonts w:hint="default"/>
                      <w:sz w:val="18"/>
                      <w:szCs w:val="18"/>
                    </w:rPr>
                  </w:pPr>
                </w:p>
              </w:tc>
              <w:tc>
                <w:tcPr>
                  <w:tcW w:w="188" w:type="pct"/>
                  <w:tcBorders>
                    <w:tl2br w:val="nil"/>
                    <w:tr2bl w:val="nil"/>
                  </w:tcBorders>
                  <w:vAlign w:val="center"/>
                </w:tcPr>
                <w:p w14:paraId="45C36C71">
                  <w:pPr>
                    <w:pStyle w:val="83"/>
                    <w:rPr>
                      <w:rFonts w:hint="default"/>
                      <w:sz w:val="18"/>
                      <w:szCs w:val="18"/>
                    </w:rPr>
                  </w:pPr>
                  <w:r>
                    <w:rPr>
                      <w:sz w:val="18"/>
                      <w:szCs w:val="18"/>
                    </w:rPr>
                    <w:t>是</w:t>
                  </w:r>
                </w:p>
              </w:tc>
            </w:tr>
            <w:tr w14:paraId="43172CA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tcBorders>
                    <w:tl2br w:val="nil"/>
                    <w:tr2bl w:val="nil"/>
                  </w:tcBorders>
                  <w:vAlign w:val="center"/>
                </w:tcPr>
                <w:p w14:paraId="04606A8A">
                  <w:pPr>
                    <w:pStyle w:val="83"/>
                    <w:rPr>
                      <w:rFonts w:hint="default"/>
                      <w:sz w:val="18"/>
                      <w:szCs w:val="18"/>
                    </w:rPr>
                  </w:pPr>
                  <w:r>
                    <w:rPr>
                      <w:sz w:val="18"/>
                      <w:szCs w:val="18"/>
                    </w:rPr>
                    <w:t>再生造粒工序</w:t>
                  </w:r>
                </w:p>
              </w:tc>
              <w:tc>
                <w:tcPr>
                  <w:tcW w:w="184" w:type="pct"/>
                  <w:tcBorders>
                    <w:tl2br w:val="nil"/>
                    <w:tr2bl w:val="nil"/>
                  </w:tcBorders>
                  <w:vAlign w:val="center"/>
                </w:tcPr>
                <w:p w14:paraId="01E3D7C6">
                  <w:pPr>
                    <w:pStyle w:val="83"/>
                    <w:rPr>
                      <w:rFonts w:hint="default"/>
                      <w:sz w:val="18"/>
                      <w:szCs w:val="18"/>
                    </w:rPr>
                  </w:pPr>
                  <w:r>
                    <w:rPr>
                      <w:sz w:val="18"/>
                      <w:szCs w:val="18"/>
                    </w:rPr>
                    <w:t>熔融废气</w:t>
                  </w:r>
                </w:p>
              </w:tc>
              <w:tc>
                <w:tcPr>
                  <w:tcW w:w="213" w:type="pct"/>
                  <w:tcBorders>
                    <w:tl2br w:val="nil"/>
                    <w:tr2bl w:val="nil"/>
                  </w:tcBorders>
                  <w:vAlign w:val="center"/>
                </w:tcPr>
                <w:p w14:paraId="1CD97DC8">
                  <w:pPr>
                    <w:pStyle w:val="83"/>
                    <w:rPr>
                      <w:rFonts w:hint="default"/>
                      <w:sz w:val="18"/>
                      <w:szCs w:val="18"/>
                    </w:rPr>
                  </w:pPr>
                  <w:r>
                    <w:rPr>
                      <w:sz w:val="18"/>
                      <w:szCs w:val="18"/>
                    </w:rPr>
                    <w:t>非甲烷总烃</w:t>
                  </w:r>
                </w:p>
              </w:tc>
              <w:tc>
                <w:tcPr>
                  <w:tcW w:w="223" w:type="pct"/>
                  <w:tcBorders>
                    <w:tl2br w:val="nil"/>
                    <w:tr2bl w:val="nil"/>
                  </w:tcBorders>
                  <w:vAlign w:val="center"/>
                </w:tcPr>
                <w:p w14:paraId="5EBB13A2">
                  <w:pPr>
                    <w:pStyle w:val="83"/>
                    <w:rPr>
                      <w:rFonts w:hint="default"/>
                      <w:sz w:val="18"/>
                      <w:szCs w:val="18"/>
                    </w:rPr>
                  </w:pPr>
                </w:p>
              </w:tc>
              <w:tc>
                <w:tcPr>
                  <w:tcW w:w="253" w:type="pct"/>
                  <w:tcBorders>
                    <w:tl2br w:val="nil"/>
                    <w:tr2bl w:val="nil"/>
                  </w:tcBorders>
                  <w:vAlign w:val="center"/>
                </w:tcPr>
                <w:p w14:paraId="49ED249D">
                  <w:pPr>
                    <w:pStyle w:val="83"/>
                    <w:rPr>
                      <w:rFonts w:hint="default"/>
                      <w:sz w:val="18"/>
                      <w:szCs w:val="18"/>
                    </w:rPr>
                  </w:pPr>
                </w:p>
              </w:tc>
              <w:tc>
                <w:tcPr>
                  <w:tcW w:w="301" w:type="pct"/>
                  <w:tcBorders>
                    <w:tl2br w:val="nil"/>
                    <w:tr2bl w:val="nil"/>
                  </w:tcBorders>
                  <w:vAlign w:val="center"/>
                </w:tcPr>
                <w:p w14:paraId="29A2710E">
                  <w:pPr>
                    <w:pStyle w:val="83"/>
                    <w:rPr>
                      <w:rFonts w:hint="default"/>
                      <w:sz w:val="18"/>
                      <w:szCs w:val="18"/>
                    </w:rPr>
                  </w:pPr>
                </w:p>
              </w:tc>
              <w:tc>
                <w:tcPr>
                  <w:tcW w:w="322" w:type="pct"/>
                  <w:tcBorders>
                    <w:tl2br w:val="nil"/>
                    <w:tr2bl w:val="nil"/>
                  </w:tcBorders>
                  <w:vAlign w:val="center"/>
                </w:tcPr>
                <w:p w14:paraId="57D7EDA4">
                  <w:pPr>
                    <w:pStyle w:val="83"/>
                    <w:rPr>
                      <w:rFonts w:hint="default"/>
                      <w:sz w:val="18"/>
                      <w:szCs w:val="18"/>
                    </w:rPr>
                  </w:pPr>
                </w:p>
              </w:tc>
              <w:tc>
                <w:tcPr>
                  <w:tcW w:w="214" w:type="pct"/>
                  <w:vMerge w:val="continue"/>
                  <w:tcBorders>
                    <w:tl2br w:val="nil"/>
                    <w:tr2bl w:val="nil"/>
                  </w:tcBorders>
                  <w:vAlign w:val="center"/>
                </w:tcPr>
                <w:p w14:paraId="11C49854">
                  <w:pPr>
                    <w:pStyle w:val="83"/>
                    <w:rPr>
                      <w:rFonts w:hint="default"/>
                      <w:sz w:val="18"/>
                      <w:szCs w:val="18"/>
                    </w:rPr>
                  </w:pPr>
                </w:p>
              </w:tc>
              <w:tc>
                <w:tcPr>
                  <w:tcW w:w="287" w:type="pct"/>
                  <w:tcBorders>
                    <w:tl2br w:val="nil"/>
                    <w:tr2bl w:val="nil"/>
                  </w:tcBorders>
                  <w:vAlign w:val="center"/>
                </w:tcPr>
                <w:p w14:paraId="3E1489A2">
                  <w:pPr>
                    <w:pStyle w:val="83"/>
                    <w:rPr>
                      <w:rFonts w:hint="default"/>
                      <w:sz w:val="18"/>
                      <w:szCs w:val="18"/>
                    </w:rPr>
                  </w:pPr>
                </w:p>
              </w:tc>
              <w:tc>
                <w:tcPr>
                  <w:tcW w:w="268" w:type="pct"/>
                  <w:tcBorders>
                    <w:tl2br w:val="nil"/>
                    <w:tr2bl w:val="nil"/>
                  </w:tcBorders>
                  <w:vAlign w:val="center"/>
                </w:tcPr>
                <w:p w14:paraId="34F0F1C1">
                  <w:pPr>
                    <w:pStyle w:val="83"/>
                    <w:rPr>
                      <w:rFonts w:hint="default"/>
                      <w:sz w:val="18"/>
                      <w:szCs w:val="18"/>
                    </w:rPr>
                  </w:pPr>
                </w:p>
              </w:tc>
              <w:tc>
                <w:tcPr>
                  <w:tcW w:w="199" w:type="pct"/>
                  <w:tcBorders>
                    <w:tl2br w:val="nil"/>
                    <w:tr2bl w:val="nil"/>
                  </w:tcBorders>
                  <w:vAlign w:val="center"/>
                </w:tcPr>
                <w:p w14:paraId="1A775427">
                  <w:pPr>
                    <w:pStyle w:val="83"/>
                    <w:rPr>
                      <w:rFonts w:hint="default"/>
                      <w:sz w:val="18"/>
                      <w:szCs w:val="18"/>
                    </w:rPr>
                  </w:pPr>
                </w:p>
              </w:tc>
              <w:tc>
                <w:tcPr>
                  <w:tcW w:w="254" w:type="pct"/>
                  <w:tcBorders>
                    <w:tl2br w:val="nil"/>
                    <w:tr2bl w:val="nil"/>
                  </w:tcBorders>
                  <w:vAlign w:val="center"/>
                </w:tcPr>
                <w:p w14:paraId="6EE42A3E">
                  <w:pPr>
                    <w:pStyle w:val="83"/>
                    <w:rPr>
                      <w:rFonts w:hint="default"/>
                      <w:sz w:val="18"/>
                      <w:szCs w:val="18"/>
                    </w:rPr>
                  </w:pPr>
                </w:p>
              </w:tc>
              <w:tc>
                <w:tcPr>
                  <w:tcW w:w="264" w:type="pct"/>
                  <w:tcBorders>
                    <w:tl2br w:val="nil"/>
                    <w:tr2bl w:val="nil"/>
                  </w:tcBorders>
                  <w:vAlign w:val="center"/>
                </w:tcPr>
                <w:p w14:paraId="423570B4">
                  <w:pPr>
                    <w:pStyle w:val="83"/>
                    <w:rPr>
                      <w:rFonts w:hint="default"/>
                      <w:sz w:val="18"/>
                      <w:szCs w:val="18"/>
                    </w:rPr>
                  </w:pPr>
                  <w:r>
                    <w:rPr>
                      <w:sz w:val="18"/>
                      <w:szCs w:val="18"/>
                    </w:rPr>
                    <w:t>0.283</w:t>
                  </w:r>
                </w:p>
              </w:tc>
              <w:tc>
                <w:tcPr>
                  <w:tcW w:w="295" w:type="pct"/>
                  <w:tcBorders>
                    <w:tl2br w:val="nil"/>
                    <w:tr2bl w:val="nil"/>
                  </w:tcBorders>
                  <w:vAlign w:val="center"/>
                </w:tcPr>
                <w:p w14:paraId="17317DB0">
                  <w:pPr>
                    <w:pStyle w:val="83"/>
                    <w:rPr>
                      <w:rFonts w:hint="default"/>
                      <w:sz w:val="18"/>
                      <w:szCs w:val="18"/>
                    </w:rPr>
                  </w:pPr>
                  <w:r>
                    <w:rPr>
                      <w:sz w:val="18"/>
                      <w:szCs w:val="18"/>
                    </w:rPr>
                    <w:t>0.097</w:t>
                  </w:r>
                </w:p>
              </w:tc>
              <w:tc>
                <w:tcPr>
                  <w:tcW w:w="313" w:type="pct"/>
                  <w:tcBorders>
                    <w:tl2br w:val="nil"/>
                    <w:tr2bl w:val="nil"/>
                  </w:tcBorders>
                  <w:vAlign w:val="center"/>
                </w:tcPr>
                <w:p w14:paraId="60AF89AD">
                  <w:pPr>
                    <w:pStyle w:val="83"/>
                    <w:rPr>
                      <w:rFonts w:hint="default"/>
                      <w:sz w:val="18"/>
                      <w:szCs w:val="18"/>
                    </w:rPr>
                  </w:pPr>
                </w:p>
              </w:tc>
              <w:tc>
                <w:tcPr>
                  <w:tcW w:w="120" w:type="pct"/>
                  <w:tcBorders>
                    <w:tl2br w:val="nil"/>
                    <w:tr2bl w:val="nil"/>
                  </w:tcBorders>
                  <w:vAlign w:val="center"/>
                </w:tcPr>
                <w:p w14:paraId="4941894A">
                  <w:pPr>
                    <w:pStyle w:val="83"/>
                    <w:rPr>
                      <w:rFonts w:hint="default"/>
                      <w:sz w:val="18"/>
                      <w:szCs w:val="18"/>
                    </w:rPr>
                  </w:pPr>
                </w:p>
              </w:tc>
              <w:tc>
                <w:tcPr>
                  <w:tcW w:w="171" w:type="pct"/>
                  <w:tcBorders>
                    <w:tl2br w:val="nil"/>
                    <w:tr2bl w:val="nil"/>
                  </w:tcBorders>
                  <w:vAlign w:val="center"/>
                </w:tcPr>
                <w:p w14:paraId="723CB4BF">
                  <w:pPr>
                    <w:pStyle w:val="83"/>
                    <w:rPr>
                      <w:rFonts w:hint="default"/>
                      <w:sz w:val="18"/>
                      <w:szCs w:val="18"/>
                    </w:rPr>
                  </w:pPr>
                </w:p>
              </w:tc>
              <w:tc>
                <w:tcPr>
                  <w:tcW w:w="152" w:type="pct"/>
                  <w:tcBorders>
                    <w:tl2br w:val="nil"/>
                    <w:tr2bl w:val="nil"/>
                  </w:tcBorders>
                  <w:vAlign w:val="center"/>
                </w:tcPr>
                <w:p w14:paraId="1DEEED90">
                  <w:pPr>
                    <w:pStyle w:val="83"/>
                    <w:rPr>
                      <w:rFonts w:hint="default"/>
                      <w:sz w:val="18"/>
                      <w:szCs w:val="18"/>
                    </w:rPr>
                  </w:pPr>
                </w:p>
              </w:tc>
              <w:tc>
                <w:tcPr>
                  <w:tcW w:w="149" w:type="pct"/>
                  <w:tcBorders>
                    <w:tl2br w:val="nil"/>
                    <w:tr2bl w:val="nil"/>
                  </w:tcBorders>
                  <w:vAlign w:val="center"/>
                </w:tcPr>
                <w:p w14:paraId="721C6F9F">
                  <w:pPr>
                    <w:pStyle w:val="83"/>
                    <w:rPr>
                      <w:rFonts w:hint="default"/>
                      <w:sz w:val="18"/>
                      <w:szCs w:val="18"/>
                    </w:rPr>
                  </w:pPr>
                </w:p>
              </w:tc>
              <w:tc>
                <w:tcPr>
                  <w:tcW w:w="224" w:type="pct"/>
                  <w:tcBorders>
                    <w:tl2br w:val="nil"/>
                    <w:tr2bl w:val="nil"/>
                  </w:tcBorders>
                  <w:vAlign w:val="center"/>
                </w:tcPr>
                <w:p w14:paraId="47F31D73">
                  <w:pPr>
                    <w:pStyle w:val="83"/>
                    <w:rPr>
                      <w:rFonts w:hint="default"/>
                      <w:sz w:val="18"/>
                      <w:szCs w:val="18"/>
                    </w:rPr>
                  </w:pPr>
                  <w:r>
                    <w:rPr>
                      <w:sz w:val="18"/>
                      <w:szCs w:val="18"/>
                    </w:rPr>
                    <w:t>2920</w:t>
                  </w:r>
                </w:p>
              </w:tc>
              <w:tc>
                <w:tcPr>
                  <w:tcW w:w="189" w:type="pct"/>
                  <w:tcBorders>
                    <w:tl2br w:val="nil"/>
                    <w:tr2bl w:val="nil"/>
                  </w:tcBorders>
                  <w:vAlign w:val="center"/>
                </w:tcPr>
                <w:p w14:paraId="54BD93D3">
                  <w:pPr>
                    <w:pStyle w:val="83"/>
                    <w:rPr>
                      <w:rFonts w:hint="default"/>
                      <w:sz w:val="18"/>
                      <w:szCs w:val="18"/>
                    </w:rPr>
                  </w:pPr>
                </w:p>
              </w:tc>
              <w:tc>
                <w:tcPr>
                  <w:tcW w:w="188" w:type="pct"/>
                  <w:tcBorders>
                    <w:tl2br w:val="nil"/>
                    <w:tr2bl w:val="nil"/>
                  </w:tcBorders>
                  <w:vAlign w:val="center"/>
                </w:tcPr>
                <w:p w14:paraId="07DCF7B2">
                  <w:pPr>
                    <w:pStyle w:val="83"/>
                    <w:rPr>
                      <w:rFonts w:hint="default"/>
                      <w:sz w:val="18"/>
                      <w:szCs w:val="18"/>
                    </w:rPr>
                  </w:pPr>
                  <w:r>
                    <w:rPr>
                      <w:sz w:val="18"/>
                      <w:szCs w:val="18"/>
                    </w:rPr>
                    <w:t>是</w:t>
                  </w:r>
                </w:p>
              </w:tc>
            </w:tr>
            <w:tr w14:paraId="731D70F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06" w:type="pct"/>
                  <w:tcBorders>
                    <w:tl2br w:val="nil"/>
                    <w:tr2bl w:val="nil"/>
                  </w:tcBorders>
                  <w:vAlign w:val="center"/>
                </w:tcPr>
                <w:p w14:paraId="6B19A77C">
                  <w:pPr>
                    <w:pStyle w:val="83"/>
                    <w:rPr>
                      <w:rFonts w:hint="default"/>
                      <w:sz w:val="18"/>
                      <w:szCs w:val="18"/>
                    </w:rPr>
                  </w:pPr>
                  <w:r>
                    <w:rPr>
                      <w:sz w:val="18"/>
                      <w:szCs w:val="18"/>
                    </w:rPr>
                    <w:t>研发检验工序</w:t>
                  </w:r>
                </w:p>
              </w:tc>
              <w:tc>
                <w:tcPr>
                  <w:tcW w:w="184" w:type="pct"/>
                  <w:tcBorders>
                    <w:tl2br w:val="nil"/>
                    <w:tr2bl w:val="nil"/>
                  </w:tcBorders>
                  <w:vAlign w:val="center"/>
                </w:tcPr>
                <w:p w14:paraId="523B3A8E">
                  <w:pPr>
                    <w:pStyle w:val="83"/>
                    <w:rPr>
                      <w:rFonts w:hint="default"/>
                      <w:sz w:val="18"/>
                      <w:szCs w:val="18"/>
                    </w:rPr>
                  </w:pPr>
                  <w:r>
                    <w:rPr>
                      <w:sz w:val="18"/>
                      <w:szCs w:val="18"/>
                    </w:rPr>
                    <w:t>研发废气</w:t>
                  </w:r>
                </w:p>
              </w:tc>
              <w:tc>
                <w:tcPr>
                  <w:tcW w:w="213" w:type="pct"/>
                  <w:tcBorders>
                    <w:tl2br w:val="nil"/>
                    <w:tr2bl w:val="nil"/>
                  </w:tcBorders>
                  <w:vAlign w:val="center"/>
                </w:tcPr>
                <w:p w14:paraId="454232D3">
                  <w:pPr>
                    <w:pStyle w:val="83"/>
                    <w:rPr>
                      <w:rFonts w:hint="default"/>
                      <w:sz w:val="18"/>
                      <w:szCs w:val="18"/>
                    </w:rPr>
                  </w:pPr>
                  <w:r>
                    <w:rPr>
                      <w:sz w:val="18"/>
                      <w:szCs w:val="18"/>
                    </w:rPr>
                    <w:t>非甲烷总烃</w:t>
                  </w:r>
                </w:p>
              </w:tc>
              <w:tc>
                <w:tcPr>
                  <w:tcW w:w="223" w:type="pct"/>
                  <w:tcBorders>
                    <w:tl2br w:val="nil"/>
                    <w:tr2bl w:val="nil"/>
                  </w:tcBorders>
                  <w:vAlign w:val="center"/>
                </w:tcPr>
                <w:p w14:paraId="17A4AF4F">
                  <w:pPr>
                    <w:pStyle w:val="83"/>
                    <w:rPr>
                      <w:rFonts w:hint="default"/>
                      <w:sz w:val="18"/>
                      <w:szCs w:val="18"/>
                    </w:rPr>
                  </w:pPr>
                </w:p>
              </w:tc>
              <w:tc>
                <w:tcPr>
                  <w:tcW w:w="253" w:type="pct"/>
                  <w:tcBorders>
                    <w:tl2br w:val="nil"/>
                    <w:tr2bl w:val="nil"/>
                  </w:tcBorders>
                  <w:vAlign w:val="center"/>
                </w:tcPr>
                <w:p w14:paraId="23E61755">
                  <w:pPr>
                    <w:pStyle w:val="83"/>
                    <w:rPr>
                      <w:rFonts w:hint="default"/>
                      <w:sz w:val="18"/>
                      <w:szCs w:val="18"/>
                    </w:rPr>
                  </w:pPr>
                </w:p>
              </w:tc>
              <w:tc>
                <w:tcPr>
                  <w:tcW w:w="301" w:type="pct"/>
                  <w:tcBorders>
                    <w:tl2br w:val="nil"/>
                    <w:tr2bl w:val="nil"/>
                  </w:tcBorders>
                  <w:vAlign w:val="center"/>
                </w:tcPr>
                <w:p w14:paraId="4D19E31B">
                  <w:pPr>
                    <w:pStyle w:val="83"/>
                    <w:rPr>
                      <w:rFonts w:hint="default"/>
                      <w:sz w:val="18"/>
                      <w:szCs w:val="18"/>
                    </w:rPr>
                  </w:pPr>
                </w:p>
              </w:tc>
              <w:tc>
                <w:tcPr>
                  <w:tcW w:w="322" w:type="pct"/>
                  <w:tcBorders>
                    <w:tl2br w:val="nil"/>
                    <w:tr2bl w:val="nil"/>
                  </w:tcBorders>
                  <w:vAlign w:val="center"/>
                </w:tcPr>
                <w:p w14:paraId="752A6ABB">
                  <w:pPr>
                    <w:pStyle w:val="83"/>
                    <w:rPr>
                      <w:rFonts w:hint="default"/>
                      <w:sz w:val="18"/>
                      <w:szCs w:val="18"/>
                    </w:rPr>
                  </w:pPr>
                </w:p>
              </w:tc>
              <w:tc>
                <w:tcPr>
                  <w:tcW w:w="214" w:type="pct"/>
                  <w:vMerge w:val="continue"/>
                  <w:tcBorders>
                    <w:tl2br w:val="nil"/>
                    <w:tr2bl w:val="nil"/>
                  </w:tcBorders>
                  <w:vAlign w:val="center"/>
                </w:tcPr>
                <w:p w14:paraId="774D85A9">
                  <w:pPr>
                    <w:pStyle w:val="83"/>
                    <w:rPr>
                      <w:rFonts w:hint="default"/>
                      <w:sz w:val="18"/>
                      <w:szCs w:val="18"/>
                    </w:rPr>
                  </w:pPr>
                </w:p>
              </w:tc>
              <w:tc>
                <w:tcPr>
                  <w:tcW w:w="287" w:type="pct"/>
                  <w:tcBorders>
                    <w:tl2br w:val="nil"/>
                    <w:tr2bl w:val="nil"/>
                  </w:tcBorders>
                  <w:vAlign w:val="center"/>
                </w:tcPr>
                <w:p w14:paraId="740D9CCD">
                  <w:pPr>
                    <w:pStyle w:val="83"/>
                    <w:rPr>
                      <w:rFonts w:hint="default"/>
                      <w:sz w:val="18"/>
                      <w:szCs w:val="18"/>
                    </w:rPr>
                  </w:pPr>
                </w:p>
              </w:tc>
              <w:tc>
                <w:tcPr>
                  <w:tcW w:w="268" w:type="pct"/>
                  <w:tcBorders>
                    <w:tl2br w:val="nil"/>
                    <w:tr2bl w:val="nil"/>
                  </w:tcBorders>
                  <w:vAlign w:val="center"/>
                </w:tcPr>
                <w:p w14:paraId="494560C7">
                  <w:pPr>
                    <w:pStyle w:val="83"/>
                    <w:rPr>
                      <w:rFonts w:hint="default"/>
                      <w:sz w:val="18"/>
                      <w:szCs w:val="18"/>
                    </w:rPr>
                  </w:pPr>
                </w:p>
              </w:tc>
              <w:tc>
                <w:tcPr>
                  <w:tcW w:w="199" w:type="pct"/>
                  <w:tcBorders>
                    <w:tl2br w:val="nil"/>
                    <w:tr2bl w:val="nil"/>
                  </w:tcBorders>
                  <w:vAlign w:val="center"/>
                </w:tcPr>
                <w:p w14:paraId="059E9953">
                  <w:pPr>
                    <w:pStyle w:val="83"/>
                    <w:rPr>
                      <w:rFonts w:hint="default"/>
                      <w:sz w:val="18"/>
                      <w:szCs w:val="18"/>
                    </w:rPr>
                  </w:pPr>
                </w:p>
              </w:tc>
              <w:tc>
                <w:tcPr>
                  <w:tcW w:w="254" w:type="pct"/>
                  <w:tcBorders>
                    <w:tl2br w:val="nil"/>
                    <w:tr2bl w:val="nil"/>
                  </w:tcBorders>
                  <w:vAlign w:val="center"/>
                </w:tcPr>
                <w:p w14:paraId="306CAF43">
                  <w:pPr>
                    <w:pStyle w:val="83"/>
                    <w:rPr>
                      <w:rFonts w:hint="default"/>
                      <w:sz w:val="18"/>
                      <w:szCs w:val="18"/>
                    </w:rPr>
                  </w:pPr>
                </w:p>
              </w:tc>
              <w:tc>
                <w:tcPr>
                  <w:tcW w:w="264" w:type="pct"/>
                  <w:tcBorders>
                    <w:tl2br w:val="nil"/>
                    <w:tr2bl w:val="nil"/>
                  </w:tcBorders>
                  <w:vAlign w:val="center"/>
                </w:tcPr>
                <w:p w14:paraId="548C7A53">
                  <w:pPr>
                    <w:pStyle w:val="83"/>
                    <w:rPr>
                      <w:rFonts w:hint="default"/>
                      <w:sz w:val="18"/>
                      <w:szCs w:val="18"/>
                    </w:rPr>
                  </w:pPr>
                  <w:r>
                    <w:rPr>
                      <w:sz w:val="18"/>
                      <w:szCs w:val="18"/>
                    </w:rPr>
                    <w:t>0.0014</w:t>
                  </w:r>
                </w:p>
              </w:tc>
              <w:tc>
                <w:tcPr>
                  <w:tcW w:w="295" w:type="pct"/>
                  <w:tcBorders>
                    <w:tl2br w:val="nil"/>
                    <w:tr2bl w:val="nil"/>
                  </w:tcBorders>
                  <w:vAlign w:val="center"/>
                </w:tcPr>
                <w:p w14:paraId="2C3DABF4">
                  <w:pPr>
                    <w:pStyle w:val="83"/>
                    <w:rPr>
                      <w:rFonts w:hint="default"/>
                      <w:sz w:val="18"/>
                      <w:szCs w:val="18"/>
                    </w:rPr>
                  </w:pPr>
                  <w:r>
                    <w:rPr>
                      <w:sz w:val="18"/>
                      <w:szCs w:val="18"/>
                    </w:rPr>
                    <w:t>0.0018</w:t>
                  </w:r>
                </w:p>
              </w:tc>
              <w:tc>
                <w:tcPr>
                  <w:tcW w:w="313" w:type="pct"/>
                  <w:tcBorders>
                    <w:tl2br w:val="nil"/>
                    <w:tr2bl w:val="nil"/>
                  </w:tcBorders>
                  <w:vAlign w:val="center"/>
                </w:tcPr>
                <w:p w14:paraId="54FA7566">
                  <w:pPr>
                    <w:pStyle w:val="83"/>
                    <w:rPr>
                      <w:rFonts w:hint="default"/>
                      <w:sz w:val="18"/>
                      <w:szCs w:val="18"/>
                    </w:rPr>
                  </w:pPr>
                </w:p>
              </w:tc>
              <w:tc>
                <w:tcPr>
                  <w:tcW w:w="120" w:type="pct"/>
                  <w:tcBorders>
                    <w:tl2br w:val="nil"/>
                    <w:tr2bl w:val="nil"/>
                  </w:tcBorders>
                  <w:vAlign w:val="center"/>
                </w:tcPr>
                <w:p w14:paraId="2776A804">
                  <w:pPr>
                    <w:pStyle w:val="83"/>
                    <w:rPr>
                      <w:rFonts w:hint="default"/>
                      <w:sz w:val="18"/>
                      <w:szCs w:val="18"/>
                    </w:rPr>
                  </w:pPr>
                </w:p>
              </w:tc>
              <w:tc>
                <w:tcPr>
                  <w:tcW w:w="171" w:type="pct"/>
                  <w:tcBorders>
                    <w:tl2br w:val="nil"/>
                    <w:tr2bl w:val="nil"/>
                  </w:tcBorders>
                  <w:vAlign w:val="center"/>
                </w:tcPr>
                <w:p w14:paraId="0E1872C1">
                  <w:pPr>
                    <w:pStyle w:val="83"/>
                    <w:rPr>
                      <w:rFonts w:hint="default"/>
                      <w:sz w:val="18"/>
                      <w:szCs w:val="18"/>
                    </w:rPr>
                  </w:pPr>
                </w:p>
              </w:tc>
              <w:tc>
                <w:tcPr>
                  <w:tcW w:w="152" w:type="pct"/>
                  <w:tcBorders>
                    <w:tl2br w:val="nil"/>
                    <w:tr2bl w:val="nil"/>
                  </w:tcBorders>
                  <w:vAlign w:val="center"/>
                </w:tcPr>
                <w:p w14:paraId="5AF70CA9">
                  <w:pPr>
                    <w:pStyle w:val="83"/>
                    <w:rPr>
                      <w:rFonts w:hint="default"/>
                      <w:sz w:val="18"/>
                      <w:szCs w:val="18"/>
                    </w:rPr>
                  </w:pPr>
                </w:p>
              </w:tc>
              <w:tc>
                <w:tcPr>
                  <w:tcW w:w="149" w:type="pct"/>
                  <w:tcBorders>
                    <w:tl2br w:val="nil"/>
                    <w:tr2bl w:val="nil"/>
                  </w:tcBorders>
                  <w:vAlign w:val="center"/>
                </w:tcPr>
                <w:p w14:paraId="52AD9239">
                  <w:pPr>
                    <w:pStyle w:val="83"/>
                    <w:rPr>
                      <w:rFonts w:hint="default"/>
                      <w:sz w:val="18"/>
                      <w:szCs w:val="18"/>
                    </w:rPr>
                  </w:pPr>
                </w:p>
              </w:tc>
              <w:tc>
                <w:tcPr>
                  <w:tcW w:w="224" w:type="pct"/>
                  <w:tcBorders>
                    <w:tl2br w:val="nil"/>
                    <w:tr2bl w:val="nil"/>
                  </w:tcBorders>
                  <w:vAlign w:val="center"/>
                </w:tcPr>
                <w:p w14:paraId="67CF84F3">
                  <w:pPr>
                    <w:pStyle w:val="83"/>
                    <w:rPr>
                      <w:rFonts w:hint="default"/>
                      <w:sz w:val="18"/>
                      <w:szCs w:val="18"/>
                    </w:rPr>
                  </w:pPr>
                  <w:r>
                    <w:rPr>
                      <w:sz w:val="18"/>
                      <w:szCs w:val="18"/>
                    </w:rPr>
                    <w:t>800</w:t>
                  </w:r>
                </w:p>
              </w:tc>
              <w:tc>
                <w:tcPr>
                  <w:tcW w:w="189" w:type="pct"/>
                  <w:tcBorders>
                    <w:tl2br w:val="nil"/>
                    <w:tr2bl w:val="nil"/>
                  </w:tcBorders>
                  <w:vAlign w:val="center"/>
                </w:tcPr>
                <w:p w14:paraId="1F2C3BDD">
                  <w:pPr>
                    <w:pStyle w:val="83"/>
                    <w:rPr>
                      <w:rFonts w:hint="default"/>
                      <w:sz w:val="18"/>
                      <w:szCs w:val="18"/>
                    </w:rPr>
                  </w:pPr>
                </w:p>
              </w:tc>
              <w:tc>
                <w:tcPr>
                  <w:tcW w:w="188" w:type="pct"/>
                  <w:tcBorders>
                    <w:tl2br w:val="nil"/>
                    <w:tr2bl w:val="nil"/>
                  </w:tcBorders>
                  <w:vAlign w:val="center"/>
                </w:tcPr>
                <w:p w14:paraId="7F01621A">
                  <w:pPr>
                    <w:pStyle w:val="83"/>
                    <w:rPr>
                      <w:rFonts w:hint="default"/>
                      <w:sz w:val="18"/>
                      <w:szCs w:val="18"/>
                    </w:rPr>
                  </w:pPr>
                  <w:r>
                    <w:rPr>
                      <w:sz w:val="18"/>
                      <w:szCs w:val="18"/>
                    </w:rPr>
                    <w:t>是</w:t>
                  </w:r>
                </w:p>
              </w:tc>
            </w:tr>
            <w:tr w14:paraId="27A4160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90" w:type="pct"/>
                  <w:gridSpan w:val="2"/>
                  <w:vMerge w:val="restart"/>
                  <w:tcBorders>
                    <w:tl2br w:val="nil"/>
                    <w:tr2bl w:val="nil"/>
                  </w:tcBorders>
                  <w:vAlign w:val="center"/>
                </w:tcPr>
                <w:p w14:paraId="4B836E66">
                  <w:pPr>
                    <w:pStyle w:val="83"/>
                    <w:rPr>
                      <w:rFonts w:hint="default"/>
                      <w:sz w:val="18"/>
                      <w:szCs w:val="18"/>
                    </w:rPr>
                  </w:pPr>
                  <w:r>
                    <w:rPr>
                      <w:sz w:val="18"/>
                      <w:szCs w:val="18"/>
                    </w:rPr>
                    <w:t>合计</w:t>
                  </w:r>
                </w:p>
              </w:tc>
              <w:tc>
                <w:tcPr>
                  <w:tcW w:w="213" w:type="pct"/>
                  <w:tcBorders>
                    <w:tl2br w:val="nil"/>
                    <w:tr2bl w:val="nil"/>
                  </w:tcBorders>
                  <w:vAlign w:val="center"/>
                </w:tcPr>
                <w:p w14:paraId="0C2F2197">
                  <w:pPr>
                    <w:pStyle w:val="83"/>
                    <w:rPr>
                      <w:rFonts w:hint="default"/>
                      <w:sz w:val="18"/>
                      <w:szCs w:val="18"/>
                    </w:rPr>
                  </w:pPr>
                  <w:r>
                    <w:rPr>
                      <w:sz w:val="18"/>
                      <w:szCs w:val="18"/>
                    </w:rPr>
                    <w:t>非甲烷总烃</w:t>
                  </w:r>
                </w:p>
              </w:tc>
              <w:tc>
                <w:tcPr>
                  <w:tcW w:w="223" w:type="pct"/>
                  <w:tcBorders>
                    <w:tl2br w:val="nil"/>
                    <w:tr2bl w:val="nil"/>
                  </w:tcBorders>
                  <w:vAlign w:val="center"/>
                </w:tcPr>
                <w:p w14:paraId="07284BDE">
                  <w:pPr>
                    <w:pStyle w:val="83"/>
                    <w:rPr>
                      <w:rFonts w:hint="default"/>
                      <w:sz w:val="18"/>
                      <w:szCs w:val="18"/>
                    </w:rPr>
                  </w:pPr>
                </w:p>
              </w:tc>
              <w:tc>
                <w:tcPr>
                  <w:tcW w:w="253" w:type="pct"/>
                  <w:tcBorders>
                    <w:tl2br w:val="nil"/>
                    <w:tr2bl w:val="nil"/>
                  </w:tcBorders>
                  <w:vAlign w:val="center"/>
                </w:tcPr>
                <w:p w14:paraId="2FF324FE">
                  <w:pPr>
                    <w:pStyle w:val="83"/>
                    <w:rPr>
                      <w:rFonts w:hint="default"/>
                      <w:sz w:val="18"/>
                      <w:szCs w:val="18"/>
                    </w:rPr>
                  </w:pPr>
                </w:p>
              </w:tc>
              <w:tc>
                <w:tcPr>
                  <w:tcW w:w="301" w:type="pct"/>
                  <w:tcBorders>
                    <w:tl2br w:val="nil"/>
                    <w:tr2bl w:val="nil"/>
                  </w:tcBorders>
                  <w:vAlign w:val="center"/>
                </w:tcPr>
                <w:p w14:paraId="1DDEF799">
                  <w:pPr>
                    <w:pStyle w:val="83"/>
                    <w:rPr>
                      <w:rFonts w:hint="default"/>
                      <w:sz w:val="18"/>
                      <w:szCs w:val="18"/>
                    </w:rPr>
                  </w:pPr>
                </w:p>
              </w:tc>
              <w:tc>
                <w:tcPr>
                  <w:tcW w:w="322" w:type="pct"/>
                  <w:tcBorders>
                    <w:tl2br w:val="nil"/>
                    <w:tr2bl w:val="nil"/>
                  </w:tcBorders>
                  <w:vAlign w:val="center"/>
                </w:tcPr>
                <w:p w14:paraId="0DCD5B76">
                  <w:pPr>
                    <w:pStyle w:val="83"/>
                    <w:rPr>
                      <w:rFonts w:hint="default"/>
                      <w:sz w:val="18"/>
                      <w:szCs w:val="18"/>
                    </w:rPr>
                  </w:pPr>
                </w:p>
              </w:tc>
              <w:tc>
                <w:tcPr>
                  <w:tcW w:w="214" w:type="pct"/>
                  <w:tcBorders>
                    <w:tl2br w:val="nil"/>
                    <w:tr2bl w:val="nil"/>
                  </w:tcBorders>
                  <w:vAlign w:val="center"/>
                </w:tcPr>
                <w:p w14:paraId="1A3A7E29">
                  <w:pPr>
                    <w:pStyle w:val="83"/>
                    <w:rPr>
                      <w:rFonts w:hint="default"/>
                      <w:sz w:val="18"/>
                      <w:szCs w:val="18"/>
                    </w:rPr>
                  </w:pPr>
                </w:p>
              </w:tc>
              <w:tc>
                <w:tcPr>
                  <w:tcW w:w="287" w:type="pct"/>
                  <w:tcBorders>
                    <w:tl2br w:val="nil"/>
                    <w:tr2bl w:val="nil"/>
                  </w:tcBorders>
                  <w:vAlign w:val="center"/>
                </w:tcPr>
                <w:p w14:paraId="51069886">
                  <w:pPr>
                    <w:pStyle w:val="83"/>
                    <w:rPr>
                      <w:rFonts w:hint="default"/>
                      <w:sz w:val="18"/>
                      <w:szCs w:val="18"/>
                    </w:rPr>
                  </w:pPr>
                </w:p>
              </w:tc>
              <w:tc>
                <w:tcPr>
                  <w:tcW w:w="268" w:type="pct"/>
                  <w:tcBorders>
                    <w:tl2br w:val="nil"/>
                    <w:tr2bl w:val="nil"/>
                  </w:tcBorders>
                  <w:vAlign w:val="center"/>
                </w:tcPr>
                <w:p w14:paraId="05163E46">
                  <w:pPr>
                    <w:pStyle w:val="83"/>
                    <w:rPr>
                      <w:rFonts w:hint="default"/>
                      <w:sz w:val="18"/>
                      <w:szCs w:val="18"/>
                    </w:rPr>
                  </w:pPr>
                </w:p>
              </w:tc>
              <w:tc>
                <w:tcPr>
                  <w:tcW w:w="199" w:type="pct"/>
                  <w:tcBorders>
                    <w:tl2br w:val="nil"/>
                    <w:tr2bl w:val="nil"/>
                  </w:tcBorders>
                  <w:vAlign w:val="center"/>
                </w:tcPr>
                <w:p w14:paraId="415FC4FE">
                  <w:pPr>
                    <w:pStyle w:val="83"/>
                    <w:rPr>
                      <w:rFonts w:hint="default"/>
                      <w:sz w:val="18"/>
                      <w:szCs w:val="18"/>
                    </w:rPr>
                  </w:pPr>
                </w:p>
              </w:tc>
              <w:tc>
                <w:tcPr>
                  <w:tcW w:w="254" w:type="pct"/>
                  <w:tcBorders>
                    <w:tl2br w:val="nil"/>
                    <w:tr2bl w:val="nil"/>
                  </w:tcBorders>
                  <w:vAlign w:val="center"/>
                </w:tcPr>
                <w:p w14:paraId="12151BA5">
                  <w:pPr>
                    <w:pStyle w:val="83"/>
                    <w:rPr>
                      <w:rFonts w:hint="default"/>
                      <w:sz w:val="18"/>
                      <w:szCs w:val="18"/>
                    </w:rPr>
                  </w:pPr>
                </w:p>
              </w:tc>
              <w:tc>
                <w:tcPr>
                  <w:tcW w:w="264" w:type="pct"/>
                  <w:tcBorders>
                    <w:tl2br w:val="nil"/>
                    <w:tr2bl w:val="nil"/>
                  </w:tcBorders>
                  <w:vAlign w:val="center"/>
                </w:tcPr>
                <w:p w14:paraId="4ED23479">
                  <w:pPr>
                    <w:pStyle w:val="83"/>
                    <w:rPr>
                      <w:rFonts w:hint="default"/>
                      <w:sz w:val="18"/>
                      <w:szCs w:val="18"/>
                    </w:rPr>
                  </w:pPr>
                  <w:r>
                    <w:rPr>
                      <w:sz w:val="18"/>
                      <w:szCs w:val="18"/>
                    </w:rPr>
                    <w:t>1.105</w:t>
                  </w:r>
                </w:p>
              </w:tc>
              <w:tc>
                <w:tcPr>
                  <w:tcW w:w="295" w:type="pct"/>
                  <w:tcBorders>
                    <w:tl2br w:val="nil"/>
                    <w:tr2bl w:val="nil"/>
                  </w:tcBorders>
                  <w:vAlign w:val="center"/>
                </w:tcPr>
                <w:p w14:paraId="7133F440">
                  <w:pPr>
                    <w:pStyle w:val="83"/>
                    <w:rPr>
                      <w:rFonts w:hint="default"/>
                      <w:sz w:val="18"/>
                      <w:szCs w:val="18"/>
                    </w:rPr>
                  </w:pPr>
                </w:p>
              </w:tc>
              <w:tc>
                <w:tcPr>
                  <w:tcW w:w="313" w:type="pct"/>
                  <w:tcBorders>
                    <w:tl2br w:val="nil"/>
                    <w:tr2bl w:val="nil"/>
                  </w:tcBorders>
                  <w:vAlign w:val="center"/>
                </w:tcPr>
                <w:p w14:paraId="712E2379">
                  <w:pPr>
                    <w:pStyle w:val="83"/>
                    <w:rPr>
                      <w:rFonts w:hint="default"/>
                      <w:sz w:val="18"/>
                      <w:szCs w:val="18"/>
                    </w:rPr>
                  </w:pPr>
                </w:p>
              </w:tc>
              <w:tc>
                <w:tcPr>
                  <w:tcW w:w="120" w:type="pct"/>
                  <w:tcBorders>
                    <w:tl2br w:val="nil"/>
                    <w:tr2bl w:val="nil"/>
                  </w:tcBorders>
                  <w:vAlign w:val="center"/>
                </w:tcPr>
                <w:p w14:paraId="1213CC46">
                  <w:pPr>
                    <w:pStyle w:val="83"/>
                    <w:rPr>
                      <w:rFonts w:hint="default"/>
                      <w:sz w:val="18"/>
                      <w:szCs w:val="18"/>
                    </w:rPr>
                  </w:pPr>
                </w:p>
              </w:tc>
              <w:tc>
                <w:tcPr>
                  <w:tcW w:w="171" w:type="pct"/>
                  <w:tcBorders>
                    <w:tl2br w:val="nil"/>
                    <w:tr2bl w:val="nil"/>
                  </w:tcBorders>
                  <w:vAlign w:val="center"/>
                </w:tcPr>
                <w:p w14:paraId="1C9061E3">
                  <w:pPr>
                    <w:pStyle w:val="83"/>
                    <w:rPr>
                      <w:rFonts w:hint="default"/>
                      <w:sz w:val="18"/>
                      <w:szCs w:val="18"/>
                    </w:rPr>
                  </w:pPr>
                </w:p>
              </w:tc>
              <w:tc>
                <w:tcPr>
                  <w:tcW w:w="152" w:type="pct"/>
                  <w:tcBorders>
                    <w:tl2br w:val="nil"/>
                    <w:tr2bl w:val="nil"/>
                  </w:tcBorders>
                  <w:vAlign w:val="center"/>
                </w:tcPr>
                <w:p w14:paraId="6A080DBD">
                  <w:pPr>
                    <w:pStyle w:val="83"/>
                    <w:rPr>
                      <w:rFonts w:hint="default"/>
                      <w:sz w:val="18"/>
                      <w:szCs w:val="18"/>
                    </w:rPr>
                  </w:pPr>
                </w:p>
              </w:tc>
              <w:tc>
                <w:tcPr>
                  <w:tcW w:w="149" w:type="pct"/>
                  <w:tcBorders>
                    <w:tl2br w:val="nil"/>
                    <w:tr2bl w:val="nil"/>
                  </w:tcBorders>
                  <w:vAlign w:val="center"/>
                </w:tcPr>
                <w:p w14:paraId="5204086A">
                  <w:pPr>
                    <w:pStyle w:val="83"/>
                    <w:rPr>
                      <w:rFonts w:hint="default"/>
                      <w:sz w:val="18"/>
                      <w:szCs w:val="18"/>
                    </w:rPr>
                  </w:pPr>
                </w:p>
              </w:tc>
              <w:tc>
                <w:tcPr>
                  <w:tcW w:w="224" w:type="pct"/>
                  <w:tcBorders>
                    <w:tl2br w:val="nil"/>
                    <w:tr2bl w:val="nil"/>
                  </w:tcBorders>
                  <w:vAlign w:val="center"/>
                </w:tcPr>
                <w:p w14:paraId="7FC3B4E7">
                  <w:pPr>
                    <w:pStyle w:val="83"/>
                    <w:rPr>
                      <w:rFonts w:hint="default"/>
                      <w:sz w:val="18"/>
                      <w:szCs w:val="18"/>
                    </w:rPr>
                  </w:pPr>
                </w:p>
              </w:tc>
              <w:tc>
                <w:tcPr>
                  <w:tcW w:w="189" w:type="pct"/>
                  <w:tcBorders>
                    <w:tl2br w:val="nil"/>
                    <w:tr2bl w:val="nil"/>
                  </w:tcBorders>
                  <w:vAlign w:val="center"/>
                </w:tcPr>
                <w:p w14:paraId="11FFFF6D">
                  <w:pPr>
                    <w:pStyle w:val="83"/>
                    <w:rPr>
                      <w:rFonts w:hint="default"/>
                      <w:sz w:val="18"/>
                      <w:szCs w:val="18"/>
                    </w:rPr>
                  </w:pPr>
                </w:p>
              </w:tc>
              <w:tc>
                <w:tcPr>
                  <w:tcW w:w="188" w:type="pct"/>
                  <w:tcBorders>
                    <w:tl2br w:val="nil"/>
                    <w:tr2bl w:val="nil"/>
                  </w:tcBorders>
                  <w:vAlign w:val="center"/>
                </w:tcPr>
                <w:p w14:paraId="24F6B5AB">
                  <w:pPr>
                    <w:pStyle w:val="83"/>
                    <w:rPr>
                      <w:rFonts w:hint="default"/>
                      <w:sz w:val="18"/>
                      <w:szCs w:val="18"/>
                    </w:rPr>
                  </w:pPr>
                </w:p>
              </w:tc>
            </w:tr>
            <w:tr w14:paraId="6181216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90" w:type="pct"/>
                  <w:gridSpan w:val="2"/>
                  <w:vMerge w:val="continue"/>
                  <w:tcBorders>
                    <w:tl2br w:val="nil"/>
                    <w:tr2bl w:val="nil"/>
                  </w:tcBorders>
                  <w:vAlign w:val="center"/>
                </w:tcPr>
                <w:p w14:paraId="5CEDA0CC">
                  <w:pPr>
                    <w:pStyle w:val="83"/>
                    <w:rPr>
                      <w:rFonts w:hint="default"/>
                      <w:sz w:val="18"/>
                      <w:szCs w:val="18"/>
                    </w:rPr>
                  </w:pPr>
                </w:p>
              </w:tc>
              <w:tc>
                <w:tcPr>
                  <w:tcW w:w="213" w:type="pct"/>
                  <w:tcBorders>
                    <w:tl2br w:val="nil"/>
                    <w:tr2bl w:val="nil"/>
                  </w:tcBorders>
                  <w:vAlign w:val="center"/>
                </w:tcPr>
                <w:p w14:paraId="233E89ED">
                  <w:pPr>
                    <w:pStyle w:val="83"/>
                    <w:rPr>
                      <w:rFonts w:hint="default"/>
                      <w:sz w:val="18"/>
                      <w:szCs w:val="18"/>
                    </w:rPr>
                  </w:pPr>
                  <w:r>
                    <w:rPr>
                      <w:sz w:val="18"/>
                      <w:szCs w:val="18"/>
                    </w:rPr>
                    <w:t>颗粒物</w:t>
                  </w:r>
                </w:p>
              </w:tc>
              <w:tc>
                <w:tcPr>
                  <w:tcW w:w="223" w:type="pct"/>
                  <w:tcBorders>
                    <w:tl2br w:val="nil"/>
                    <w:tr2bl w:val="nil"/>
                  </w:tcBorders>
                  <w:vAlign w:val="center"/>
                </w:tcPr>
                <w:p w14:paraId="313E1E71">
                  <w:pPr>
                    <w:pStyle w:val="83"/>
                    <w:rPr>
                      <w:rFonts w:hint="default"/>
                      <w:sz w:val="18"/>
                      <w:szCs w:val="18"/>
                    </w:rPr>
                  </w:pPr>
                </w:p>
              </w:tc>
              <w:tc>
                <w:tcPr>
                  <w:tcW w:w="253" w:type="pct"/>
                  <w:tcBorders>
                    <w:tl2br w:val="nil"/>
                    <w:tr2bl w:val="nil"/>
                  </w:tcBorders>
                  <w:vAlign w:val="center"/>
                </w:tcPr>
                <w:p w14:paraId="3722AA9F">
                  <w:pPr>
                    <w:pStyle w:val="83"/>
                    <w:rPr>
                      <w:rFonts w:hint="default"/>
                      <w:sz w:val="18"/>
                      <w:szCs w:val="18"/>
                    </w:rPr>
                  </w:pPr>
                </w:p>
              </w:tc>
              <w:tc>
                <w:tcPr>
                  <w:tcW w:w="301" w:type="pct"/>
                  <w:tcBorders>
                    <w:tl2br w:val="nil"/>
                    <w:tr2bl w:val="nil"/>
                  </w:tcBorders>
                  <w:vAlign w:val="center"/>
                </w:tcPr>
                <w:p w14:paraId="47F859DF">
                  <w:pPr>
                    <w:pStyle w:val="83"/>
                    <w:rPr>
                      <w:rFonts w:hint="default"/>
                      <w:sz w:val="18"/>
                      <w:szCs w:val="18"/>
                    </w:rPr>
                  </w:pPr>
                </w:p>
              </w:tc>
              <w:tc>
                <w:tcPr>
                  <w:tcW w:w="322" w:type="pct"/>
                  <w:tcBorders>
                    <w:tl2br w:val="nil"/>
                    <w:tr2bl w:val="nil"/>
                  </w:tcBorders>
                  <w:vAlign w:val="center"/>
                </w:tcPr>
                <w:p w14:paraId="1D9C9E20">
                  <w:pPr>
                    <w:pStyle w:val="83"/>
                    <w:rPr>
                      <w:rFonts w:hint="default"/>
                      <w:sz w:val="18"/>
                      <w:szCs w:val="18"/>
                    </w:rPr>
                  </w:pPr>
                </w:p>
              </w:tc>
              <w:tc>
                <w:tcPr>
                  <w:tcW w:w="214" w:type="pct"/>
                  <w:tcBorders>
                    <w:tl2br w:val="nil"/>
                    <w:tr2bl w:val="nil"/>
                  </w:tcBorders>
                  <w:vAlign w:val="center"/>
                </w:tcPr>
                <w:p w14:paraId="1C6AEA80">
                  <w:pPr>
                    <w:pStyle w:val="83"/>
                    <w:rPr>
                      <w:rFonts w:hint="default"/>
                      <w:sz w:val="18"/>
                      <w:szCs w:val="18"/>
                    </w:rPr>
                  </w:pPr>
                </w:p>
              </w:tc>
              <w:tc>
                <w:tcPr>
                  <w:tcW w:w="287" w:type="pct"/>
                  <w:tcBorders>
                    <w:tl2br w:val="nil"/>
                    <w:tr2bl w:val="nil"/>
                  </w:tcBorders>
                  <w:vAlign w:val="center"/>
                </w:tcPr>
                <w:p w14:paraId="4CB2DECE">
                  <w:pPr>
                    <w:pStyle w:val="83"/>
                    <w:rPr>
                      <w:rFonts w:hint="default"/>
                      <w:sz w:val="18"/>
                      <w:szCs w:val="18"/>
                    </w:rPr>
                  </w:pPr>
                </w:p>
              </w:tc>
              <w:tc>
                <w:tcPr>
                  <w:tcW w:w="268" w:type="pct"/>
                  <w:tcBorders>
                    <w:tl2br w:val="nil"/>
                    <w:tr2bl w:val="nil"/>
                  </w:tcBorders>
                  <w:vAlign w:val="center"/>
                </w:tcPr>
                <w:p w14:paraId="051A686B">
                  <w:pPr>
                    <w:pStyle w:val="83"/>
                    <w:rPr>
                      <w:rFonts w:hint="default"/>
                      <w:sz w:val="18"/>
                      <w:szCs w:val="18"/>
                    </w:rPr>
                  </w:pPr>
                </w:p>
              </w:tc>
              <w:tc>
                <w:tcPr>
                  <w:tcW w:w="199" w:type="pct"/>
                  <w:tcBorders>
                    <w:tl2br w:val="nil"/>
                    <w:tr2bl w:val="nil"/>
                  </w:tcBorders>
                  <w:vAlign w:val="center"/>
                </w:tcPr>
                <w:p w14:paraId="612493B5">
                  <w:pPr>
                    <w:pStyle w:val="83"/>
                    <w:rPr>
                      <w:rFonts w:hint="default"/>
                      <w:sz w:val="18"/>
                      <w:szCs w:val="18"/>
                    </w:rPr>
                  </w:pPr>
                </w:p>
              </w:tc>
              <w:tc>
                <w:tcPr>
                  <w:tcW w:w="254" w:type="pct"/>
                  <w:tcBorders>
                    <w:tl2br w:val="nil"/>
                    <w:tr2bl w:val="nil"/>
                  </w:tcBorders>
                  <w:vAlign w:val="center"/>
                </w:tcPr>
                <w:p w14:paraId="5343617E">
                  <w:pPr>
                    <w:pStyle w:val="83"/>
                    <w:rPr>
                      <w:rFonts w:hint="default"/>
                      <w:sz w:val="18"/>
                      <w:szCs w:val="18"/>
                    </w:rPr>
                  </w:pPr>
                </w:p>
              </w:tc>
              <w:tc>
                <w:tcPr>
                  <w:tcW w:w="264" w:type="pct"/>
                  <w:tcBorders>
                    <w:tl2br w:val="nil"/>
                    <w:tr2bl w:val="nil"/>
                  </w:tcBorders>
                  <w:vAlign w:val="center"/>
                </w:tcPr>
                <w:p w14:paraId="5AFFF756">
                  <w:pPr>
                    <w:pStyle w:val="83"/>
                    <w:rPr>
                      <w:rFonts w:hint="default"/>
                      <w:sz w:val="18"/>
                      <w:szCs w:val="18"/>
                    </w:rPr>
                  </w:pPr>
                  <w:r>
                    <w:rPr>
                      <w:sz w:val="18"/>
                      <w:szCs w:val="18"/>
                    </w:rPr>
                    <w:t>2.12</w:t>
                  </w:r>
                </w:p>
              </w:tc>
              <w:tc>
                <w:tcPr>
                  <w:tcW w:w="295" w:type="pct"/>
                  <w:tcBorders>
                    <w:tl2br w:val="nil"/>
                    <w:tr2bl w:val="nil"/>
                  </w:tcBorders>
                  <w:vAlign w:val="center"/>
                </w:tcPr>
                <w:p w14:paraId="28C092E8">
                  <w:pPr>
                    <w:pStyle w:val="83"/>
                    <w:rPr>
                      <w:rFonts w:hint="default"/>
                      <w:sz w:val="18"/>
                      <w:szCs w:val="18"/>
                    </w:rPr>
                  </w:pPr>
                </w:p>
              </w:tc>
              <w:tc>
                <w:tcPr>
                  <w:tcW w:w="313" w:type="pct"/>
                  <w:tcBorders>
                    <w:tl2br w:val="nil"/>
                    <w:tr2bl w:val="nil"/>
                  </w:tcBorders>
                  <w:vAlign w:val="center"/>
                </w:tcPr>
                <w:p w14:paraId="7ED0A100">
                  <w:pPr>
                    <w:pStyle w:val="83"/>
                    <w:rPr>
                      <w:rFonts w:hint="default"/>
                      <w:sz w:val="18"/>
                      <w:szCs w:val="18"/>
                    </w:rPr>
                  </w:pPr>
                </w:p>
              </w:tc>
              <w:tc>
                <w:tcPr>
                  <w:tcW w:w="120" w:type="pct"/>
                  <w:tcBorders>
                    <w:tl2br w:val="nil"/>
                    <w:tr2bl w:val="nil"/>
                  </w:tcBorders>
                  <w:vAlign w:val="center"/>
                </w:tcPr>
                <w:p w14:paraId="24BD6B39">
                  <w:pPr>
                    <w:pStyle w:val="83"/>
                    <w:rPr>
                      <w:rFonts w:hint="default"/>
                      <w:sz w:val="18"/>
                      <w:szCs w:val="18"/>
                    </w:rPr>
                  </w:pPr>
                </w:p>
              </w:tc>
              <w:tc>
                <w:tcPr>
                  <w:tcW w:w="171" w:type="pct"/>
                  <w:tcBorders>
                    <w:tl2br w:val="nil"/>
                    <w:tr2bl w:val="nil"/>
                  </w:tcBorders>
                  <w:vAlign w:val="center"/>
                </w:tcPr>
                <w:p w14:paraId="11C724AE">
                  <w:pPr>
                    <w:pStyle w:val="83"/>
                    <w:rPr>
                      <w:rFonts w:hint="default"/>
                      <w:sz w:val="18"/>
                      <w:szCs w:val="18"/>
                    </w:rPr>
                  </w:pPr>
                </w:p>
              </w:tc>
              <w:tc>
                <w:tcPr>
                  <w:tcW w:w="152" w:type="pct"/>
                  <w:tcBorders>
                    <w:tl2br w:val="nil"/>
                    <w:tr2bl w:val="nil"/>
                  </w:tcBorders>
                  <w:vAlign w:val="center"/>
                </w:tcPr>
                <w:p w14:paraId="1FD6D8D1">
                  <w:pPr>
                    <w:pStyle w:val="83"/>
                    <w:rPr>
                      <w:rFonts w:hint="default"/>
                      <w:sz w:val="18"/>
                      <w:szCs w:val="18"/>
                    </w:rPr>
                  </w:pPr>
                </w:p>
              </w:tc>
              <w:tc>
                <w:tcPr>
                  <w:tcW w:w="149" w:type="pct"/>
                  <w:tcBorders>
                    <w:tl2br w:val="nil"/>
                    <w:tr2bl w:val="nil"/>
                  </w:tcBorders>
                  <w:vAlign w:val="center"/>
                </w:tcPr>
                <w:p w14:paraId="104886D9">
                  <w:pPr>
                    <w:pStyle w:val="83"/>
                    <w:rPr>
                      <w:rFonts w:hint="default"/>
                      <w:sz w:val="18"/>
                      <w:szCs w:val="18"/>
                    </w:rPr>
                  </w:pPr>
                </w:p>
              </w:tc>
              <w:tc>
                <w:tcPr>
                  <w:tcW w:w="224" w:type="pct"/>
                  <w:tcBorders>
                    <w:tl2br w:val="nil"/>
                    <w:tr2bl w:val="nil"/>
                  </w:tcBorders>
                  <w:vAlign w:val="center"/>
                </w:tcPr>
                <w:p w14:paraId="4969D9CB">
                  <w:pPr>
                    <w:pStyle w:val="83"/>
                    <w:rPr>
                      <w:rFonts w:hint="default"/>
                      <w:sz w:val="18"/>
                      <w:szCs w:val="18"/>
                    </w:rPr>
                  </w:pPr>
                </w:p>
              </w:tc>
              <w:tc>
                <w:tcPr>
                  <w:tcW w:w="189" w:type="pct"/>
                  <w:tcBorders>
                    <w:tl2br w:val="nil"/>
                    <w:tr2bl w:val="nil"/>
                  </w:tcBorders>
                  <w:vAlign w:val="center"/>
                </w:tcPr>
                <w:p w14:paraId="7CD52BF7">
                  <w:pPr>
                    <w:pStyle w:val="83"/>
                    <w:rPr>
                      <w:rFonts w:hint="default"/>
                      <w:sz w:val="18"/>
                      <w:szCs w:val="18"/>
                    </w:rPr>
                  </w:pPr>
                </w:p>
              </w:tc>
              <w:tc>
                <w:tcPr>
                  <w:tcW w:w="188" w:type="pct"/>
                  <w:tcBorders>
                    <w:tl2br w:val="nil"/>
                    <w:tr2bl w:val="nil"/>
                  </w:tcBorders>
                  <w:noWrap/>
                  <w:vAlign w:val="center"/>
                </w:tcPr>
                <w:p w14:paraId="1904A02A">
                  <w:pPr>
                    <w:pStyle w:val="83"/>
                    <w:rPr>
                      <w:rFonts w:hint="default"/>
                      <w:sz w:val="18"/>
                      <w:szCs w:val="18"/>
                    </w:rPr>
                  </w:pPr>
                </w:p>
              </w:tc>
            </w:tr>
            <w:tr w14:paraId="3964FC9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000" w:type="pct"/>
                  <w:gridSpan w:val="22"/>
                  <w:tcBorders>
                    <w:tl2br w:val="nil"/>
                    <w:tr2bl w:val="nil"/>
                  </w:tcBorders>
                  <w:vAlign w:val="center"/>
                </w:tcPr>
                <w:p w14:paraId="31EC5F50">
                  <w:pPr>
                    <w:pStyle w:val="83"/>
                    <w:jc w:val="left"/>
                    <w:rPr>
                      <w:rFonts w:hint="default"/>
                      <w:sz w:val="18"/>
                      <w:szCs w:val="18"/>
                    </w:rPr>
                  </w:pPr>
                  <w:r>
                    <w:rPr>
                      <w:sz w:val="18"/>
                      <w:szCs w:val="18"/>
                    </w:rPr>
                    <w:t>备注：①实验室废气由通风橱收集后经1套烟气净化处理系统（水喷淋+活性炭吸附）处理后经1根18m高排气筒排放。废气属于间歇性排放且废气量很小，本次评价仅作定性分析。</w:t>
                  </w:r>
                </w:p>
                <w:p w14:paraId="54115E8C">
                  <w:pPr>
                    <w:pStyle w:val="83"/>
                    <w:ind w:firstLine="540" w:firstLineChars="300"/>
                    <w:jc w:val="left"/>
                    <w:rPr>
                      <w:rFonts w:hint="default"/>
                      <w:sz w:val="18"/>
                      <w:szCs w:val="18"/>
                    </w:rPr>
                  </w:pPr>
                  <w:r>
                    <w:rPr>
                      <w:sz w:val="18"/>
                      <w:szCs w:val="18"/>
                    </w:rPr>
                    <w:t>②本项目排气筒均为新建。</w:t>
                  </w:r>
                </w:p>
              </w:tc>
            </w:tr>
          </w:tbl>
          <w:p w14:paraId="723A5377">
            <w:pPr>
              <w:adjustRightInd w:val="0"/>
              <w:snapToGrid w:val="0"/>
              <w:ind w:firstLine="562"/>
              <w:rPr>
                <w:rFonts w:ascii="宋体" w:cs="宋体"/>
                <w:b/>
                <w:kern w:val="0"/>
                <w:sz w:val="28"/>
                <w:szCs w:val="28"/>
              </w:rPr>
            </w:pPr>
          </w:p>
        </w:tc>
      </w:tr>
    </w:tbl>
    <w:p w14:paraId="30FECE51">
      <w:pPr>
        <w:adjustRightInd w:val="0"/>
        <w:snapToGrid w:val="0"/>
        <w:ind w:firstLine="562"/>
        <w:rPr>
          <w:rFonts w:ascii="宋体" w:cs="宋体"/>
          <w:b/>
          <w:kern w:val="0"/>
          <w:sz w:val="28"/>
          <w:szCs w:val="28"/>
        </w:rPr>
        <w:sectPr>
          <w:pgSz w:w="23814" w:h="16839" w:orient="landscape"/>
          <w:pgMar w:top="1531" w:right="2127"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385"/>
      </w:tblGrid>
      <w:tr w14:paraId="2258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A3DC7CD">
            <w:pPr>
              <w:pStyle w:val="14"/>
              <w:spacing w:before="0" w:beforeAutospacing="0" w:after="0" w:afterAutospacing="0"/>
              <w:ind w:firstLine="0" w:firstLineChars="0"/>
              <w:jc w:val="center"/>
              <w:outlineLvl w:val="0"/>
              <w:rPr>
                <w:rFonts w:hint="eastAsia"/>
                <w:snapToGrid w:val="0"/>
                <w:sz w:val="21"/>
                <w:szCs w:val="30"/>
              </w:rPr>
            </w:pPr>
            <w:r>
              <w:rPr>
                <w:rFonts w:hint="eastAsia"/>
                <w:snapToGrid w:val="0"/>
                <w:sz w:val="21"/>
                <w:szCs w:val="30"/>
              </w:rPr>
              <w:t>运营期环境影响和保护措施</w:t>
            </w:r>
          </w:p>
        </w:tc>
        <w:tc>
          <w:tcPr>
            <w:tcW w:w="8385" w:type="dxa"/>
          </w:tcPr>
          <w:p w14:paraId="6F26DD29">
            <w:pPr>
              <w:pStyle w:val="4"/>
              <w:spacing w:before="120" w:after="0" w:afterLines="0"/>
            </w:pPr>
            <w:r>
              <w:rPr>
                <w:rFonts w:hint="eastAsia"/>
              </w:rPr>
              <w:t>4.2.2 水环境影响和保护措施</w:t>
            </w:r>
          </w:p>
          <w:p w14:paraId="40FF57FE">
            <w:pPr>
              <w:pStyle w:val="5"/>
            </w:pPr>
            <w:r>
              <w:rPr>
                <w:rFonts w:hint="eastAsia"/>
              </w:rPr>
              <w:t>4.2.2.1 废水污染源强核算及分析</w:t>
            </w:r>
          </w:p>
          <w:p w14:paraId="1EDF8CE8">
            <w:pPr>
              <w:ind w:firstLine="480"/>
            </w:pPr>
            <w:r>
              <w:rPr>
                <w:rFonts w:hint="eastAsia"/>
              </w:rPr>
              <w:t>本项目废水主要为生活污水、地面清洗废水、组件清洗废水、空调加湿系统废水、实验器皿清洗废水、切粒冷却水、干燥系统冷凝水、喷淋废水和污水站反渗透浓水。</w:t>
            </w:r>
          </w:p>
          <w:p w14:paraId="012D6DC3">
            <w:pPr>
              <w:ind w:firstLine="480"/>
            </w:pPr>
            <w:r>
              <w:rPr>
                <w:rFonts w:hint="eastAsia"/>
              </w:rPr>
              <w:t>1.生活污水</w:t>
            </w:r>
          </w:p>
          <w:p w14:paraId="46D87E46">
            <w:pPr>
              <w:ind w:firstLine="480"/>
            </w:pPr>
            <w:r>
              <w:rPr>
                <w:rFonts w:hint="eastAsia"/>
              </w:rPr>
              <w:t>本次项目新增职工92人，其中有36人住厂。参照《福建省行业用水定额》（DB35/T772-2018），住厂员工每日生活用水量按0.15m</w:t>
            </w:r>
            <w:r>
              <w:rPr>
                <w:rFonts w:hint="eastAsia"/>
                <w:vertAlign w:val="superscript"/>
              </w:rPr>
              <w:t>3</w:t>
            </w:r>
            <w:r>
              <w:rPr>
                <w:rFonts w:hint="eastAsia"/>
              </w:rPr>
              <w:t>/d人计，不住厂员工每日生活用水量按0.05m</w:t>
            </w:r>
            <w:r>
              <w:rPr>
                <w:rFonts w:hint="eastAsia"/>
                <w:vertAlign w:val="superscript"/>
              </w:rPr>
              <w:t>3</w:t>
            </w:r>
            <w:r>
              <w:rPr>
                <w:rFonts w:hint="eastAsia"/>
              </w:rPr>
              <w:t>/d人计，则本次项目生活用水量约8.2m</w:t>
            </w:r>
            <w:r>
              <w:rPr>
                <w:rFonts w:hint="eastAsia"/>
                <w:vertAlign w:val="superscript"/>
              </w:rPr>
              <w:t>3</w:t>
            </w:r>
            <w:r>
              <w:rPr>
                <w:rFonts w:hint="eastAsia"/>
              </w:rPr>
              <w:t>/d，即2993m</w:t>
            </w:r>
            <w:r>
              <w:rPr>
                <w:rFonts w:hint="eastAsia"/>
                <w:vertAlign w:val="superscript"/>
              </w:rPr>
              <w:t>3</w:t>
            </w:r>
            <w:r>
              <w:rPr>
                <w:rFonts w:hint="eastAsia"/>
              </w:rPr>
              <w:t>/a（按365天计）。排水系数取0.8，则员工生活污水排放量为6.56m</w:t>
            </w:r>
            <w:r>
              <w:rPr>
                <w:rFonts w:hint="eastAsia"/>
                <w:vertAlign w:val="superscript"/>
              </w:rPr>
              <w:t>3</w:t>
            </w:r>
            <w:r>
              <w:rPr>
                <w:rFonts w:hint="eastAsia"/>
              </w:rPr>
              <w:t>/d，即2394.40m</w:t>
            </w:r>
            <w:r>
              <w:rPr>
                <w:rFonts w:hint="eastAsia"/>
                <w:vertAlign w:val="superscript"/>
              </w:rPr>
              <w:t>3</w:t>
            </w:r>
            <w:r>
              <w:rPr>
                <w:rFonts w:hint="eastAsia"/>
              </w:rPr>
              <w:t>/a（按365天计）。参照《给排水设计手册》（第五册城镇排水），本项目生活污水污染指标浓度为COD：400mg/L，BOD</w:t>
            </w:r>
            <w:r>
              <w:rPr>
                <w:rFonts w:hint="eastAsia"/>
                <w:vertAlign w:val="subscript"/>
              </w:rPr>
              <w:t>5</w:t>
            </w:r>
            <w:r>
              <w:rPr>
                <w:rFonts w:hint="eastAsia"/>
              </w:rPr>
              <w:t>：200mg/L，SS：220mg/L，氨氮：35mg/L。经化粪池处理后通过市政污水管网纳入滨海工业区污水处理厂集中处理，尾水最终排入牛头湾海域。</w:t>
            </w:r>
          </w:p>
          <w:p w14:paraId="7A711241">
            <w:pPr>
              <w:ind w:firstLine="480"/>
            </w:pPr>
            <w:r>
              <w:rPr>
                <w:rFonts w:hint="eastAsia"/>
              </w:rPr>
              <w:t>2.</w:t>
            </w:r>
            <w:bookmarkStart w:id="19" w:name="_Hlk198069164"/>
            <w:r>
              <w:rPr>
                <w:rFonts w:hint="eastAsia"/>
              </w:rPr>
              <w:t>空调加湿系统废水</w:t>
            </w:r>
          </w:p>
          <w:p w14:paraId="5ED63036">
            <w:pPr>
              <w:ind w:firstLine="480"/>
            </w:pPr>
            <w:r>
              <w:rPr>
                <w:rFonts w:hint="eastAsia"/>
              </w:rPr>
              <w:t>为控制生产环境湿度，保证丝束品质、减少静电效应，车间和实验室配套空调加湿系统，加湿水循环使用，由于水中含盐量会逐渐增高，因此需定期排放更换，排放水量为12.5m</w:t>
            </w:r>
            <w:r>
              <w:rPr>
                <w:rFonts w:hint="eastAsia"/>
                <w:vertAlign w:val="superscript"/>
              </w:rPr>
              <w:t>3</w:t>
            </w:r>
            <w:r>
              <w:rPr>
                <w:rFonts w:hint="eastAsia"/>
              </w:rPr>
              <w:t>/d。加湿水水质较为纯净，可参照工业原水的浓度COD：60mg/L，BOD</w:t>
            </w:r>
            <w:r>
              <w:rPr>
                <w:rFonts w:hint="eastAsia"/>
                <w:vertAlign w:val="subscript"/>
              </w:rPr>
              <w:t>5</w:t>
            </w:r>
            <w:r>
              <w:rPr>
                <w:rFonts w:hint="eastAsia"/>
              </w:rPr>
              <w:t>：10mg/L，SS：30mg/L，氨氮：10mg/L，总有机碳50mg/L，石油类：1mg/L。替换的空调加湿系统废水经厂区污水处理站处理后回用于企业现有聚合工程。</w:t>
            </w:r>
            <w:bookmarkEnd w:id="19"/>
          </w:p>
          <w:p w14:paraId="5A047756">
            <w:pPr>
              <w:ind w:firstLine="480"/>
            </w:pPr>
            <w:r>
              <w:rPr>
                <w:rFonts w:hint="eastAsia"/>
              </w:rPr>
              <w:t>3.纯水制备浓水</w:t>
            </w:r>
          </w:p>
          <w:p w14:paraId="7862F169">
            <w:pPr>
              <w:ind w:firstLine="480"/>
            </w:pPr>
            <w:r>
              <w:rPr>
                <w:rFonts w:hint="eastAsia"/>
              </w:rPr>
              <w:t>本次项目采用膜处理+超纯化柱工艺生产纯水供应生产工艺用水，新鲜水消耗量为18.2m</w:t>
            </w:r>
            <w:r>
              <w:rPr>
                <w:rFonts w:hint="eastAsia"/>
                <w:vertAlign w:val="superscript"/>
              </w:rPr>
              <w:t>3</w:t>
            </w:r>
            <w:r>
              <w:rPr>
                <w:rFonts w:hint="eastAsia"/>
              </w:rPr>
              <w:t>/d，纯水生产量为13.65m</w:t>
            </w:r>
            <w:r>
              <w:rPr>
                <w:rFonts w:hint="eastAsia"/>
                <w:vertAlign w:val="superscript"/>
              </w:rPr>
              <w:t>3</w:t>
            </w:r>
            <w:r>
              <w:rPr>
                <w:rFonts w:hint="eastAsia"/>
              </w:rPr>
              <w:t>/d，纯水用于纺丝油剂调配、实验室试剂调配、组件清洗，浓水量为4.55m</w:t>
            </w:r>
            <w:r>
              <w:rPr>
                <w:rFonts w:hint="eastAsia"/>
                <w:vertAlign w:val="superscript"/>
              </w:rPr>
              <w:t>3</w:t>
            </w:r>
            <w:r>
              <w:rPr>
                <w:rFonts w:hint="eastAsia"/>
              </w:rPr>
              <w:t>/d，进入厂区综合废水处理站集中处理。根据长乐区住房和城乡建设局公布的2026年5月份长乐远航供水公司供水水质检测数据，末梢水中COD浓度0.81～0.97mg/L、氨氮（以N计）浓度＜0.25mg/L，本项目纯水制备以自来水作为水源，浓缩倍数约3倍，则浓水中COD浓度取3mg/L，氨氮浓度取0.75mg/L。</w:t>
            </w:r>
          </w:p>
          <w:p w14:paraId="06D43AD1">
            <w:pPr>
              <w:ind w:firstLine="480"/>
            </w:pPr>
            <w:r>
              <w:rPr>
                <w:rFonts w:hint="eastAsia"/>
              </w:rPr>
              <w:t>4.组件清洗废水</w:t>
            </w:r>
          </w:p>
          <w:p w14:paraId="16E1062C">
            <w:pPr>
              <w:ind w:firstLine="480"/>
            </w:pPr>
            <w:r>
              <w:rPr>
                <w:rFonts w:hint="eastAsia"/>
              </w:rPr>
              <w:t>组件清洗系统废水主要是超声波清洗废水。组件清洗废水排水量约为0.55m</w:t>
            </w:r>
            <w:r>
              <w:rPr>
                <w:rFonts w:hint="eastAsia"/>
                <w:vertAlign w:val="superscript"/>
              </w:rPr>
              <w:t>3</w:t>
            </w:r>
            <w:r>
              <w:rPr>
                <w:rFonts w:hint="eastAsia"/>
              </w:rPr>
              <w:t>/d，主要污染物COD、BOD</w:t>
            </w:r>
            <w:r>
              <w:rPr>
                <w:rFonts w:hint="eastAsia"/>
                <w:vertAlign w:val="subscript"/>
              </w:rPr>
              <w:t>5</w:t>
            </w:r>
            <w:r>
              <w:rPr>
                <w:rFonts w:hint="eastAsia"/>
              </w:rPr>
              <w:t>、氨氮、石油类和SS等，排放浓度COD约500mg/L、BOD</w:t>
            </w:r>
            <w:r>
              <w:rPr>
                <w:rFonts w:hint="eastAsia"/>
                <w:vertAlign w:val="subscript"/>
              </w:rPr>
              <w:t>5</w:t>
            </w:r>
            <w:r>
              <w:rPr>
                <w:rFonts w:hint="eastAsia"/>
              </w:rPr>
              <w:t>约300mg/L、SS约300mg/L、氨氮约35mg/L、总有机碳约200mg/L、石油类约20mg/L。废水经厂区污水处理站处理后回用于企业现有聚合工程。</w:t>
            </w:r>
          </w:p>
          <w:p w14:paraId="51B679D6">
            <w:pPr>
              <w:ind w:firstLine="480"/>
            </w:pPr>
            <w:bookmarkStart w:id="20" w:name="_Hlk198069199"/>
            <w:r>
              <w:rPr>
                <w:rFonts w:hint="eastAsia"/>
              </w:rPr>
              <w:t>5.切粒冷却水废水</w:t>
            </w:r>
          </w:p>
          <w:p w14:paraId="606CD4E4">
            <w:pPr>
              <w:ind w:firstLine="480"/>
            </w:pPr>
            <w:r>
              <w:rPr>
                <w:rFonts w:hint="eastAsia"/>
              </w:rPr>
              <w:t>再生切片、改性工塑生产线熔融工序产生的熔体进入冷水槽进行冷却固化，冷却水循环使用，由于水中含盐量会逐渐增高，因此需定期排放更换，排放水量为3.2m</w:t>
            </w:r>
            <w:r>
              <w:rPr>
                <w:rFonts w:hint="eastAsia"/>
                <w:vertAlign w:val="superscript"/>
              </w:rPr>
              <w:t>3</w:t>
            </w:r>
            <w:r>
              <w:rPr>
                <w:rFonts w:hint="eastAsia"/>
              </w:rPr>
              <w:t>/d。冷却水水质较为纯净，可参照工业原水的浓度COD：60mg/L，BOD</w:t>
            </w:r>
            <w:r>
              <w:rPr>
                <w:rFonts w:hint="eastAsia"/>
                <w:vertAlign w:val="subscript"/>
              </w:rPr>
              <w:t>5</w:t>
            </w:r>
            <w:r>
              <w:rPr>
                <w:rFonts w:hint="eastAsia"/>
              </w:rPr>
              <w:t>：10mg/L，SS：30mg/L，氨氮：10mg/L，石油类：1mg/L。切粒冷却废水经厂区污水处理站处理后回用于企业现有聚合工程。</w:t>
            </w:r>
          </w:p>
          <w:p w14:paraId="4A3019FA">
            <w:pPr>
              <w:ind w:firstLine="480"/>
            </w:pPr>
            <w:r>
              <w:rPr>
                <w:rFonts w:hint="eastAsia"/>
              </w:rPr>
              <w:t>6.干燥冷凝水</w:t>
            </w:r>
          </w:p>
          <w:p w14:paraId="32615BEB">
            <w:pPr>
              <w:ind w:firstLine="480"/>
            </w:pPr>
            <w:r>
              <w:rPr>
                <w:rFonts w:hint="eastAsia"/>
              </w:rPr>
              <w:t>再生切片、改性工塑生产线均使用多段式蜂巢转轮分子筛除湿机和双锥真空干燥机对切粒进行除湿干燥。切粒进入除湿机后，通过分子筛吸附水分，再通过高温将水分脱附形成高温高湿气体，气体经末端冷凝器后形成冷凝水。除湿后切粒进入双锥真空干燥机，物料残余的水分在密闭负压锥形筒内低温汽化，再经冷凝器形成冷凝水。除湿干燥过程冷凝水产生量约0.6m</w:t>
            </w:r>
            <w:r>
              <w:rPr>
                <w:rFonts w:hint="eastAsia"/>
                <w:vertAlign w:val="superscript"/>
              </w:rPr>
              <w:t>3</w:t>
            </w:r>
            <w:r>
              <w:rPr>
                <w:rFonts w:hint="eastAsia"/>
              </w:rPr>
              <w:t>/d，水质参照工业原水的浓度COD：60mg/L，BOD</w:t>
            </w:r>
            <w:r>
              <w:rPr>
                <w:rFonts w:hint="eastAsia"/>
                <w:vertAlign w:val="subscript"/>
              </w:rPr>
              <w:t>5</w:t>
            </w:r>
            <w:r>
              <w:rPr>
                <w:rFonts w:hint="eastAsia"/>
              </w:rPr>
              <w:t>：10mg/L，SS：30mg/L，氨氮：10mg/L，石油类：1mg/L。冷凝水进入厂区综合废水站进行处理后回用于企业现有聚合工程。</w:t>
            </w:r>
          </w:p>
          <w:p w14:paraId="5C1026E1">
            <w:pPr>
              <w:ind w:firstLine="480"/>
            </w:pPr>
            <w:r>
              <w:rPr>
                <w:rFonts w:hint="eastAsia"/>
              </w:rPr>
              <w:t>7.研发设备排水</w:t>
            </w:r>
          </w:p>
          <w:bookmarkEnd w:id="20"/>
          <w:p w14:paraId="72B05DC7">
            <w:pPr>
              <w:ind w:firstLine="480"/>
            </w:pPr>
            <w:r>
              <w:rPr>
                <w:rFonts w:hint="eastAsia"/>
              </w:rPr>
              <w:t>本项目使用的恒温恒湿箱、智能数显磁力搅拌器加热锅、旋转蒸发仪、低温冷却循环器、循环水式多用真空泵、毛细管/旋转流变仪、超声微流体纳米合成仪、超声微流体纳米分散机等多个研发测试设备运行均需添加新鲜水，多用于水浴加热和冷却循环，定期排放约8.5m</w:t>
            </w:r>
            <w:r>
              <w:rPr>
                <w:rFonts w:hint="eastAsia"/>
                <w:vertAlign w:val="superscript"/>
              </w:rPr>
              <w:t>3</w:t>
            </w:r>
            <w:r>
              <w:rPr>
                <w:rFonts w:hint="eastAsia"/>
              </w:rPr>
              <w:t>/d以保证设备运行效果，排放废水浓度参照工业原水的浓度COD：60mg/L，BOD</w:t>
            </w:r>
            <w:r>
              <w:rPr>
                <w:rFonts w:hint="eastAsia"/>
                <w:vertAlign w:val="subscript"/>
              </w:rPr>
              <w:t>5</w:t>
            </w:r>
            <w:r>
              <w:rPr>
                <w:rFonts w:hint="eastAsia"/>
              </w:rPr>
              <w:t>：10mg/L，SS：30mg/L，氨氮：10mg/L，石油类：1mg/L。废水经厂区污水处理站处理后回用于企业现有聚合工程。</w:t>
            </w:r>
          </w:p>
          <w:p w14:paraId="730A858A">
            <w:pPr>
              <w:ind w:firstLine="480"/>
            </w:pPr>
            <w:r>
              <w:rPr>
                <w:rFonts w:hint="eastAsia"/>
              </w:rPr>
              <w:t>8.实验器皿清洗废水</w:t>
            </w:r>
          </w:p>
          <w:p w14:paraId="75B1EED9">
            <w:pPr>
              <w:ind w:firstLine="480"/>
            </w:pPr>
            <w:r>
              <w:rPr>
                <w:rFonts w:hint="eastAsia"/>
              </w:rPr>
              <w:t>项目实验室日常检测、样品前处理完成后，对烧杯、锥形瓶、容量瓶、移液管、消解管、比色管等玻璃/塑料器皿开展清洗工作，清洗废水量约0.27m</w:t>
            </w:r>
            <w:r>
              <w:rPr>
                <w:rFonts w:hint="eastAsia"/>
                <w:vertAlign w:val="superscript"/>
              </w:rPr>
              <w:t>3</w:t>
            </w:r>
            <w:r>
              <w:rPr>
                <w:rFonts w:hint="eastAsia"/>
              </w:rPr>
              <w:t>/d，根据实验室试剂种类和同类纤维研发项目，本次项目实验器皿清洗废水排放浓度COD约500mg/L、BOD</w:t>
            </w:r>
            <w:r>
              <w:rPr>
                <w:rFonts w:hint="eastAsia"/>
                <w:vertAlign w:val="subscript"/>
              </w:rPr>
              <w:t>5</w:t>
            </w:r>
            <w:r>
              <w:rPr>
                <w:rFonts w:hint="eastAsia"/>
              </w:rPr>
              <w:t>约250mg/L、SS约200mg/L、氨氮约35mg/L、总有机碳约200mg/L，废水进入厂区综合废水站处理后回用于企业现有聚合工程</w:t>
            </w:r>
          </w:p>
          <w:p w14:paraId="4624F471">
            <w:pPr>
              <w:ind w:firstLine="480"/>
            </w:pPr>
            <w:r>
              <w:rPr>
                <w:rFonts w:hint="eastAsia"/>
              </w:rPr>
              <w:t>9.实验室烟气净化系统喷淋废水</w:t>
            </w:r>
          </w:p>
          <w:p w14:paraId="12C26566">
            <w:pPr>
              <w:ind w:firstLine="480"/>
            </w:pPr>
            <w:r>
              <w:rPr>
                <w:rFonts w:hint="eastAsia"/>
              </w:rPr>
              <w:t>实验室试剂调配过程产生少量酸性气体和有机废气，使用水喷淋+活性炭吸附工艺进行处理，定期排放喷淋废水以保证废气治理效果，排水量约0.24m</w:t>
            </w:r>
            <w:r>
              <w:rPr>
                <w:rFonts w:hint="eastAsia"/>
                <w:vertAlign w:val="superscript"/>
              </w:rPr>
              <w:t>3</w:t>
            </w:r>
            <w:r>
              <w:rPr>
                <w:rFonts w:hint="eastAsia"/>
              </w:rPr>
              <w:t>/d，排放浓度COD约500mg/L、BOD</w:t>
            </w:r>
            <w:r>
              <w:rPr>
                <w:rFonts w:hint="eastAsia"/>
                <w:vertAlign w:val="subscript"/>
              </w:rPr>
              <w:t>5</w:t>
            </w:r>
            <w:r>
              <w:rPr>
                <w:rFonts w:hint="eastAsia"/>
              </w:rPr>
              <w:t>约250mg/L、SS约200mg/L、氨氮约35mg/L、总有机碳约200mg/L，废水进入厂区综合废水站处理后回用于企业现有聚合工程。</w:t>
            </w:r>
          </w:p>
          <w:p w14:paraId="46B8C56F">
            <w:pPr>
              <w:ind w:firstLine="480"/>
            </w:pPr>
            <w:bookmarkStart w:id="21" w:name="_Hlk198069231"/>
            <w:r>
              <w:rPr>
                <w:rFonts w:hint="eastAsia"/>
              </w:rPr>
              <w:t>10.车间清洗废水</w:t>
            </w:r>
          </w:p>
          <w:p w14:paraId="397B02D3">
            <w:pPr>
              <w:ind w:firstLine="480"/>
            </w:pPr>
            <w:r>
              <w:rPr>
                <w:rFonts w:hint="eastAsia"/>
              </w:rPr>
              <w:t>项目运行过程中，为保证车间清洁、避免杂质进入机器，每天对车间进行一次拖洗，车间清洗废水的产生量约为0.45m</w:t>
            </w:r>
            <w:r>
              <w:rPr>
                <w:rFonts w:hint="eastAsia"/>
                <w:vertAlign w:val="superscript"/>
              </w:rPr>
              <w:t>3</w:t>
            </w:r>
            <w:r>
              <w:rPr>
                <w:rFonts w:hint="eastAsia"/>
              </w:rPr>
              <w:t>/d。类比同类项目，清洗废水主要污染物为COD、BOD5、氨氮、石油类和SS等，产生浓度</w:t>
            </w:r>
            <w:bookmarkStart w:id="22" w:name="OLE_LINK4"/>
            <w:r>
              <w:rPr>
                <w:rFonts w:hint="eastAsia"/>
              </w:rPr>
              <w:t>COD约500mg/L、BOD</w:t>
            </w:r>
            <w:r>
              <w:rPr>
                <w:rFonts w:hint="eastAsia"/>
                <w:vertAlign w:val="subscript"/>
              </w:rPr>
              <w:t>5</w:t>
            </w:r>
            <w:r>
              <w:rPr>
                <w:rFonts w:hint="eastAsia"/>
              </w:rPr>
              <w:t>约300mg/L、SS约300mg/L、氨氮约35mg/L</w:t>
            </w:r>
            <w:bookmarkEnd w:id="22"/>
            <w:r>
              <w:rPr>
                <w:rFonts w:hint="eastAsia"/>
              </w:rPr>
              <w:t>、总有机碳约200mg/L、石油类约20mg/L。废水经</w:t>
            </w:r>
            <w:bookmarkStart w:id="23" w:name="OLE_LINK5"/>
            <w:r>
              <w:rPr>
                <w:rFonts w:hint="eastAsia"/>
              </w:rPr>
              <w:t>厂区污水处理站处理后回用于</w:t>
            </w:r>
            <w:bookmarkEnd w:id="23"/>
            <w:r>
              <w:rPr>
                <w:rFonts w:hint="eastAsia"/>
              </w:rPr>
              <w:t>企业现有聚合工程。</w:t>
            </w:r>
            <w:bookmarkEnd w:id="21"/>
          </w:p>
          <w:p w14:paraId="3F2827C7">
            <w:pPr>
              <w:ind w:firstLine="480"/>
            </w:pPr>
            <w:bookmarkStart w:id="24" w:name="_Hlk198069333"/>
            <w:r>
              <w:rPr>
                <w:rFonts w:hint="eastAsia"/>
              </w:rPr>
              <w:t>11.反渗透浓水</w:t>
            </w:r>
          </w:p>
          <w:p w14:paraId="028ACFF1">
            <w:pPr>
              <w:ind w:firstLine="480"/>
              <w:rPr>
                <w:snapToGrid w:val="0"/>
              </w:rPr>
            </w:pPr>
            <w:bookmarkStart w:id="25" w:name="OLE_LINK21"/>
            <w:r>
              <w:rPr>
                <w:rFonts w:hint="eastAsia"/>
              </w:rPr>
              <w:t>企业综合废水处理站中水回用系统采用RO反渗透工艺进行废水回收利用，废水回收率约60%，产生反渗透浓水</w:t>
            </w:r>
            <w:bookmarkEnd w:id="25"/>
            <w:r>
              <w:rPr>
                <w:rFonts w:hint="eastAsia"/>
              </w:rPr>
              <w:t>12.34m</w:t>
            </w:r>
            <w:r>
              <w:rPr>
                <w:rFonts w:hint="eastAsia"/>
                <w:vertAlign w:val="superscript"/>
              </w:rPr>
              <w:t>3</w:t>
            </w:r>
            <w:r>
              <w:rPr>
                <w:rFonts w:hint="eastAsia"/>
              </w:rPr>
              <w:t>/d。参考2025年企业自行监测数据，本项目反渗透浓水浓度取值为COD 70mg/L，BOD</w:t>
            </w:r>
            <w:r>
              <w:rPr>
                <w:rFonts w:hint="eastAsia"/>
                <w:vertAlign w:val="subscript"/>
              </w:rPr>
              <w:t>5</w:t>
            </w:r>
            <w:r>
              <w:rPr>
                <w:rFonts w:hint="eastAsia"/>
              </w:rPr>
              <w:t xml:space="preserve"> 35mg/L、SS 20mg/L、氨氮10mg/L、总有机碳25mg/L、石油类0.1mg/L。浓水水质较为洁净，达到《合成树脂工业污染物排放标准》（GB31572-2015，含2024年修改单）污水间接排放要求和《福建永荣锦江股份有限公司生产废水排放标准协议》中的限值要求，可直接通过市政污水管网纳入滨海工业区污水处理厂集中处理，尾水最终排入牛头湾海域。</w:t>
            </w:r>
            <w:bookmarkEnd w:id="24"/>
          </w:p>
        </w:tc>
      </w:tr>
    </w:tbl>
    <w:p w14:paraId="27A1DB12">
      <w:pPr>
        <w:pStyle w:val="14"/>
        <w:ind w:firstLine="600"/>
        <w:jc w:val="center"/>
        <w:outlineLvl w:val="0"/>
        <w:rPr>
          <w:rFonts w:hint="eastAsia" w:ascii="黑体" w:hAnsi="黑体" w:eastAsia="黑体"/>
          <w:snapToGrid w:val="0"/>
          <w:sz w:val="30"/>
          <w:szCs w:val="30"/>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674"/>
        <w:gridCol w:w="19954"/>
      </w:tblGrid>
      <w:tr w14:paraId="4490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674" w:type="dxa"/>
            <w:vAlign w:val="center"/>
          </w:tcPr>
          <w:p w14:paraId="075E02CE">
            <w:pPr>
              <w:pStyle w:val="14"/>
              <w:spacing w:before="0" w:beforeAutospacing="0" w:after="0" w:afterAutospacing="0"/>
              <w:ind w:firstLine="0" w:firstLineChars="0"/>
              <w:jc w:val="center"/>
              <w:outlineLvl w:val="0"/>
              <w:rPr>
                <w:rFonts w:ascii="Times New Roman" w:hAnsi="Times New Roman"/>
                <w:snapToGrid w:val="0"/>
                <w:sz w:val="21"/>
                <w:szCs w:val="30"/>
              </w:rPr>
            </w:pPr>
            <w:r>
              <w:rPr>
                <w:rFonts w:hint="eastAsia" w:ascii="Times New Roman" w:hAnsi="Times New Roman"/>
                <w:snapToGrid w:val="0"/>
                <w:sz w:val="21"/>
                <w:szCs w:val="30"/>
              </w:rPr>
              <w:t>运营期环境影响和保护措施</w:t>
            </w:r>
          </w:p>
        </w:tc>
        <w:tc>
          <w:tcPr>
            <w:tcW w:w="19954" w:type="dxa"/>
          </w:tcPr>
          <w:p w14:paraId="3C9E5454">
            <w:pPr>
              <w:pStyle w:val="13"/>
            </w:pPr>
            <w:r>
              <w:rPr>
                <w:rFonts w:hint="eastAsia"/>
              </w:rPr>
              <w:t>表4.2-4  项目废水污染源源强核算及相关参数一览表</w:t>
            </w:r>
          </w:p>
          <w:tbl>
            <w:tblPr>
              <w:tblStyle w:val="17"/>
              <w:tblW w:w="499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161"/>
              <w:gridCol w:w="1257"/>
              <w:gridCol w:w="3865"/>
              <w:gridCol w:w="1261"/>
              <w:gridCol w:w="1052"/>
              <w:gridCol w:w="1213"/>
              <w:gridCol w:w="1509"/>
              <w:gridCol w:w="1276"/>
              <w:gridCol w:w="1722"/>
              <w:gridCol w:w="1206"/>
              <w:gridCol w:w="1407"/>
              <w:gridCol w:w="1537"/>
              <w:gridCol w:w="1233"/>
            </w:tblGrid>
            <w:tr w14:paraId="04A04F1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2115FCE6">
                  <w:pPr>
                    <w:pStyle w:val="83"/>
                    <w:rPr>
                      <w:rFonts w:hint="default"/>
                    </w:rPr>
                  </w:pPr>
                  <w:r>
                    <w:t>产污环节</w:t>
                  </w:r>
                </w:p>
              </w:tc>
              <w:tc>
                <w:tcPr>
                  <w:tcW w:w="319" w:type="pct"/>
                  <w:vMerge w:val="restart"/>
                  <w:tcBorders>
                    <w:tl2br w:val="nil"/>
                    <w:tr2bl w:val="nil"/>
                  </w:tcBorders>
                  <w:vAlign w:val="center"/>
                </w:tcPr>
                <w:p w14:paraId="6393C9FC">
                  <w:pPr>
                    <w:pStyle w:val="83"/>
                    <w:rPr>
                      <w:rFonts w:hint="default"/>
                    </w:rPr>
                  </w:pPr>
                  <w:r>
                    <w:t>废水类别</w:t>
                  </w:r>
                </w:p>
              </w:tc>
              <w:tc>
                <w:tcPr>
                  <w:tcW w:w="981" w:type="pct"/>
                  <w:vMerge w:val="restart"/>
                  <w:tcBorders>
                    <w:tl2br w:val="nil"/>
                    <w:tr2bl w:val="nil"/>
                  </w:tcBorders>
                  <w:vAlign w:val="center"/>
                </w:tcPr>
                <w:p w14:paraId="37B8BEDC">
                  <w:pPr>
                    <w:pStyle w:val="83"/>
                    <w:rPr>
                      <w:rFonts w:hint="default"/>
                    </w:rPr>
                  </w:pPr>
                  <w:r>
                    <w:t>废水治理设施</w:t>
                  </w:r>
                </w:p>
              </w:tc>
              <w:tc>
                <w:tcPr>
                  <w:tcW w:w="320" w:type="pct"/>
                  <w:vMerge w:val="restart"/>
                  <w:tcBorders>
                    <w:tl2br w:val="nil"/>
                    <w:tr2bl w:val="nil"/>
                  </w:tcBorders>
                  <w:vAlign w:val="center"/>
                </w:tcPr>
                <w:p w14:paraId="457ED07E">
                  <w:pPr>
                    <w:pStyle w:val="83"/>
                    <w:rPr>
                      <w:rFonts w:hint="default"/>
                    </w:rPr>
                  </w:pPr>
                  <w:r>
                    <w:t>污染物</w:t>
                  </w:r>
                </w:p>
              </w:tc>
              <w:tc>
                <w:tcPr>
                  <w:tcW w:w="1282" w:type="pct"/>
                  <w:gridSpan w:val="4"/>
                  <w:tcBorders>
                    <w:tl2br w:val="nil"/>
                    <w:tr2bl w:val="nil"/>
                  </w:tcBorders>
                  <w:vAlign w:val="center"/>
                </w:tcPr>
                <w:p w14:paraId="2D11520F">
                  <w:pPr>
                    <w:pStyle w:val="83"/>
                    <w:rPr>
                      <w:rFonts w:hint="default"/>
                    </w:rPr>
                  </w:pPr>
                  <w:r>
                    <w:t>废水治理设施入口</w:t>
                  </w:r>
                </w:p>
              </w:tc>
              <w:tc>
                <w:tcPr>
                  <w:tcW w:w="743" w:type="pct"/>
                  <w:gridSpan w:val="2"/>
                  <w:tcBorders>
                    <w:tl2br w:val="nil"/>
                    <w:tr2bl w:val="nil"/>
                  </w:tcBorders>
                  <w:vAlign w:val="center"/>
                </w:tcPr>
                <w:p w14:paraId="0C85CC97">
                  <w:pPr>
                    <w:pStyle w:val="83"/>
                    <w:rPr>
                      <w:rFonts w:hint="default"/>
                    </w:rPr>
                  </w:pPr>
                  <w:r>
                    <w:t>治理措施</w:t>
                  </w:r>
                </w:p>
              </w:tc>
              <w:tc>
                <w:tcPr>
                  <w:tcW w:w="1058" w:type="pct"/>
                  <w:gridSpan w:val="3"/>
                  <w:tcBorders>
                    <w:tl2br w:val="nil"/>
                    <w:tr2bl w:val="nil"/>
                  </w:tcBorders>
                  <w:vAlign w:val="center"/>
                </w:tcPr>
                <w:p w14:paraId="040666BF">
                  <w:pPr>
                    <w:pStyle w:val="83"/>
                    <w:rPr>
                      <w:rFonts w:hint="default"/>
                    </w:rPr>
                  </w:pPr>
                  <w:r>
                    <w:t>污染物排放量</w:t>
                  </w:r>
                </w:p>
              </w:tc>
            </w:tr>
            <w:tr w14:paraId="3F32306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15078E9C">
                  <w:pPr>
                    <w:pStyle w:val="83"/>
                    <w:rPr>
                      <w:rFonts w:hint="default"/>
                    </w:rPr>
                  </w:pPr>
                </w:p>
              </w:tc>
              <w:tc>
                <w:tcPr>
                  <w:tcW w:w="319" w:type="pct"/>
                  <w:vMerge w:val="continue"/>
                  <w:tcBorders>
                    <w:tl2br w:val="nil"/>
                    <w:tr2bl w:val="nil"/>
                  </w:tcBorders>
                  <w:vAlign w:val="center"/>
                </w:tcPr>
                <w:p w14:paraId="5DF6BB4E">
                  <w:pPr>
                    <w:pStyle w:val="83"/>
                    <w:rPr>
                      <w:rFonts w:hint="default"/>
                    </w:rPr>
                  </w:pPr>
                </w:p>
              </w:tc>
              <w:tc>
                <w:tcPr>
                  <w:tcW w:w="981" w:type="pct"/>
                  <w:vMerge w:val="continue"/>
                  <w:tcBorders>
                    <w:tl2br w:val="nil"/>
                    <w:tr2bl w:val="nil"/>
                  </w:tcBorders>
                  <w:vAlign w:val="center"/>
                </w:tcPr>
                <w:p w14:paraId="5D7C87DC">
                  <w:pPr>
                    <w:pStyle w:val="83"/>
                    <w:rPr>
                      <w:rFonts w:hint="default"/>
                    </w:rPr>
                  </w:pPr>
                </w:p>
              </w:tc>
              <w:tc>
                <w:tcPr>
                  <w:tcW w:w="320" w:type="pct"/>
                  <w:vMerge w:val="continue"/>
                  <w:tcBorders>
                    <w:tl2br w:val="nil"/>
                    <w:tr2bl w:val="nil"/>
                  </w:tcBorders>
                  <w:vAlign w:val="center"/>
                </w:tcPr>
                <w:p w14:paraId="0D74EBAD">
                  <w:pPr>
                    <w:pStyle w:val="83"/>
                    <w:rPr>
                      <w:rFonts w:hint="default"/>
                    </w:rPr>
                  </w:pPr>
                </w:p>
              </w:tc>
              <w:tc>
                <w:tcPr>
                  <w:tcW w:w="267" w:type="pct"/>
                  <w:tcBorders>
                    <w:tl2br w:val="nil"/>
                    <w:tr2bl w:val="nil"/>
                  </w:tcBorders>
                  <w:vAlign w:val="center"/>
                </w:tcPr>
                <w:p w14:paraId="5981FCC6">
                  <w:pPr>
                    <w:pStyle w:val="83"/>
                    <w:rPr>
                      <w:rFonts w:hint="default"/>
                    </w:rPr>
                  </w:pPr>
                  <w:r>
                    <w:t>核算方法</w:t>
                  </w:r>
                </w:p>
              </w:tc>
              <w:tc>
                <w:tcPr>
                  <w:tcW w:w="308" w:type="pct"/>
                  <w:tcBorders>
                    <w:tl2br w:val="nil"/>
                    <w:tr2bl w:val="nil"/>
                  </w:tcBorders>
                  <w:vAlign w:val="center"/>
                </w:tcPr>
                <w:p w14:paraId="6ACB2938">
                  <w:pPr>
                    <w:pStyle w:val="83"/>
                    <w:rPr>
                      <w:rFonts w:hint="default"/>
                    </w:rPr>
                  </w:pPr>
                  <w:r>
                    <w:t>入口废水量（m</w:t>
                  </w:r>
                  <w:r>
                    <w:rPr>
                      <w:vertAlign w:val="superscript"/>
                    </w:rPr>
                    <w:t>3</w:t>
                  </w:r>
                  <w:r>
                    <w:t>/a）</w:t>
                  </w:r>
                </w:p>
              </w:tc>
              <w:tc>
                <w:tcPr>
                  <w:tcW w:w="383" w:type="pct"/>
                  <w:tcBorders>
                    <w:tl2br w:val="nil"/>
                    <w:tr2bl w:val="nil"/>
                  </w:tcBorders>
                  <w:vAlign w:val="center"/>
                </w:tcPr>
                <w:p w14:paraId="0EF93BC3">
                  <w:pPr>
                    <w:pStyle w:val="83"/>
                    <w:rPr>
                      <w:rFonts w:hint="default"/>
                    </w:rPr>
                  </w:pPr>
                  <w:r>
                    <w:t>平均入口质量浓度（mg/L）</w:t>
                  </w:r>
                </w:p>
              </w:tc>
              <w:tc>
                <w:tcPr>
                  <w:tcW w:w="323" w:type="pct"/>
                  <w:tcBorders>
                    <w:tl2br w:val="nil"/>
                    <w:tr2bl w:val="nil"/>
                  </w:tcBorders>
                  <w:vAlign w:val="center"/>
                </w:tcPr>
                <w:p w14:paraId="0A766968">
                  <w:pPr>
                    <w:pStyle w:val="83"/>
                    <w:rPr>
                      <w:rFonts w:hint="default"/>
                    </w:rPr>
                  </w:pPr>
                  <w:r>
                    <w:t>产生量（t/a）</w:t>
                  </w:r>
                </w:p>
              </w:tc>
              <w:tc>
                <w:tcPr>
                  <w:tcW w:w="437" w:type="pct"/>
                  <w:tcBorders>
                    <w:tl2br w:val="nil"/>
                    <w:tr2bl w:val="nil"/>
                  </w:tcBorders>
                  <w:vAlign w:val="center"/>
                </w:tcPr>
                <w:p w14:paraId="7BB66BC8">
                  <w:pPr>
                    <w:pStyle w:val="83"/>
                    <w:rPr>
                      <w:rFonts w:hint="default"/>
                    </w:rPr>
                  </w:pPr>
                  <w:r>
                    <w:t>工艺</w:t>
                  </w:r>
                </w:p>
              </w:tc>
              <w:tc>
                <w:tcPr>
                  <w:tcW w:w="306" w:type="pct"/>
                  <w:tcBorders>
                    <w:tl2br w:val="nil"/>
                    <w:tr2bl w:val="nil"/>
                  </w:tcBorders>
                  <w:vAlign w:val="center"/>
                </w:tcPr>
                <w:p w14:paraId="2051CFEB">
                  <w:pPr>
                    <w:pStyle w:val="83"/>
                    <w:rPr>
                      <w:rFonts w:hint="default"/>
                    </w:rPr>
                  </w:pPr>
                  <w:r>
                    <w:t>效率%</w:t>
                  </w:r>
                </w:p>
              </w:tc>
              <w:tc>
                <w:tcPr>
                  <w:tcW w:w="357" w:type="pct"/>
                  <w:tcBorders>
                    <w:tl2br w:val="nil"/>
                    <w:tr2bl w:val="nil"/>
                  </w:tcBorders>
                  <w:vAlign w:val="center"/>
                </w:tcPr>
                <w:p w14:paraId="7DA23260">
                  <w:pPr>
                    <w:pStyle w:val="83"/>
                    <w:rPr>
                      <w:rFonts w:hint="default"/>
                    </w:rPr>
                  </w:pPr>
                  <w:r>
                    <w:t>排放废水量（m3/a）</w:t>
                  </w:r>
                </w:p>
              </w:tc>
              <w:tc>
                <w:tcPr>
                  <w:tcW w:w="390" w:type="pct"/>
                  <w:tcBorders>
                    <w:tl2br w:val="nil"/>
                    <w:tr2bl w:val="nil"/>
                  </w:tcBorders>
                  <w:vAlign w:val="center"/>
                </w:tcPr>
                <w:p w14:paraId="52737C11">
                  <w:pPr>
                    <w:pStyle w:val="83"/>
                    <w:rPr>
                      <w:rFonts w:hint="default"/>
                    </w:rPr>
                  </w:pPr>
                  <w:r>
                    <w:t>平均排放质量浓度（mg/L）</w:t>
                  </w:r>
                </w:p>
              </w:tc>
              <w:tc>
                <w:tcPr>
                  <w:tcW w:w="310" w:type="pct"/>
                  <w:tcBorders>
                    <w:tl2br w:val="nil"/>
                    <w:tr2bl w:val="nil"/>
                  </w:tcBorders>
                  <w:vAlign w:val="center"/>
                </w:tcPr>
                <w:p w14:paraId="336B874C">
                  <w:pPr>
                    <w:pStyle w:val="83"/>
                    <w:rPr>
                      <w:rFonts w:hint="default"/>
                    </w:rPr>
                  </w:pPr>
                  <w:r>
                    <w:t>排放量（t/a）</w:t>
                  </w:r>
                </w:p>
              </w:tc>
            </w:tr>
            <w:tr w14:paraId="74E6B21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03777EF8">
                  <w:pPr>
                    <w:pStyle w:val="83"/>
                    <w:rPr>
                      <w:rFonts w:hint="default"/>
                    </w:rPr>
                  </w:pPr>
                  <w:r>
                    <w:t>空调系统加湿</w:t>
                  </w:r>
                </w:p>
              </w:tc>
              <w:tc>
                <w:tcPr>
                  <w:tcW w:w="319" w:type="pct"/>
                  <w:vMerge w:val="restart"/>
                  <w:tcBorders>
                    <w:tl2br w:val="nil"/>
                    <w:tr2bl w:val="nil"/>
                  </w:tcBorders>
                  <w:vAlign w:val="center"/>
                </w:tcPr>
                <w:p w14:paraId="1A4E8F44">
                  <w:pPr>
                    <w:pStyle w:val="83"/>
                    <w:rPr>
                      <w:rFonts w:hint="default"/>
                    </w:rPr>
                  </w:pPr>
                  <w:r>
                    <w:t>生产废水</w:t>
                  </w:r>
                </w:p>
              </w:tc>
              <w:tc>
                <w:tcPr>
                  <w:tcW w:w="981" w:type="pct"/>
                  <w:vMerge w:val="restart"/>
                  <w:tcBorders>
                    <w:tl2br w:val="nil"/>
                    <w:tr2bl w:val="nil"/>
                  </w:tcBorders>
                  <w:vAlign w:val="center"/>
                </w:tcPr>
                <w:p w14:paraId="52DAECC2">
                  <w:pPr>
                    <w:pStyle w:val="83"/>
                    <w:rPr>
                      <w:rFonts w:hint="default"/>
                    </w:rPr>
                  </w:pPr>
                  <w:r>
                    <w:t>水解酸化池+IEPI高效厌氧塔+A/O池+MBR膜生物反应系统+RO反渗透系统</w:t>
                  </w:r>
                </w:p>
              </w:tc>
              <w:tc>
                <w:tcPr>
                  <w:tcW w:w="320" w:type="pct"/>
                  <w:tcBorders>
                    <w:tl2br w:val="nil"/>
                    <w:tr2bl w:val="nil"/>
                  </w:tcBorders>
                  <w:vAlign w:val="center"/>
                </w:tcPr>
                <w:p w14:paraId="33B9AC23">
                  <w:pPr>
                    <w:pStyle w:val="83"/>
                    <w:rPr>
                      <w:rFonts w:hint="default"/>
                    </w:rPr>
                  </w:pPr>
                  <w:r>
                    <w:t>COD</w:t>
                  </w:r>
                </w:p>
              </w:tc>
              <w:tc>
                <w:tcPr>
                  <w:tcW w:w="267" w:type="pct"/>
                  <w:vMerge w:val="restart"/>
                  <w:tcBorders>
                    <w:tl2br w:val="nil"/>
                    <w:tr2bl w:val="nil"/>
                  </w:tcBorders>
                  <w:vAlign w:val="center"/>
                </w:tcPr>
                <w:p w14:paraId="750D9680">
                  <w:pPr>
                    <w:pStyle w:val="83"/>
                    <w:rPr>
                      <w:rFonts w:hint="default"/>
                    </w:rPr>
                  </w:pPr>
                  <w:r>
                    <w:t>类比法</w:t>
                  </w:r>
                </w:p>
              </w:tc>
              <w:tc>
                <w:tcPr>
                  <w:tcW w:w="308" w:type="pct"/>
                  <w:vMerge w:val="restart"/>
                  <w:tcBorders>
                    <w:tl2br w:val="nil"/>
                    <w:tr2bl w:val="nil"/>
                  </w:tcBorders>
                  <w:vAlign w:val="center"/>
                </w:tcPr>
                <w:p w14:paraId="255399E6">
                  <w:pPr>
                    <w:pStyle w:val="83"/>
                    <w:rPr>
                      <w:rFonts w:hint="default"/>
                    </w:rPr>
                  </w:pPr>
                  <w:r>
                    <w:t>4562.5</w:t>
                  </w:r>
                </w:p>
              </w:tc>
              <w:tc>
                <w:tcPr>
                  <w:tcW w:w="383" w:type="pct"/>
                  <w:tcBorders>
                    <w:tl2br w:val="nil"/>
                    <w:tr2bl w:val="nil"/>
                  </w:tcBorders>
                  <w:vAlign w:val="center"/>
                </w:tcPr>
                <w:p w14:paraId="1343C787">
                  <w:pPr>
                    <w:pStyle w:val="83"/>
                    <w:rPr>
                      <w:rFonts w:hint="default"/>
                    </w:rPr>
                  </w:pPr>
                  <w:r>
                    <w:t>60</w:t>
                  </w:r>
                </w:p>
              </w:tc>
              <w:tc>
                <w:tcPr>
                  <w:tcW w:w="323" w:type="pct"/>
                  <w:tcBorders>
                    <w:tl2br w:val="nil"/>
                    <w:tr2bl w:val="nil"/>
                  </w:tcBorders>
                  <w:vAlign w:val="center"/>
                </w:tcPr>
                <w:p w14:paraId="2A4A37A6">
                  <w:pPr>
                    <w:pStyle w:val="83"/>
                    <w:rPr>
                      <w:rFonts w:hint="default"/>
                    </w:rPr>
                  </w:pPr>
                  <w:r>
                    <w:t>0.27</w:t>
                  </w:r>
                </w:p>
              </w:tc>
              <w:tc>
                <w:tcPr>
                  <w:tcW w:w="437" w:type="pct"/>
                  <w:vMerge w:val="restart"/>
                  <w:tcBorders>
                    <w:tl2br w:val="nil"/>
                    <w:tr2bl w:val="nil"/>
                  </w:tcBorders>
                  <w:vAlign w:val="center"/>
                </w:tcPr>
                <w:p w14:paraId="7C459838">
                  <w:pPr>
                    <w:pStyle w:val="83"/>
                    <w:rPr>
                      <w:rFonts w:hint="default"/>
                    </w:rPr>
                  </w:pPr>
                  <w:r>
                    <w:t>水解酸化+高效厌氧+厌氧好氧+MBR+RO</w:t>
                  </w:r>
                </w:p>
              </w:tc>
              <w:tc>
                <w:tcPr>
                  <w:tcW w:w="306" w:type="pct"/>
                  <w:tcBorders>
                    <w:tl2br w:val="nil"/>
                    <w:tr2bl w:val="nil"/>
                  </w:tcBorders>
                  <w:vAlign w:val="center"/>
                </w:tcPr>
                <w:p w14:paraId="14ED9009">
                  <w:pPr>
                    <w:pStyle w:val="83"/>
                    <w:rPr>
                      <w:rFonts w:hint="default"/>
                    </w:rPr>
                  </w:pPr>
                  <w:r>
                    <w:t>99</w:t>
                  </w:r>
                </w:p>
              </w:tc>
              <w:tc>
                <w:tcPr>
                  <w:tcW w:w="357" w:type="pct"/>
                  <w:vMerge w:val="restart"/>
                  <w:tcBorders>
                    <w:tl2br w:val="nil"/>
                    <w:tr2bl w:val="nil"/>
                  </w:tcBorders>
                  <w:vAlign w:val="center"/>
                </w:tcPr>
                <w:p w14:paraId="78BB6E20">
                  <w:pPr>
                    <w:pStyle w:val="83"/>
                    <w:rPr>
                      <w:rFonts w:hint="default"/>
                    </w:rPr>
                  </w:pPr>
                  <w:r>
                    <w:t>/</w:t>
                  </w:r>
                </w:p>
              </w:tc>
              <w:tc>
                <w:tcPr>
                  <w:tcW w:w="390" w:type="pct"/>
                  <w:tcBorders>
                    <w:tl2br w:val="nil"/>
                    <w:tr2bl w:val="nil"/>
                  </w:tcBorders>
                  <w:vAlign w:val="center"/>
                </w:tcPr>
                <w:p w14:paraId="497CBF0E">
                  <w:pPr>
                    <w:pStyle w:val="83"/>
                    <w:rPr>
                      <w:rFonts w:hint="default"/>
                    </w:rPr>
                  </w:pPr>
                  <w:r>
                    <w:t>0.6</w:t>
                  </w:r>
                </w:p>
              </w:tc>
              <w:tc>
                <w:tcPr>
                  <w:tcW w:w="310" w:type="pct"/>
                  <w:tcBorders>
                    <w:tl2br w:val="nil"/>
                    <w:tr2bl w:val="nil"/>
                  </w:tcBorders>
                  <w:vAlign w:val="center"/>
                </w:tcPr>
                <w:p w14:paraId="51BA589F">
                  <w:pPr>
                    <w:pStyle w:val="83"/>
                    <w:rPr>
                      <w:rFonts w:hint="default"/>
                    </w:rPr>
                  </w:pPr>
                  <w:r>
                    <w:t>/</w:t>
                  </w:r>
                </w:p>
              </w:tc>
            </w:tr>
            <w:tr w14:paraId="5D03DC6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514BE105">
                  <w:pPr>
                    <w:pStyle w:val="83"/>
                    <w:rPr>
                      <w:rFonts w:hint="default"/>
                    </w:rPr>
                  </w:pPr>
                </w:p>
              </w:tc>
              <w:tc>
                <w:tcPr>
                  <w:tcW w:w="319" w:type="pct"/>
                  <w:vMerge w:val="continue"/>
                  <w:tcBorders>
                    <w:tl2br w:val="nil"/>
                    <w:tr2bl w:val="nil"/>
                  </w:tcBorders>
                  <w:vAlign w:val="center"/>
                </w:tcPr>
                <w:p w14:paraId="6704589A">
                  <w:pPr>
                    <w:pStyle w:val="83"/>
                    <w:rPr>
                      <w:rFonts w:hint="default"/>
                    </w:rPr>
                  </w:pPr>
                </w:p>
              </w:tc>
              <w:tc>
                <w:tcPr>
                  <w:tcW w:w="981" w:type="pct"/>
                  <w:vMerge w:val="continue"/>
                  <w:tcBorders>
                    <w:tl2br w:val="nil"/>
                    <w:tr2bl w:val="nil"/>
                  </w:tcBorders>
                  <w:vAlign w:val="center"/>
                </w:tcPr>
                <w:p w14:paraId="2CC7F958">
                  <w:pPr>
                    <w:pStyle w:val="83"/>
                    <w:rPr>
                      <w:rFonts w:hint="default"/>
                    </w:rPr>
                  </w:pPr>
                </w:p>
              </w:tc>
              <w:tc>
                <w:tcPr>
                  <w:tcW w:w="320" w:type="pct"/>
                  <w:tcBorders>
                    <w:tl2br w:val="nil"/>
                    <w:tr2bl w:val="nil"/>
                  </w:tcBorders>
                  <w:vAlign w:val="center"/>
                </w:tcPr>
                <w:p w14:paraId="0EB55FF1">
                  <w:pPr>
                    <w:pStyle w:val="83"/>
                    <w:rPr>
                      <w:rFonts w:hint="default"/>
                    </w:rPr>
                  </w:pPr>
                  <w:r>
                    <w:t>BOD</w:t>
                  </w:r>
                  <w:r>
                    <w:rPr>
                      <w:vertAlign w:val="subscript"/>
                    </w:rPr>
                    <w:t>5</w:t>
                  </w:r>
                </w:p>
              </w:tc>
              <w:tc>
                <w:tcPr>
                  <w:tcW w:w="267" w:type="pct"/>
                  <w:vMerge w:val="continue"/>
                  <w:tcBorders>
                    <w:tl2br w:val="nil"/>
                    <w:tr2bl w:val="nil"/>
                  </w:tcBorders>
                  <w:vAlign w:val="center"/>
                </w:tcPr>
                <w:p w14:paraId="5F2E5227">
                  <w:pPr>
                    <w:pStyle w:val="83"/>
                    <w:rPr>
                      <w:rFonts w:hint="default"/>
                    </w:rPr>
                  </w:pPr>
                </w:p>
              </w:tc>
              <w:tc>
                <w:tcPr>
                  <w:tcW w:w="308" w:type="pct"/>
                  <w:vMerge w:val="continue"/>
                  <w:tcBorders>
                    <w:tl2br w:val="nil"/>
                    <w:tr2bl w:val="nil"/>
                  </w:tcBorders>
                  <w:vAlign w:val="center"/>
                </w:tcPr>
                <w:p w14:paraId="0F128574">
                  <w:pPr>
                    <w:pStyle w:val="83"/>
                    <w:rPr>
                      <w:rFonts w:hint="default"/>
                    </w:rPr>
                  </w:pPr>
                </w:p>
              </w:tc>
              <w:tc>
                <w:tcPr>
                  <w:tcW w:w="383" w:type="pct"/>
                  <w:tcBorders>
                    <w:tl2br w:val="nil"/>
                    <w:tr2bl w:val="nil"/>
                  </w:tcBorders>
                  <w:vAlign w:val="center"/>
                </w:tcPr>
                <w:p w14:paraId="54965A1A">
                  <w:pPr>
                    <w:pStyle w:val="83"/>
                    <w:rPr>
                      <w:rFonts w:hint="default"/>
                    </w:rPr>
                  </w:pPr>
                  <w:r>
                    <w:t>10</w:t>
                  </w:r>
                </w:p>
              </w:tc>
              <w:tc>
                <w:tcPr>
                  <w:tcW w:w="323" w:type="pct"/>
                  <w:tcBorders>
                    <w:tl2br w:val="nil"/>
                    <w:tr2bl w:val="nil"/>
                  </w:tcBorders>
                  <w:vAlign w:val="center"/>
                </w:tcPr>
                <w:p w14:paraId="270B82AB">
                  <w:pPr>
                    <w:pStyle w:val="83"/>
                    <w:rPr>
                      <w:rFonts w:hint="default"/>
                    </w:rPr>
                  </w:pPr>
                  <w:r>
                    <w:t>0.046</w:t>
                  </w:r>
                </w:p>
              </w:tc>
              <w:tc>
                <w:tcPr>
                  <w:tcW w:w="437" w:type="pct"/>
                  <w:vMerge w:val="continue"/>
                  <w:tcBorders>
                    <w:tl2br w:val="nil"/>
                    <w:tr2bl w:val="nil"/>
                  </w:tcBorders>
                  <w:vAlign w:val="center"/>
                </w:tcPr>
                <w:p w14:paraId="7FA0B12F">
                  <w:pPr>
                    <w:pStyle w:val="83"/>
                    <w:rPr>
                      <w:rFonts w:hint="default"/>
                    </w:rPr>
                  </w:pPr>
                </w:p>
              </w:tc>
              <w:tc>
                <w:tcPr>
                  <w:tcW w:w="306" w:type="pct"/>
                  <w:tcBorders>
                    <w:tl2br w:val="nil"/>
                    <w:tr2bl w:val="nil"/>
                  </w:tcBorders>
                  <w:vAlign w:val="center"/>
                </w:tcPr>
                <w:p w14:paraId="52BA5AD3">
                  <w:pPr>
                    <w:pStyle w:val="83"/>
                    <w:rPr>
                      <w:rFonts w:hint="default"/>
                    </w:rPr>
                  </w:pPr>
                  <w:r>
                    <w:t>99.5</w:t>
                  </w:r>
                </w:p>
              </w:tc>
              <w:tc>
                <w:tcPr>
                  <w:tcW w:w="357" w:type="pct"/>
                  <w:vMerge w:val="continue"/>
                  <w:tcBorders>
                    <w:tl2br w:val="nil"/>
                    <w:tr2bl w:val="nil"/>
                  </w:tcBorders>
                  <w:vAlign w:val="center"/>
                </w:tcPr>
                <w:p w14:paraId="523B2924">
                  <w:pPr>
                    <w:pStyle w:val="83"/>
                    <w:rPr>
                      <w:rFonts w:hint="default"/>
                    </w:rPr>
                  </w:pPr>
                </w:p>
              </w:tc>
              <w:tc>
                <w:tcPr>
                  <w:tcW w:w="390" w:type="pct"/>
                  <w:tcBorders>
                    <w:tl2br w:val="nil"/>
                    <w:tr2bl w:val="nil"/>
                  </w:tcBorders>
                  <w:vAlign w:val="center"/>
                </w:tcPr>
                <w:p w14:paraId="42A637C6">
                  <w:pPr>
                    <w:pStyle w:val="83"/>
                    <w:rPr>
                      <w:rFonts w:hint="default"/>
                    </w:rPr>
                  </w:pPr>
                  <w:r>
                    <w:t>0.05</w:t>
                  </w:r>
                </w:p>
              </w:tc>
              <w:tc>
                <w:tcPr>
                  <w:tcW w:w="310" w:type="pct"/>
                  <w:tcBorders>
                    <w:tl2br w:val="nil"/>
                    <w:tr2bl w:val="nil"/>
                  </w:tcBorders>
                  <w:vAlign w:val="center"/>
                </w:tcPr>
                <w:p w14:paraId="7DB67DC5">
                  <w:pPr>
                    <w:pStyle w:val="83"/>
                    <w:rPr>
                      <w:rFonts w:hint="default"/>
                    </w:rPr>
                  </w:pPr>
                  <w:r>
                    <w:t>/</w:t>
                  </w:r>
                </w:p>
              </w:tc>
            </w:tr>
            <w:tr w14:paraId="34D9A3C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82B8D12">
                  <w:pPr>
                    <w:pStyle w:val="83"/>
                    <w:rPr>
                      <w:rFonts w:hint="default"/>
                    </w:rPr>
                  </w:pPr>
                </w:p>
              </w:tc>
              <w:tc>
                <w:tcPr>
                  <w:tcW w:w="319" w:type="pct"/>
                  <w:vMerge w:val="continue"/>
                  <w:tcBorders>
                    <w:tl2br w:val="nil"/>
                    <w:tr2bl w:val="nil"/>
                  </w:tcBorders>
                  <w:vAlign w:val="center"/>
                </w:tcPr>
                <w:p w14:paraId="39CFDF14">
                  <w:pPr>
                    <w:pStyle w:val="83"/>
                    <w:rPr>
                      <w:rFonts w:hint="default"/>
                    </w:rPr>
                  </w:pPr>
                </w:p>
              </w:tc>
              <w:tc>
                <w:tcPr>
                  <w:tcW w:w="981" w:type="pct"/>
                  <w:vMerge w:val="continue"/>
                  <w:tcBorders>
                    <w:tl2br w:val="nil"/>
                    <w:tr2bl w:val="nil"/>
                  </w:tcBorders>
                  <w:vAlign w:val="center"/>
                </w:tcPr>
                <w:p w14:paraId="76ADDFB3">
                  <w:pPr>
                    <w:pStyle w:val="83"/>
                    <w:rPr>
                      <w:rFonts w:hint="default"/>
                    </w:rPr>
                  </w:pPr>
                </w:p>
              </w:tc>
              <w:tc>
                <w:tcPr>
                  <w:tcW w:w="320" w:type="pct"/>
                  <w:tcBorders>
                    <w:tl2br w:val="nil"/>
                    <w:tr2bl w:val="nil"/>
                  </w:tcBorders>
                  <w:vAlign w:val="center"/>
                </w:tcPr>
                <w:p w14:paraId="076BC347">
                  <w:pPr>
                    <w:pStyle w:val="83"/>
                    <w:rPr>
                      <w:rFonts w:hint="default"/>
                    </w:rPr>
                  </w:pPr>
                  <w:r>
                    <w:t>SS</w:t>
                  </w:r>
                </w:p>
              </w:tc>
              <w:tc>
                <w:tcPr>
                  <w:tcW w:w="267" w:type="pct"/>
                  <w:vMerge w:val="continue"/>
                  <w:tcBorders>
                    <w:tl2br w:val="nil"/>
                    <w:tr2bl w:val="nil"/>
                  </w:tcBorders>
                  <w:vAlign w:val="center"/>
                </w:tcPr>
                <w:p w14:paraId="4C2F27F9">
                  <w:pPr>
                    <w:pStyle w:val="83"/>
                    <w:rPr>
                      <w:rFonts w:hint="default"/>
                    </w:rPr>
                  </w:pPr>
                </w:p>
              </w:tc>
              <w:tc>
                <w:tcPr>
                  <w:tcW w:w="308" w:type="pct"/>
                  <w:vMerge w:val="continue"/>
                  <w:tcBorders>
                    <w:tl2br w:val="nil"/>
                    <w:tr2bl w:val="nil"/>
                  </w:tcBorders>
                  <w:vAlign w:val="center"/>
                </w:tcPr>
                <w:p w14:paraId="481D699A">
                  <w:pPr>
                    <w:pStyle w:val="83"/>
                    <w:rPr>
                      <w:rFonts w:hint="default"/>
                    </w:rPr>
                  </w:pPr>
                </w:p>
              </w:tc>
              <w:tc>
                <w:tcPr>
                  <w:tcW w:w="383" w:type="pct"/>
                  <w:tcBorders>
                    <w:tl2br w:val="nil"/>
                    <w:tr2bl w:val="nil"/>
                  </w:tcBorders>
                  <w:vAlign w:val="center"/>
                </w:tcPr>
                <w:p w14:paraId="2B69133C">
                  <w:pPr>
                    <w:pStyle w:val="83"/>
                    <w:rPr>
                      <w:rFonts w:hint="default"/>
                    </w:rPr>
                  </w:pPr>
                  <w:r>
                    <w:t>30</w:t>
                  </w:r>
                </w:p>
              </w:tc>
              <w:tc>
                <w:tcPr>
                  <w:tcW w:w="323" w:type="pct"/>
                  <w:tcBorders>
                    <w:tl2br w:val="nil"/>
                    <w:tr2bl w:val="nil"/>
                  </w:tcBorders>
                  <w:vAlign w:val="center"/>
                </w:tcPr>
                <w:p w14:paraId="7913B9EA">
                  <w:pPr>
                    <w:pStyle w:val="83"/>
                    <w:rPr>
                      <w:rFonts w:hint="default"/>
                    </w:rPr>
                  </w:pPr>
                  <w:r>
                    <w:t>0.14</w:t>
                  </w:r>
                </w:p>
              </w:tc>
              <w:tc>
                <w:tcPr>
                  <w:tcW w:w="437" w:type="pct"/>
                  <w:vMerge w:val="continue"/>
                  <w:tcBorders>
                    <w:tl2br w:val="nil"/>
                    <w:tr2bl w:val="nil"/>
                  </w:tcBorders>
                  <w:vAlign w:val="center"/>
                </w:tcPr>
                <w:p w14:paraId="04D02D0A">
                  <w:pPr>
                    <w:pStyle w:val="83"/>
                    <w:rPr>
                      <w:rFonts w:hint="default"/>
                    </w:rPr>
                  </w:pPr>
                </w:p>
              </w:tc>
              <w:tc>
                <w:tcPr>
                  <w:tcW w:w="306" w:type="pct"/>
                  <w:tcBorders>
                    <w:tl2br w:val="nil"/>
                    <w:tr2bl w:val="nil"/>
                  </w:tcBorders>
                  <w:vAlign w:val="center"/>
                </w:tcPr>
                <w:p w14:paraId="415C82D1">
                  <w:pPr>
                    <w:pStyle w:val="83"/>
                    <w:rPr>
                      <w:rFonts w:hint="default"/>
                    </w:rPr>
                  </w:pPr>
                  <w:r>
                    <w:t>96</w:t>
                  </w:r>
                </w:p>
              </w:tc>
              <w:tc>
                <w:tcPr>
                  <w:tcW w:w="357" w:type="pct"/>
                  <w:vMerge w:val="continue"/>
                  <w:tcBorders>
                    <w:tl2br w:val="nil"/>
                    <w:tr2bl w:val="nil"/>
                  </w:tcBorders>
                  <w:vAlign w:val="center"/>
                </w:tcPr>
                <w:p w14:paraId="15136FE2">
                  <w:pPr>
                    <w:pStyle w:val="83"/>
                    <w:rPr>
                      <w:rFonts w:hint="default"/>
                    </w:rPr>
                  </w:pPr>
                </w:p>
              </w:tc>
              <w:tc>
                <w:tcPr>
                  <w:tcW w:w="390" w:type="pct"/>
                  <w:tcBorders>
                    <w:tl2br w:val="nil"/>
                    <w:tr2bl w:val="nil"/>
                  </w:tcBorders>
                  <w:vAlign w:val="center"/>
                </w:tcPr>
                <w:p w14:paraId="25B7F06B">
                  <w:pPr>
                    <w:pStyle w:val="83"/>
                    <w:rPr>
                      <w:rFonts w:hint="default"/>
                    </w:rPr>
                  </w:pPr>
                  <w:r>
                    <w:t>1.2</w:t>
                  </w:r>
                </w:p>
              </w:tc>
              <w:tc>
                <w:tcPr>
                  <w:tcW w:w="310" w:type="pct"/>
                  <w:tcBorders>
                    <w:tl2br w:val="nil"/>
                    <w:tr2bl w:val="nil"/>
                  </w:tcBorders>
                  <w:vAlign w:val="center"/>
                </w:tcPr>
                <w:p w14:paraId="1C8EFF02">
                  <w:pPr>
                    <w:pStyle w:val="83"/>
                    <w:rPr>
                      <w:rFonts w:hint="default"/>
                    </w:rPr>
                  </w:pPr>
                  <w:r>
                    <w:t>/</w:t>
                  </w:r>
                </w:p>
              </w:tc>
            </w:tr>
            <w:tr w14:paraId="50CD5C9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1C6DD288">
                  <w:pPr>
                    <w:pStyle w:val="83"/>
                    <w:rPr>
                      <w:rFonts w:hint="default"/>
                    </w:rPr>
                  </w:pPr>
                </w:p>
              </w:tc>
              <w:tc>
                <w:tcPr>
                  <w:tcW w:w="319" w:type="pct"/>
                  <w:vMerge w:val="continue"/>
                  <w:tcBorders>
                    <w:tl2br w:val="nil"/>
                    <w:tr2bl w:val="nil"/>
                  </w:tcBorders>
                  <w:vAlign w:val="center"/>
                </w:tcPr>
                <w:p w14:paraId="3C3263D4">
                  <w:pPr>
                    <w:pStyle w:val="83"/>
                    <w:rPr>
                      <w:rFonts w:hint="default"/>
                    </w:rPr>
                  </w:pPr>
                </w:p>
              </w:tc>
              <w:tc>
                <w:tcPr>
                  <w:tcW w:w="981" w:type="pct"/>
                  <w:vMerge w:val="continue"/>
                  <w:tcBorders>
                    <w:tl2br w:val="nil"/>
                    <w:tr2bl w:val="nil"/>
                  </w:tcBorders>
                  <w:vAlign w:val="center"/>
                </w:tcPr>
                <w:p w14:paraId="742C8D3C">
                  <w:pPr>
                    <w:pStyle w:val="83"/>
                    <w:rPr>
                      <w:rFonts w:hint="default"/>
                    </w:rPr>
                  </w:pPr>
                </w:p>
              </w:tc>
              <w:tc>
                <w:tcPr>
                  <w:tcW w:w="320" w:type="pct"/>
                  <w:tcBorders>
                    <w:tl2br w:val="nil"/>
                    <w:tr2bl w:val="nil"/>
                  </w:tcBorders>
                  <w:vAlign w:val="center"/>
                </w:tcPr>
                <w:p w14:paraId="6C33331A">
                  <w:pPr>
                    <w:pStyle w:val="83"/>
                    <w:rPr>
                      <w:rFonts w:hint="default"/>
                    </w:rPr>
                  </w:pPr>
                  <w:r>
                    <w:t>氨氮</w:t>
                  </w:r>
                </w:p>
              </w:tc>
              <w:tc>
                <w:tcPr>
                  <w:tcW w:w="267" w:type="pct"/>
                  <w:vMerge w:val="continue"/>
                  <w:tcBorders>
                    <w:tl2br w:val="nil"/>
                    <w:tr2bl w:val="nil"/>
                  </w:tcBorders>
                  <w:vAlign w:val="center"/>
                </w:tcPr>
                <w:p w14:paraId="033C537A">
                  <w:pPr>
                    <w:pStyle w:val="83"/>
                    <w:rPr>
                      <w:rFonts w:hint="default"/>
                    </w:rPr>
                  </w:pPr>
                </w:p>
              </w:tc>
              <w:tc>
                <w:tcPr>
                  <w:tcW w:w="308" w:type="pct"/>
                  <w:vMerge w:val="continue"/>
                  <w:tcBorders>
                    <w:tl2br w:val="nil"/>
                    <w:tr2bl w:val="nil"/>
                  </w:tcBorders>
                  <w:vAlign w:val="center"/>
                </w:tcPr>
                <w:p w14:paraId="3C5B1981">
                  <w:pPr>
                    <w:pStyle w:val="83"/>
                    <w:rPr>
                      <w:rFonts w:hint="default"/>
                    </w:rPr>
                  </w:pPr>
                </w:p>
              </w:tc>
              <w:tc>
                <w:tcPr>
                  <w:tcW w:w="383" w:type="pct"/>
                  <w:tcBorders>
                    <w:tl2br w:val="nil"/>
                    <w:tr2bl w:val="nil"/>
                  </w:tcBorders>
                  <w:vAlign w:val="center"/>
                </w:tcPr>
                <w:p w14:paraId="0DEE4DD3">
                  <w:pPr>
                    <w:pStyle w:val="83"/>
                    <w:rPr>
                      <w:rFonts w:hint="default"/>
                    </w:rPr>
                  </w:pPr>
                  <w:r>
                    <w:t>10</w:t>
                  </w:r>
                </w:p>
              </w:tc>
              <w:tc>
                <w:tcPr>
                  <w:tcW w:w="323" w:type="pct"/>
                  <w:tcBorders>
                    <w:tl2br w:val="nil"/>
                    <w:tr2bl w:val="nil"/>
                  </w:tcBorders>
                  <w:vAlign w:val="center"/>
                </w:tcPr>
                <w:p w14:paraId="0A2C479C">
                  <w:pPr>
                    <w:pStyle w:val="83"/>
                    <w:rPr>
                      <w:rFonts w:hint="default"/>
                    </w:rPr>
                  </w:pPr>
                  <w:r>
                    <w:t>0.046</w:t>
                  </w:r>
                </w:p>
              </w:tc>
              <w:tc>
                <w:tcPr>
                  <w:tcW w:w="437" w:type="pct"/>
                  <w:vMerge w:val="continue"/>
                  <w:tcBorders>
                    <w:tl2br w:val="nil"/>
                    <w:tr2bl w:val="nil"/>
                  </w:tcBorders>
                  <w:vAlign w:val="center"/>
                </w:tcPr>
                <w:p w14:paraId="5FC3E8BD">
                  <w:pPr>
                    <w:pStyle w:val="83"/>
                    <w:rPr>
                      <w:rFonts w:hint="default"/>
                    </w:rPr>
                  </w:pPr>
                </w:p>
              </w:tc>
              <w:tc>
                <w:tcPr>
                  <w:tcW w:w="306" w:type="pct"/>
                  <w:tcBorders>
                    <w:tl2br w:val="nil"/>
                    <w:tr2bl w:val="nil"/>
                  </w:tcBorders>
                  <w:vAlign w:val="center"/>
                </w:tcPr>
                <w:p w14:paraId="79C475EB">
                  <w:pPr>
                    <w:pStyle w:val="83"/>
                    <w:rPr>
                      <w:rFonts w:hint="default"/>
                    </w:rPr>
                  </w:pPr>
                  <w:r>
                    <w:t>99.5</w:t>
                  </w:r>
                </w:p>
              </w:tc>
              <w:tc>
                <w:tcPr>
                  <w:tcW w:w="357" w:type="pct"/>
                  <w:vMerge w:val="continue"/>
                  <w:tcBorders>
                    <w:tl2br w:val="nil"/>
                    <w:tr2bl w:val="nil"/>
                  </w:tcBorders>
                  <w:vAlign w:val="center"/>
                </w:tcPr>
                <w:p w14:paraId="00ECC1B8">
                  <w:pPr>
                    <w:pStyle w:val="83"/>
                    <w:rPr>
                      <w:rFonts w:hint="default"/>
                    </w:rPr>
                  </w:pPr>
                </w:p>
              </w:tc>
              <w:tc>
                <w:tcPr>
                  <w:tcW w:w="390" w:type="pct"/>
                  <w:tcBorders>
                    <w:tl2br w:val="nil"/>
                    <w:tr2bl w:val="nil"/>
                  </w:tcBorders>
                  <w:vAlign w:val="center"/>
                </w:tcPr>
                <w:p w14:paraId="15D06160">
                  <w:pPr>
                    <w:pStyle w:val="83"/>
                    <w:rPr>
                      <w:rFonts w:hint="default"/>
                    </w:rPr>
                  </w:pPr>
                  <w:r>
                    <w:t>0.05</w:t>
                  </w:r>
                </w:p>
              </w:tc>
              <w:tc>
                <w:tcPr>
                  <w:tcW w:w="310" w:type="pct"/>
                  <w:tcBorders>
                    <w:tl2br w:val="nil"/>
                    <w:tr2bl w:val="nil"/>
                  </w:tcBorders>
                  <w:vAlign w:val="center"/>
                </w:tcPr>
                <w:p w14:paraId="763455D2">
                  <w:pPr>
                    <w:pStyle w:val="83"/>
                    <w:rPr>
                      <w:rFonts w:hint="default"/>
                    </w:rPr>
                  </w:pPr>
                  <w:r>
                    <w:t>/</w:t>
                  </w:r>
                </w:p>
              </w:tc>
            </w:tr>
            <w:tr w14:paraId="362CED0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1665330">
                  <w:pPr>
                    <w:pStyle w:val="83"/>
                    <w:rPr>
                      <w:rFonts w:hint="default"/>
                    </w:rPr>
                  </w:pPr>
                </w:p>
              </w:tc>
              <w:tc>
                <w:tcPr>
                  <w:tcW w:w="319" w:type="pct"/>
                  <w:vMerge w:val="continue"/>
                  <w:tcBorders>
                    <w:tl2br w:val="nil"/>
                    <w:tr2bl w:val="nil"/>
                  </w:tcBorders>
                  <w:vAlign w:val="center"/>
                </w:tcPr>
                <w:p w14:paraId="7D925112">
                  <w:pPr>
                    <w:pStyle w:val="83"/>
                    <w:rPr>
                      <w:rFonts w:hint="default"/>
                    </w:rPr>
                  </w:pPr>
                </w:p>
              </w:tc>
              <w:tc>
                <w:tcPr>
                  <w:tcW w:w="981" w:type="pct"/>
                  <w:vMerge w:val="continue"/>
                  <w:tcBorders>
                    <w:tl2br w:val="nil"/>
                    <w:tr2bl w:val="nil"/>
                  </w:tcBorders>
                  <w:vAlign w:val="center"/>
                </w:tcPr>
                <w:p w14:paraId="713D0A76">
                  <w:pPr>
                    <w:pStyle w:val="83"/>
                    <w:rPr>
                      <w:rFonts w:hint="default"/>
                    </w:rPr>
                  </w:pPr>
                </w:p>
              </w:tc>
              <w:tc>
                <w:tcPr>
                  <w:tcW w:w="320" w:type="pct"/>
                  <w:tcBorders>
                    <w:tl2br w:val="nil"/>
                    <w:tr2bl w:val="nil"/>
                  </w:tcBorders>
                  <w:vAlign w:val="center"/>
                </w:tcPr>
                <w:p w14:paraId="4DC73280">
                  <w:pPr>
                    <w:pStyle w:val="83"/>
                    <w:rPr>
                      <w:rFonts w:hint="default"/>
                    </w:rPr>
                  </w:pPr>
                  <w:r>
                    <w:t>石油类</w:t>
                  </w:r>
                </w:p>
              </w:tc>
              <w:tc>
                <w:tcPr>
                  <w:tcW w:w="267" w:type="pct"/>
                  <w:vMerge w:val="continue"/>
                  <w:tcBorders>
                    <w:tl2br w:val="nil"/>
                    <w:tr2bl w:val="nil"/>
                  </w:tcBorders>
                  <w:vAlign w:val="center"/>
                </w:tcPr>
                <w:p w14:paraId="6DE9260C">
                  <w:pPr>
                    <w:pStyle w:val="83"/>
                    <w:rPr>
                      <w:rFonts w:hint="default"/>
                    </w:rPr>
                  </w:pPr>
                </w:p>
              </w:tc>
              <w:tc>
                <w:tcPr>
                  <w:tcW w:w="308" w:type="pct"/>
                  <w:vMerge w:val="continue"/>
                  <w:tcBorders>
                    <w:tl2br w:val="nil"/>
                    <w:tr2bl w:val="nil"/>
                  </w:tcBorders>
                  <w:vAlign w:val="center"/>
                </w:tcPr>
                <w:p w14:paraId="24659A7D">
                  <w:pPr>
                    <w:pStyle w:val="83"/>
                    <w:rPr>
                      <w:rFonts w:hint="default"/>
                    </w:rPr>
                  </w:pPr>
                </w:p>
              </w:tc>
              <w:tc>
                <w:tcPr>
                  <w:tcW w:w="383" w:type="pct"/>
                  <w:tcBorders>
                    <w:tl2br w:val="nil"/>
                    <w:tr2bl w:val="nil"/>
                  </w:tcBorders>
                  <w:vAlign w:val="center"/>
                </w:tcPr>
                <w:p w14:paraId="68E47843">
                  <w:pPr>
                    <w:pStyle w:val="83"/>
                    <w:rPr>
                      <w:rFonts w:hint="default"/>
                    </w:rPr>
                  </w:pPr>
                  <w:r>
                    <w:t>1</w:t>
                  </w:r>
                </w:p>
              </w:tc>
              <w:tc>
                <w:tcPr>
                  <w:tcW w:w="323" w:type="pct"/>
                  <w:tcBorders>
                    <w:tl2br w:val="nil"/>
                    <w:tr2bl w:val="nil"/>
                  </w:tcBorders>
                  <w:vAlign w:val="center"/>
                </w:tcPr>
                <w:p w14:paraId="1FE68DCA">
                  <w:pPr>
                    <w:pStyle w:val="83"/>
                    <w:rPr>
                      <w:rFonts w:hint="default"/>
                    </w:rPr>
                  </w:pPr>
                  <w:r>
                    <w:t>0.0046</w:t>
                  </w:r>
                </w:p>
              </w:tc>
              <w:tc>
                <w:tcPr>
                  <w:tcW w:w="437" w:type="pct"/>
                  <w:vMerge w:val="continue"/>
                  <w:tcBorders>
                    <w:tl2br w:val="nil"/>
                    <w:tr2bl w:val="nil"/>
                  </w:tcBorders>
                  <w:vAlign w:val="center"/>
                </w:tcPr>
                <w:p w14:paraId="6ADA43FD">
                  <w:pPr>
                    <w:pStyle w:val="83"/>
                    <w:rPr>
                      <w:rFonts w:hint="default"/>
                    </w:rPr>
                  </w:pPr>
                </w:p>
              </w:tc>
              <w:tc>
                <w:tcPr>
                  <w:tcW w:w="306" w:type="pct"/>
                  <w:tcBorders>
                    <w:tl2br w:val="nil"/>
                    <w:tr2bl w:val="nil"/>
                  </w:tcBorders>
                  <w:vAlign w:val="center"/>
                </w:tcPr>
                <w:p w14:paraId="526F374C">
                  <w:pPr>
                    <w:pStyle w:val="83"/>
                    <w:rPr>
                      <w:rFonts w:hint="default"/>
                    </w:rPr>
                  </w:pPr>
                  <w:r>
                    <w:t>99</w:t>
                  </w:r>
                </w:p>
              </w:tc>
              <w:tc>
                <w:tcPr>
                  <w:tcW w:w="357" w:type="pct"/>
                  <w:vMerge w:val="continue"/>
                  <w:tcBorders>
                    <w:tl2br w:val="nil"/>
                    <w:tr2bl w:val="nil"/>
                  </w:tcBorders>
                  <w:vAlign w:val="center"/>
                </w:tcPr>
                <w:p w14:paraId="0FA93827">
                  <w:pPr>
                    <w:pStyle w:val="83"/>
                    <w:rPr>
                      <w:rFonts w:hint="default"/>
                    </w:rPr>
                  </w:pPr>
                </w:p>
              </w:tc>
              <w:tc>
                <w:tcPr>
                  <w:tcW w:w="390" w:type="pct"/>
                  <w:tcBorders>
                    <w:tl2br w:val="nil"/>
                    <w:tr2bl w:val="nil"/>
                  </w:tcBorders>
                  <w:vAlign w:val="center"/>
                </w:tcPr>
                <w:p w14:paraId="69DBE5F7">
                  <w:pPr>
                    <w:pStyle w:val="83"/>
                    <w:rPr>
                      <w:rFonts w:hint="default"/>
                    </w:rPr>
                  </w:pPr>
                  <w:r>
                    <w:t>0.01</w:t>
                  </w:r>
                </w:p>
              </w:tc>
              <w:tc>
                <w:tcPr>
                  <w:tcW w:w="310" w:type="pct"/>
                  <w:tcBorders>
                    <w:tl2br w:val="nil"/>
                    <w:tr2bl w:val="nil"/>
                  </w:tcBorders>
                  <w:vAlign w:val="center"/>
                </w:tcPr>
                <w:p w14:paraId="34121E9B">
                  <w:pPr>
                    <w:pStyle w:val="83"/>
                    <w:rPr>
                      <w:rFonts w:hint="default"/>
                    </w:rPr>
                  </w:pPr>
                  <w:r>
                    <w:t>/</w:t>
                  </w:r>
                </w:p>
              </w:tc>
            </w:tr>
            <w:tr w14:paraId="7613A4D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48E4C1B">
                  <w:pPr>
                    <w:pStyle w:val="83"/>
                    <w:rPr>
                      <w:rFonts w:hint="default"/>
                    </w:rPr>
                  </w:pPr>
                </w:p>
              </w:tc>
              <w:tc>
                <w:tcPr>
                  <w:tcW w:w="319" w:type="pct"/>
                  <w:vMerge w:val="continue"/>
                  <w:tcBorders>
                    <w:tl2br w:val="nil"/>
                    <w:tr2bl w:val="nil"/>
                  </w:tcBorders>
                  <w:vAlign w:val="center"/>
                </w:tcPr>
                <w:p w14:paraId="120A9FD9">
                  <w:pPr>
                    <w:pStyle w:val="83"/>
                    <w:rPr>
                      <w:rFonts w:hint="default"/>
                    </w:rPr>
                  </w:pPr>
                </w:p>
              </w:tc>
              <w:tc>
                <w:tcPr>
                  <w:tcW w:w="981" w:type="pct"/>
                  <w:vMerge w:val="continue"/>
                  <w:tcBorders>
                    <w:tl2br w:val="nil"/>
                    <w:tr2bl w:val="nil"/>
                  </w:tcBorders>
                  <w:vAlign w:val="center"/>
                </w:tcPr>
                <w:p w14:paraId="3CA2FB02">
                  <w:pPr>
                    <w:pStyle w:val="83"/>
                    <w:rPr>
                      <w:rFonts w:hint="default"/>
                    </w:rPr>
                  </w:pPr>
                </w:p>
              </w:tc>
              <w:tc>
                <w:tcPr>
                  <w:tcW w:w="320" w:type="pct"/>
                  <w:tcBorders>
                    <w:tl2br w:val="nil"/>
                    <w:tr2bl w:val="nil"/>
                  </w:tcBorders>
                  <w:vAlign w:val="center"/>
                </w:tcPr>
                <w:p w14:paraId="538457E3">
                  <w:pPr>
                    <w:pStyle w:val="83"/>
                    <w:rPr>
                      <w:rFonts w:hint="default"/>
                    </w:rPr>
                  </w:pPr>
                  <w:r>
                    <w:t>总有机碳</w:t>
                  </w:r>
                </w:p>
              </w:tc>
              <w:tc>
                <w:tcPr>
                  <w:tcW w:w="267" w:type="pct"/>
                  <w:vMerge w:val="continue"/>
                  <w:tcBorders>
                    <w:tl2br w:val="nil"/>
                    <w:tr2bl w:val="nil"/>
                  </w:tcBorders>
                  <w:vAlign w:val="center"/>
                </w:tcPr>
                <w:p w14:paraId="172C8957">
                  <w:pPr>
                    <w:pStyle w:val="83"/>
                    <w:rPr>
                      <w:rFonts w:hint="default"/>
                    </w:rPr>
                  </w:pPr>
                </w:p>
              </w:tc>
              <w:tc>
                <w:tcPr>
                  <w:tcW w:w="308" w:type="pct"/>
                  <w:vMerge w:val="continue"/>
                  <w:tcBorders>
                    <w:tl2br w:val="nil"/>
                    <w:tr2bl w:val="nil"/>
                  </w:tcBorders>
                  <w:vAlign w:val="center"/>
                </w:tcPr>
                <w:p w14:paraId="229D9B56">
                  <w:pPr>
                    <w:pStyle w:val="83"/>
                    <w:rPr>
                      <w:rFonts w:hint="default"/>
                    </w:rPr>
                  </w:pPr>
                </w:p>
              </w:tc>
              <w:tc>
                <w:tcPr>
                  <w:tcW w:w="383" w:type="pct"/>
                  <w:tcBorders>
                    <w:tl2br w:val="nil"/>
                    <w:tr2bl w:val="nil"/>
                  </w:tcBorders>
                  <w:vAlign w:val="center"/>
                </w:tcPr>
                <w:p w14:paraId="135CE5B9">
                  <w:pPr>
                    <w:pStyle w:val="83"/>
                    <w:rPr>
                      <w:rFonts w:hint="default"/>
                    </w:rPr>
                  </w:pPr>
                  <w:r>
                    <w:t>20</w:t>
                  </w:r>
                </w:p>
              </w:tc>
              <w:tc>
                <w:tcPr>
                  <w:tcW w:w="323" w:type="pct"/>
                  <w:tcBorders>
                    <w:tl2br w:val="nil"/>
                    <w:tr2bl w:val="nil"/>
                  </w:tcBorders>
                  <w:vAlign w:val="center"/>
                </w:tcPr>
                <w:p w14:paraId="6DE59583">
                  <w:pPr>
                    <w:pStyle w:val="83"/>
                    <w:rPr>
                      <w:rFonts w:hint="default"/>
                    </w:rPr>
                  </w:pPr>
                  <w:r>
                    <w:t>0.09</w:t>
                  </w:r>
                </w:p>
              </w:tc>
              <w:tc>
                <w:tcPr>
                  <w:tcW w:w="437" w:type="pct"/>
                  <w:vMerge w:val="continue"/>
                  <w:tcBorders>
                    <w:tl2br w:val="nil"/>
                    <w:tr2bl w:val="nil"/>
                  </w:tcBorders>
                  <w:vAlign w:val="center"/>
                </w:tcPr>
                <w:p w14:paraId="1BA5C258">
                  <w:pPr>
                    <w:pStyle w:val="83"/>
                    <w:rPr>
                      <w:rFonts w:hint="default"/>
                    </w:rPr>
                  </w:pPr>
                </w:p>
              </w:tc>
              <w:tc>
                <w:tcPr>
                  <w:tcW w:w="306" w:type="pct"/>
                  <w:tcBorders>
                    <w:tl2br w:val="nil"/>
                    <w:tr2bl w:val="nil"/>
                  </w:tcBorders>
                  <w:vAlign w:val="center"/>
                </w:tcPr>
                <w:p w14:paraId="411D7845">
                  <w:pPr>
                    <w:pStyle w:val="83"/>
                    <w:rPr>
                      <w:rFonts w:hint="default"/>
                    </w:rPr>
                  </w:pPr>
                  <w:r>
                    <w:t>90</w:t>
                  </w:r>
                </w:p>
              </w:tc>
              <w:tc>
                <w:tcPr>
                  <w:tcW w:w="357" w:type="pct"/>
                  <w:vMerge w:val="continue"/>
                  <w:tcBorders>
                    <w:tl2br w:val="nil"/>
                    <w:tr2bl w:val="nil"/>
                  </w:tcBorders>
                  <w:vAlign w:val="center"/>
                </w:tcPr>
                <w:p w14:paraId="229BC1CA">
                  <w:pPr>
                    <w:pStyle w:val="83"/>
                    <w:rPr>
                      <w:rFonts w:hint="default"/>
                    </w:rPr>
                  </w:pPr>
                </w:p>
              </w:tc>
              <w:tc>
                <w:tcPr>
                  <w:tcW w:w="390" w:type="pct"/>
                  <w:tcBorders>
                    <w:tl2br w:val="nil"/>
                    <w:tr2bl w:val="nil"/>
                  </w:tcBorders>
                  <w:vAlign w:val="center"/>
                </w:tcPr>
                <w:p w14:paraId="4C662A3D">
                  <w:pPr>
                    <w:pStyle w:val="83"/>
                    <w:rPr>
                      <w:rFonts w:hint="default"/>
                    </w:rPr>
                  </w:pPr>
                  <w:r>
                    <w:t>2</w:t>
                  </w:r>
                </w:p>
              </w:tc>
              <w:tc>
                <w:tcPr>
                  <w:tcW w:w="310" w:type="pct"/>
                  <w:tcBorders>
                    <w:tl2br w:val="nil"/>
                    <w:tr2bl w:val="nil"/>
                  </w:tcBorders>
                  <w:vAlign w:val="center"/>
                </w:tcPr>
                <w:p w14:paraId="066F476C">
                  <w:pPr>
                    <w:pStyle w:val="83"/>
                    <w:rPr>
                      <w:rFonts w:hint="default"/>
                    </w:rPr>
                  </w:pPr>
                  <w:r>
                    <w:t>/</w:t>
                  </w:r>
                </w:p>
              </w:tc>
            </w:tr>
            <w:tr w14:paraId="6ED266D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6AA8C00C">
                  <w:pPr>
                    <w:pStyle w:val="83"/>
                    <w:rPr>
                      <w:rFonts w:hint="default"/>
                    </w:rPr>
                  </w:pPr>
                  <w:r>
                    <w:t>组件清洗</w:t>
                  </w:r>
                </w:p>
              </w:tc>
              <w:tc>
                <w:tcPr>
                  <w:tcW w:w="319" w:type="pct"/>
                  <w:vMerge w:val="restart"/>
                  <w:tcBorders>
                    <w:tl2br w:val="nil"/>
                    <w:tr2bl w:val="nil"/>
                  </w:tcBorders>
                  <w:vAlign w:val="center"/>
                </w:tcPr>
                <w:p w14:paraId="66DC7FAC">
                  <w:pPr>
                    <w:pStyle w:val="83"/>
                    <w:rPr>
                      <w:rFonts w:hint="default"/>
                    </w:rPr>
                  </w:pPr>
                  <w:r>
                    <w:t>生产废水</w:t>
                  </w:r>
                </w:p>
              </w:tc>
              <w:tc>
                <w:tcPr>
                  <w:tcW w:w="981" w:type="pct"/>
                  <w:vMerge w:val="restart"/>
                  <w:tcBorders>
                    <w:tl2br w:val="nil"/>
                    <w:tr2bl w:val="nil"/>
                  </w:tcBorders>
                  <w:vAlign w:val="center"/>
                </w:tcPr>
                <w:p w14:paraId="341AD83B">
                  <w:pPr>
                    <w:pStyle w:val="83"/>
                    <w:rPr>
                      <w:rFonts w:hint="default"/>
                    </w:rPr>
                  </w:pPr>
                  <w:r>
                    <w:t>水解酸化池+IEPI高效厌氧塔+A/O池+MBR膜生物反应系统+RO反渗透系统</w:t>
                  </w:r>
                </w:p>
              </w:tc>
              <w:tc>
                <w:tcPr>
                  <w:tcW w:w="320" w:type="pct"/>
                  <w:tcBorders>
                    <w:tl2br w:val="nil"/>
                    <w:tr2bl w:val="nil"/>
                  </w:tcBorders>
                  <w:vAlign w:val="center"/>
                </w:tcPr>
                <w:p w14:paraId="04E614BF">
                  <w:pPr>
                    <w:pStyle w:val="83"/>
                    <w:rPr>
                      <w:rFonts w:hint="default"/>
                    </w:rPr>
                  </w:pPr>
                  <w:r>
                    <w:t>COD</w:t>
                  </w:r>
                </w:p>
              </w:tc>
              <w:tc>
                <w:tcPr>
                  <w:tcW w:w="267" w:type="pct"/>
                  <w:vMerge w:val="restart"/>
                  <w:tcBorders>
                    <w:tl2br w:val="nil"/>
                    <w:tr2bl w:val="nil"/>
                  </w:tcBorders>
                  <w:vAlign w:val="center"/>
                </w:tcPr>
                <w:p w14:paraId="09B6978A">
                  <w:pPr>
                    <w:pStyle w:val="83"/>
                    <w:rPr>
                      <w:rFonts w:hint="default"/>
                    </w:rPr>
                  </w:pPr>
                  <w:r>
                    <w:t>类比法</w:t>
                  </w:r>
                </w:p>
              </w:tc>
              <w:tc>
                <w:tcPr>
                  <w:tcW w:w="308" w:type="pct"/>
                  <w:vMerge w:val="restart"/>
                  <w:tcBorders>
                    <w:tl2br w:val="nil"/>
                    <w:tr2bl w:val="nil"/>
                  </w:tcBorders>
                  <w:vAlign w:val="center"/>
                </w:tcPr>
                <w:p w14:paraId="3CE04CCB">
                  <w:pPr>
                    <w:pStyle w:val="83"/>
                    <w:rPr>
                      <w:rFonts w:hint="default"/>
                    </w:rPr>
                  </w:pPr>
                  <w:r>
                    <w:t>200.75</w:t>
                  </w:r>
                </w:p>
              </w:tc>
              <w:tc>
                <w:tcPr>
                  <w:tcW w:w="383" w:type="pct"/>
                  <w:tcBorders>
                    <w:tl2br w:val="nil"/>
                    <w:tr2bl w:val="nil"/>
                  </w:tcBorders>
                  <w:vAlign w:val="center"/>
                </w:tcPr>
                <w:p w14:paraId="03EEE26A">
                  <w:pPr>
                    <w:pStyle w:val="83"/>
                    <w:rPr>
                      <w:rFonts w:hint="default"/>
                    </w:rPr>
                  </w:pPr>
                  <w:r>
                    <w:t>500</w:t>
                  </w:r>
                </w:p>
              </w:tc>
              <w:tc>
                <w:tcPr>
                  <w:tcW w:w="323" w:type="pct"/>
                  <w:tcBorders>
                    <w:tl2br w:val="nil"/>
                    <w:tr2bl w:val="nil"/>
                  </w:tcBorders>
                  <w:vAlign w:val="center"/>
                </w:tcPr>
                <w:p w14:paraId="7E70A7BD">
                  <w:pPr>
                    <w:pStyle w:val="83"/>
                    <w:rPr>
                      <w:rFonts w:hint="default"/>
                    </w:rPr>
                  </w:pPr>
                  <w:r>
                    <w:t>0.1</w:t>
                  </w:r>
                </w:p>
              </w:tc>
              <w:tc>
                <w:tcPr>
                  <w:tcW w:w="437" w:type="pct"/>
                  <w:vMerge w:val="restart"/>
                  <w:tcBorders>
                    <w:tl2br w:val="nil"/>
                    <w:tr2bl w:val="nil"/>
                  </w:tcBorders>
                  <w:vAlign w:val="center"/>
                </w:tcPr>
                <w:p w14:paraId="42DFF672">
                  <w:pPr>
                    <w:pStyle w:val="83"/>
                    <w:rPr>
                      <w:rFonts w:hint="default"/>
                    </w:rPr>
                  </w:pPr>
                  <w:r>
                    <w:t>水解酸化+高效厌氧+厌氧好氧+MBR+RO</w:t>
                  </w:r>
                </w:p>
              </w:tc>
              <w:tc>
                <w:tcPr>
                  <w:tcW w:w="306" w:type="pct"/>
                  <w:tcBorders>
                    <w:tl2br w:val="nil"/>
                    <w:tr2bl w:val="nil"/>
                  </w:tcBorders>
                  <w:vAlign w:val="center"/>
                </w:tcPr>
                <w:p w14:paraId="24FE45C3">
                  <w:pPr>
                    <w:pStyle w:val="83"/>
                    <w:rPr>
                      <w:rFonts w:hint="default"/>
                    </w:rPr>
                  </w:pPr>
                  <w:r>
                    <w:t>99</w:t>
                  </w:r>
                </w:p>
              </w:tc>
              <w:tc>
                <w:tcPr>
                  <w:tcW w:w="357" w:type="pct"/>
                  <w:vMerge w:val="restart"/>
                  <w:tcBorders>
                    <w:tl2br w:val="nil"/>
                    <w:tr2bl w:val="nil"/>
                  </w:tcBorders>
                  <w:vAlign w:val="center"/>
                </w:tcPr>
                <w:p w14:paraId="49C71538">
                  <w:pPr>
                    <w:pStyle w:val="83"/>
                    <w:rPr>
                      <w:rFonts w:hint="default"/>
                    </w:rPr>
                  </w:pPr>
                  <w:r>
                    <w:t>/</w:t>
                  </w:r>
                </w:p>
              </w:tc>
              <w:tc>
                <w:tcPr>
                  <w:tcW w:w="390" w:type="pct"/>
                  <w:tcBorders>
                    <w:tl2br w:val="nil"/>
                    <w:tr2bl w:val="nil"/>
                  </w:tcBorders>
                  <w:vAlign w:val="center"/>
                </w:tcPr>
                <w:p w14:paraId="7585D4D7">
                  <w:pPr>
                    <w:pStyle w:val="83"/>
                    <w:rPr>
                      <w:rFonts w:hint="default"/>
                    </w:rPr>
                  </w:pPr>
                  <w:r>
                    <w:t>5</w:t>
                  </w:r>
                </w:p>
              </w:tc>
              <w:tc>
                <w:tcPr>
                  <w:tcW w:w="310" w:type="pct"/>
                  <w:tcBorders>
                    <w:tl2br w:val="nil"/>
                    <w:tr2bl w:val="nil"/>
                  </w:tcBorders>
                  <w:vAlign w:val="center"/>
                </w:tcPr>
                <w:p w14:paraId="2A433198">
                  <w:pPr>
                    <w:pStyle w:val="83"/>
                    <w:rPr>
                      <w:rFonts w:hint="default"/>
                    </w:rPr>
                  </w:pPr>
                  <w:r>
                    <w:t>/</w:t>
                  </w:r>
                </w:p>
              </w:tc>
            </w:tr>
            <w:tr w14:paraId="7A15A23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18C1138A">
                  <w:pPr>
                    <w:pStyle w:val="83"/>
                    <w:rPr>
                      <w:rFonts w:hint="default"/>
                    </w:rPr>
                  </w:pPr>
                </w:p>
              </w:tc>
              <w:tc>
                <w:tcPr>
                  <w:tcW w:w="319" w:type="pct"/>
                  <w:vMerge w:val="continue"/>
                  <w:tcBorders>
                    <w:tl2br w:val="nil"/>
                    <w:tr2bl w:val="nil"/>
                  </w:tcBorders>
                  <w:vAlign w:val="center"/>
                </w:tcPr>
                <w:p w14:paraId="4217544C">
                  <w:pPr>
                    <w:pStyle w:val="83"/>
                    <w:rPr>
                      <w:rFonts w:hint="default"/>
                    </w:rPr>
                  </w:pPr>
                </w:p>
              </w:tc>
              <w:tc>
                <w:tcPr>
                  <w:tcW w:w="981" w:type="pct"/>
                  <w:vMerge w:val="continue"/>
                  <w:tcBorders>
                    <w:tl2br w:val="nil"/>
                    <w:tr2bl w:val="nil"/>
                  </w:tcBorders>
                  <w:vAlign w:val="center"/>
                </w:tcPr>
                <w:p w14:paraId="1409C62C">
                  <w:pPr>
                    <w:pStyle w:val="83"/>
                    <w:rPr>
                      <w:rFonts w:hint="default"/>
                    </w:rPr>
                  </w:pPr>
                </w:p>
              </w:tc>
              <w:tc>
                <w:tcPr>
                  <w:tcW w:w="320" w:type="pct"/>
                  <w:tcBorders>
                    <w:tl2br w:val="nil"/>
                    <w:tr2bl w:val="nil"/>
                  </w:tcBorders>
                  <w:vAlign w:val="center"/>
                </w:tcPr>
                <w:p w14:paraId="5604424D">
                  <w:pPr>
                    <w:pStyle w:val="83"/>
                    <w:rPr>
                      <w:rFonts w:hint="default"/>
                    </w:rPr>
                  </w:pPr>
                  <w:r>
                    <w:t>BOD</w:t>
                  </w:r>
                  <w:r>
                    <w:rPr>
                      <w:vertAlign w:val="subscript"/>
                    </w:rPr>
                    <w:t>5</w:t>
                  </w:r>
                </w:p>
              </w:tc>
              <w:tc>
                <w:tcPr>
                  <w:tcW w:w="267" w:type="pct"/>
                  <w:vMerge w:val="continue"/>
                  <w:tcBorders>
                    <w:tl2br w:val="nil"/>
                    <w:tr2bl w:val="nil"/>
                  </w:tcBorders>
                  <w:vAlign w:val="center"/>
                </w:tcPr>
                <w:p w14:paraId="7C706646">
                  <w:pPr>
                    <w:pStyle w:val="83"/>
                    <w:rPr>
                      <w:rFonts w:hint="default"/>
                    </w:rPr>
                  </w:pPr>
                </w:p>
              </w:tc>
              <w:tc>
                <w:tcPr>
                  <w:tcW w:w="308" w:type="pct"/>
                  <w:vMerge w:val="continue"/>
                  <w:tcBorders>
                    <w:tl2br w:val="nil"/>
                    <w:tr2bl w:val="nil"/>
                  </w:tcBorders>
                  <w:vAlign w:val="center"/>
                </w:tcPr>
                <w:p w14:paraId="7F10979E">
                  <w:pPr>
                    <w:pStyle w:val="83"/>
                    <w:rPr>
                      <w:rFonts w:hint="default"/>
                    </w:rPr>
                  </w:pPr>
                </w:p>
              </w:tc>
              <w:tc>
                <w:tcPr>
                  <w:tcW w:w="383" w:type="pct"/>
                  <w:tcBorders>
                    <w:tl2br w:val="nil"/>
                    <w:tr2bl w:val="nil"/>
                  </w:tcBorders>
                  <w:vAlign w:val="center"/>
                </w:tcPr>
                <w:p w14:paraId="3A9582E8">
                  <w:pPr>
                    <w:pStyle w:val="83"/>
                    <w:rPr>
                      <w:rFonts w:hint="default"/>
                    </w:rPr>
                  </w:pPr>
                  <w:r>
                    <w:t>300</w:t>
                  </w:r>
                </w:p>
              </w:tc>
              <w:tc>
                <w:tcPr>
                  <w:tcW w:w="323" w:type="pct"/>
                  <w:tcBorders>
                    <w:tl2br w:val="nil"/>
                    <w:tr2bl w:val="nil"/>
                  </w:tcBorders>
                  <w:vAlign w:val="center"/>
                </w:tcPr>
                <w:p w14:paraId="14CBD786">
                  <w:pPr>
                    <w:pStyle w:val="83"/>
                    <w:rPr>
                      <w:rFonts w:hint="default"/>
                    </w:rPr>
                  </w:pPr>
                  <w:r>
                    <w:t>0.06</w:t>
                  </w:r>
                </w:p>
              </w:tc>
              <w:tc>
                <w:tcPr>
                  <w:tcW w:w="437" w:type="pct"/>
                  <w:vMerge w:val="continue"/>
                  <w:tcBorders>
                    <w:tl2br w:val="nil"/>
                    <w:tr2bl w:val="nil"/>
                  </w:tcBorders>
                  <w:vAlign w:val="center"/>
                </w:tcPr>
                <w:p w14:paraId="6B17EFF7">
                  <w:pPr>
                    <w:pStyle w:val="83"/>
                    <w:rPr>
                      <w:rFonts w:hint="default"/>
                    </w:rPr>
                  </w:pPr>
                </w:p>
              </w:tc>
              <w:tc>
                <w:tcPr>
                  <w:tcW w:w="306" w:type="pct"/>
                  <w:tcBorders>
                    <w:tl2br w:val="nil"/>
                    <w:tr2bl w:val="nil"/>
                  </w:tcBorders>
                  <w:vAlign w:val="center"/>
                </w:tcPr>
                <w:p w14:paraId="105DD117">
                  <w:pPr>
                    <w:pStyle w:val="83"/>
                    <w:rPr>
                      <w:rFonts w:hint="default"/>
                    </w:rPr>
                  </w:pPr>
                  <w:r>
                    <w:t>99.5</w:t>
                  </w:r>
                </w:p>
              </w:tc>
              <w:tc>
                <w:tcPr>
                  <w:tcW w:w="357" w:type="pct"/>
                  <w:vMerge w:val="continue"/>
                  <w:tcBorders>
                    <w:tl2br w:val="nil"/>
                    <w:tr2bl w:val="nil"/>
                  </w:tcBorders>
                  <w:vAlign w:val="center"/>
                </w:tcPr>
                <w:p w14:paraId="7A2B2AA8">
                  <w:pPr>
                    <w:pStyle w:val="83"/>
                    <w:rPr>
                      <w:rFonts w:hint="default"/>
                    </w:rPr>
                  </w:pPr>
                </w:p>
              </w:tc>
              <w:tc>
                <w:tcPr>
                  <w:tcW w:w="390" w:type="pct"/>
                  <w:tcBorders>
                    <w:tl2br w:val="nil"/>
                    <w:tr2bl w:val="nil"/>
                  </w:tcBorders>
                  <w:vAlign w:val="center"/>
                </w:tcPr>
                <w:p w14:paraId="65105DEC">
                  <w:pPr>
                    <w:pStyle w:val="83"/>
                    <w:rPr>
                      <w:rFonts w:hint="default"/>
                    </w:rPr>
                  </w:pPr>
                  <w:r>
                    <w:t>1.5</w:t>
                  </w:r>
                </w:p>
              </w:tc>
              <w:tc>
                <w:tcPr>
                  <w:tcW w:w="310" w:type="pct"/>
                  <w:tcBorders>
                    <w:tl2br w:val="nil"/>
                    <w:tr2bl w:val="nil"/>
                  </w:tcBorders>
                  <w:vAlign w:val="center"/>
                </w:tcPr>
                <w:p w14:paraId="3FF02058">
                  <w:pPr>
                    <w:pStyle w:val="83"/>
                    <w:rPr>
                      <w:rFonts w:hint="default"/>
                    </w:rPr>
                  </w:pPr>
                  <w:r>
                    <w:t>/</w:t>
                  </w:r>
                </w:p>
              </w:tc>
            </w:tr>
            <w:tr w14:paraId="2F7AC09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2AFDE8EF">
                  <w:pPr>
                    <w:pStyle w:val="83"/>
                    <w:rPr>
                      <w:rFonts w:hint="default"/>
                    </w:rPr>
                  </w:pPr>
                </w:p>
              </w:tc>
              <w:tc>
                <w:tcPr>
                  <w:tcW w:w="319" w:type="pct"/>
                  <w:vMerge w:val="continue"/>
                  <w:tcBorders>
                    <w:tl2br w:val="nil"/>
                    <w:tr2bl w:val="nil"/>
                  </w:tcBorders>
                  <w:vAlign w:val="center"/>
                </w:tcPr>
                <w:p w14:paraId="69DDEC84">
                  <w:pPr>
                    <w:pStyle w:val="83"/>
                    <w:rPr>
                      <w:rFonts w:hint="default"/>
                    </w:rPr>
                  </w:pPr>
                </w:p>
              </w:tc>
              <w:tc>
                <w:tcPr>
                  <w:tcW w:w="981" w:type="pct"/>
                  <w:vMerge w:val="continue"/>
                  <w:tcBorders>
                    <w:tl2br w:val="nil"/>
                    <w:tr2bl w:val="nil"/>
                  </w:tcBorders>
                  <w:vAlign w:val="center"/>
                </w:tcPr>
                <w:p w14:paraId="01C7800A">
                  <w:pPr>
                    <w:pStyle w:val="83"/>
                    <w:rPr>
                      <w:rFonts w:hint="default"/>
                    </w:rPr>
                  </w:pPr>
                </w:p>
              </w:tc>
              <w:tc>
                <w:tcPr>
                  <w:tcW w:w="320" w:type="pct"/>
                  <w:tcBorders>
                    <w:tl2br w:val="nil"/>
                    <w:tr2bl w:val="nil"/>
                  </w:tcBorders>
                  <w:vAlign w:val="center"/>
                </w:tcPr>
                <w:p w14:paraId="5D87AB51">
                  <w:pPr>
                    <w:pStyle w:val="83"/>
                    <w:rPr>
                      <w:rFonts w:hint="default"/>
                    </w:rPr>
                  </w:pPr>
                  <w:r>
                    <w:t>SS</w:t>
                  </w:r>
                </w:p>
              </w:tc>
              <w:tc>
                <w:tcPr>
                  <w:tcW w:w="267" w:type="pct"/>
                  <w:vMerge w:val="continue"/>
                  <w:tcBorders>
                    <w:tl2br w:val="nil"/>
                    <w:tr2bl w:val="nil"/>
                  </w:tcBorders>
                  <w:vAlign w:val="center"/>
                </w:tcPr>
                <w:p w14:paraId="38C4184C">
                  <w:pPr>
                    <w:pStyle w:val="83"/>
                    <w:rPr>
                      <w:rFonts w:hint="default"/>
                    </w:rPr>
                  </w:pPr>
                </w:p>
              </w:tc>
              <w:tc>
                <w:tcPr>
                  <w:tcW w:w="308" w:type="pct"/>
                  <w:vMerge w:val="continue"/>
                  <w:tcBorders>
                    <w:tl2br w:val="nil"/>
                    <w:tr2bl w:val="nil"/>
                  </w:tcBorders>
                  <w:vAlign w:val="center"/>
                </w:tcPr>
                <w:p w14:paraId="55E4EC3B">
                  <w:pPr>
                    <w:pStyle w:val="83"/>
                    <w:rPr>
                      <w:rFonts w:hint="default"/>
                    </w:rPr>
                  </w:pPr>
                </w:p>
              </w:tc>
              <w:tc>
                <w:tcPr>
                  <w:tcW w:w="383" w:type="pct"/>
                  <w:tcBorders>
                    <w:tl2br w:val="nil"/>
                    <w:tr2bl w:val="nil"/>
                  </w:tcBorders>
                  <w:vAlign w:val="center"/>
                </w:tcPr>
                <w:p w14:paraId="4A477E5B">
                  <w:pPr>
                    <w:pStyle w:val="83"/>
                    <w:rPr>
                      <w:rFonts w:hint="default"/>
                    </w:rPr>
                  </w:pPr>
                  <w:r>
                    <w:t>300</w:t>
                  </w:r>
                </w:p>
              </w:tc>
              <w:tc>
                <w:tcPr>
                  <w:tcW w:w="323" w:type="pct"/>
                  <w:tcBorders>
                    <w:tl2br w:val="nil"/>
                    <w:tr2bl w:val="nil"/>
                  </w:tcBorders>
                  <w:vAlign w:val="center"/>
                </w:tcPr>
                <w:p w14:paraId="33C74A9E">
                  <w:pPr>
                    <w:pStyle w:val="83"/>
                    <w:rPr>
                      <w:rFonts w:hint="default"/>
                    </w:rPr>
                  </w:pPr>
                  <w:r>
                    <w:t>0.06</w:t>
                  </w:r>
                </w:p>
              </w:tc>
              <w:tc>
                <w:tcPr>
                  <w:tcW w:w="437" w:type="pct"/>
                  <w:vMerge w:val="continue"/>
                  <w:tcBorders>
                    <w:tl2br w:val="nil"/>
                    <w:tr2bl w:val="nil"/>
                  </w:tcBorders>
                  <w:vAlign w:val="center"/>
                </w:tcPr>
                <w:p w14:paraId="7F8655E7">
                  <w:pPr>
                    <w:pStyle w:val="83"/>
                    <w:rPr>
                      <w:rFonts w:hint="default"/>
                    </w:rPr>
                  </w:pPr>
                </w:p>
              </w:tc>
              <w:tc>
                <w:tcPr>
                  <w:tcW w:w="306" w:type="pct"/>
                  <w:tcBorders>
                    <w:tl2br w:val="nil"/>
                    <w:tr2bl w:val="nil"/>
                  </w:tcBorders>
                  <w:vAlign w:val="center"/>
                </w:tcPr>
                <w:p w14:paraId="5F9A7C32">
                  <w:pPr>
                    <w:pStyle w:val="83"/>
                    <w:rPr>
                      <w:rFonts w:hint="default"/>
                    </w:rPr>
                  </w:pPr>
                  <w:r>
                    <w:t>96</w:t>
                  </w:r>
                </w:p>
              </w:tc>
              <w:tc>
                <w:tcPr>
                  <w:tcW w:w="357" w:type="pct"/>
                  <w:vMerge w:val="continue"/>
                  <w:tcBorders>
                    <w:tl2br w:val="nil"/>
                    <w:tr2bl w:val="nil"/>
                  </w:tcBorders>
                  <w:vAlign w:val="center"/>
                </w:tcPr>
                <w:p w14:paraId="449B7EFA">
                  <w:pPr>
                    <w:pStyle w:val="83"/>
                    <w:rPr>
                      <w:rFonts w:hint="default"/>
                    </w:rPr>
                  </w:pPr>
                </w:p>
              </w:tc>
              <w:tc>
                <w:tcPr>
                  <w:tcW w:w="390" w:type="pct"/>
                  <w:tcBorders>
                    <w:tl2br w:val="nil"/>
                    <w:tr2bl w:val="nil"/>
                  </w:tcBorders>
                  <w:vAlign w:val="center"/>
                </w:tcPr>
                <w:p w14:paraId="1C631D7B">
                  <w:pPr>
                    <w:pStyle w:val="83"/>
                    <w:rPr>
                      <w:rFonts w:hint="default"/>
                    </w:rPr>
                  </w:pPr>
                  <w:r>
                    <w:t>12</w:t>
                  </w:r>
                </w:p>
              </w:tc>
              <w:tc>
                <w:tcPr>
                  <w:tcW w:w="310" w:type="pct"/>
                  <w:tcBorders>
                    <w:tl2br w:val="nil"/>
                    <w:tr2bl w:val="nil"/>
                  </w:tcBorders>
                  <w:vAlign w:val="center"/>
                </w:tcPr>
                <w:p w14:paraId="216EB74D">
                  <w:pPr>
                    <w:pStyle w:val="83"/>
                    <w:rPr>
                      <w:rFonts w:hint="default"/>
                    </w:rPr>
                  </w:pPr>
                  <w:r>
                    <w:t>/</w:t>
                  </w:r>
                </w:p>
              </w:tc>
            </w:tr>
            <w:tr w14:paraId="09B7CC0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133C375B">
                  <w:pPr>
                    <w:pStyle w:val="83"/>
                    <w:rPr>
                      <w:rFonts w:hint="default"/>
                    </w:rPr>
                  </w:pPr>
                </w:p>
              </w:tc>
              <w:tc>
                <w:tcPr>
                  <w:tcW w:w="319" w:type="pct"/>
                  <w:vMerge w:val="continue"/>
                  <w:tcBorders>
                    <w:tl2br w:val="nil"/>
                    <w:tr2bl w:val="nil"/>
                  </w:tcBorders>
                  <w:vAlign w:val="center"/>
                </w:tcPr>
                <w:p w14:paraId="08245C41">
                  <w:pPr>
                    <w:pStyle w:val="83"/>
                    <w:rPr>
                      <w:rFonts w:hint="default"/>
                    </w:rPr>
                  </w:pPr>
                </w:p>
              </w:tc>
              <w:tc>
                <w:tcPr>
                  <w:tcW w:w="981" w:type="pct"/>
                  <w:vMerge w:val="continue"/>
                  <w:tcBorders>
                    <w:tl2br w:val="nil"/>
                    <w:tr2bl w:val="nil"/>
                  </w:tcBorders>
                  <w:vAlign w:val="center"/>
                </w:tcPr>
                <w:p w14:paraId="75F3D3F2">
                  <w:pPr>
                    <w:pStyle w:val="83"/>
                    <w:rPr>
                      <w:rFonts w:hint="default"/>
                    </w:rPr>
                  </w:pPr>
                </w:p>
              </w:tc>
              <w:tc>
                <w:tcPr>
                  <w:tcW w:w="320" w:type="pct"/>
                  <w:tcBorders>
                    <w:tl2br w:val="nil"/>
                    <w:tr2bl w:val="nil"/>
                  </w:tcBorders>
                  <w:vAlign w:val="center"/>
                </w:tcPr>
                <w:p w14:paraId="2616DCCF">
                  <w:pPr>
                    <w:pStyle w:val="83"/>
                    <w:rPr>
                      <w:rFonts w:hint="default"/>
                    </w:rPr>
                  </w:pPr>
                  <w:r>
                    <w:t>氨氮</w:t>
                  </w:r>
                </w:p>
              </w:tc>
              <w:tc>
                <w:tcPr>
                  <w:tcW w:w="267" w:type="pct"/>
                  <w:vMerge w:val="continue"/>
                  <w:tcBorders>
                    <w:tl2br w:val="nil"/>
                    <w:tr2bl w:val="nil"/>
                  </w:tcBorders>
                  <w:vAlign w:val="center"/>
                </w:tcPr>
                <w:p w14:paraId="5621A845">
                  <w:pPr>
                    <w:pStyle w:val="83"/>
                    <w:rPr>
                      <w:rFonts w:hint="default"/>
                    </w:rPr>
                  </w:pPr>
                </w:p>
              </w:tc>
              <w:tc>
                <w:tcPr>
                  <w:tcW w:w="308" w:type="pct"/>
                  <w:vMerge w:val="continue"/>
                  <w:tcBorders>
                    <w:tl2br w:val="nil"/>
                    <w:tr2bl w:val="nil"/>
                  </w:tcBorders>
                  <w:vAlign w:val="center"/>
                </w:tcPr>
                <w:p w14:paraId="64414C4F">
                  <w:pPr>
                    <w:pStyle w:val="83"/>
                    <w:rPr>
                      <w:rFonts w:hint="default"/>
                    </w:rPr>
                  </w:pPr>
                </w:p>
              </w:tc>
              <w:tc>
                <w:tcPr>
                  <w:tcW w:w="383" w:type="pct"/>
                  <w:tcBorders>
                    <w:tl2br w:val="nil"/>
                    <w:tr2bl w:val="nil"/>
                  </w:tcBorders>
                  <w:vAlign w:val="center"/>
                </w:tcPr>
                <w:p w14:paraId="38196C75">
                  <w:pPr>
                    <w:pStyle w:val="83"/>
                    <w:rPr>
                      <w:rFonts w:hint="default"/>
                    </w:rPr>
                  </w:pPr>
                  <w:r>
                    <w:t>35</w:t>
                  </w:r>
                </w:p>
              </w:tc>
              <w:tc>
                <w:tcPr>
                  <w:tcW w:w="323" w:type="pct"/>
                  <w:tcBorders>
                    <w:tl2br w:val="nil"/>
                    <w:tr2bl w:val="nil"/>
                  </w:tcBorders>
                  <w:vAlign w:val="center"/>
                </w:tcPr>
                <w:p w14:paraId="4262A4B6">
                  <w:pPr>
                    <w:pStyle w:val="83"/>
                    <w:rPr>
                      <w:rFonts w:hint="default"/>
                    </w:rPr>
                  </w:pPr>
                  <w:r>
                    <w:t>0.007</w:t>
                  </w:r>
                </w:p>
              </w:tc>
              <w:tc>
                <w:tcPr>
                  <w:tcW w:w="437" w:type="pct"/>
                  <w:vMerge w:val="continue"/>
                  <w:tcBorders>
                    <w:tl2br w:val="nil"/>
                    <w:tr2bl w:val="nil"/>
                  </w:tcBorders>
                  <w:vAlign w:val="center"/>
                </w:tcPr>
                <w:p w14:paraId="5D55BCA5">
                  <w:pPr>
                    <w:pStyle w:val="83"/>
                    <w:rPr>
                      <w:rFonts w:hint="default"/>
                    </w:rPr>
                  </w:pPr>
                </w:p>
              </w:tc>
              <w:tc>
                <w:tcPr>
                  <w:tcW w:w="306" w:type="pct"/>
                  <w:tcBorders>
                    <w:tl2br w:val="nil"/>
                    <w:tr2bl w:val="nil"/>
                  </w:tcBorders>
                  <w:vAlign w:val="center"/>
                </w:tcPr>
                <w:p w14:paraId="3D3300AD">
                  <w:pPr>
                    <w:pStyle w:val="83"/>
                    <w:rPr>
                      <w:rFonts w:hint="default"/>
                    </w:rPr>
                  </w:pPr>
                  <w:r>
                    <w:t>99.5</w:t>
                  </w:r>
                </w:p>
              </w:tc>
              <w:tc>
                <w:tcPr>
                  <w:tcW w:w="357" w:type="pct"/>
                  <w:vMerge w:val="continue"/>
                  <w:tcBorders>
                    <w:tl2br w:val="nil"/>
                    <w:tr2bl w:val="nil"/>
                  </w:tcBorders>
                  <w:vAlign w:val="center"/>
                </w:tcPr>
                <w:p w14:paraId="68ADB48D">
                  <w:pPr>
                    <w:pStyle w:val="83"/>
                    <w:rPr>
                      <w:rFonts w:hint="default"/>
                    </w:rPr>
                  </w:pPr>
                </w:p>
              </w:tc>
              <w:tc>
                <w:tcPr>
                  <w:tcW w:w="390" w:type="pct"/>
                  <w:tcBorders>
                    <w:tl2br w:val="nil"/>
                    <w:tr2bl w:val="nil"/>
                  </w:tcBorders>
                  <w:vAlign w:val="center"/>
                </w:tcPr>
                <w:p w14:paraId="6AF47EE7">
                  <w:pPr>
                    <w:pStyle w:val="83"/>
                    <w:rPr>
                      <w:rFonts w:hint="default"/>
                    </w:rPr>
                  </w:pPr>
                  <w:r>
                    <w:t>0.18</w:t>
                  </w:r>
                </w:p>
              </w:tc>
              <w:tc>
                <w:tcPr>
                  <w:tcW w:w="310" w:type="pct"/>
                  <w:tcBorders>
                    <w:tl2br w:val="nil"/>
                    <w:tr2bl w:val="nil"/>
                  </w:tcBorders>
                  <w:vAlign w:val="center"/>
                </w:tcPr>
                <w:p w14:paraId="40B56385">
                  <w:pPr>
                    <w:pStyle w:val="83"/>
                    <w:rPr>
                      <w:rFonts w:hint="default"/>
                    </w:rPr>
                  </w:pPr>
                  <w:r>
                    <w:t>/</w:t>
                  </w:r>
                </w:p>
              </w:tc>
            </w:tr>
            <w:tr w14:paraId="466224F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6B1B9CF5">
                  <w:pPr>
                    <w:pStyle w:val="83"/>
                    <w:rPr>
                      <w:rFonts w:hint="default"/>
                    </w:rPr>
                  </w:pPr>
                </w:p>
              </w:tc>
              <w:tc>
                <w:tcPr>
                  <w:tcW w:w="319" w:type="pct"/>
                  <w:vMerge w:val="continue"/>
                  <w:tcBorders>
                    <w:tl2br w:val="nil"/>
                    <w:tr2bl w:val="nil"/>
                  </w:tcBorders>
                  <w:vAlign w:val="center"/>
                </w:tcPr>
                <w:p w14:paraId="1D61507A">
                  <w:pPr>
                    <w:pStyle w:val="83"/>
                    <w:rPr>
                      <w:rFonts w:hint="default"/>
                    </w:rPr>
                  </w:pPr>
                </w:p>
              </w:tc>
              <w:tc>
                <w:tcPr>
                  <w:tcW w:w="981" w:type="pct"/>
                  <w:vMerge w:val="continue"/>
                  <w:tcBorders>
                    <w:tl2br w:val="nil"/>
                    <w:tr2bl w:val="nil"/>
                  </w:tcBorders>
                  <w:vAlign w:val="center"/>
                </w:tcPr>
                <w:p w14:paraId="39591A55">
                  <w:pPr>
                    <w:pStyle w:val="83"/>
                    <w:rPr>
                      <w:rFonts w:hint="default"/>
                    </w:rPr>
                  </w:pPr>
                </w:p>
              </w:tc>
              <w:tc>
                <w:tcPr>
                  <w:tcW w:w="320" w:type="pct"/>
                  <w:tcBorders>
                    <w:tl2br w:val="nil"/>
                    <w:tr2bl w:val="nil"/>
                  </w:tcBorders>
                  <w:vAlign w:val="center"/>
                </w:tcPr>
                <w:p w14:paraId="2A5409B2">
                  <w:pPr>
                    <w:pStyle w:val="83"/>
                    <w:rPr>
                      <w:rFonts w:hint="default"/>
                    </w:rPr>
                  </w:pPr>
                  <w:r>
                    <w:t>石油类</w:t>
                  </w:r>
                </w:p>
              </w:tc>
              <w:tc>
                <w:tcPr>
                  <w:tcW w:w="267" w:type="pct"/>
                  <w:vMerge w:val="continue"/>
                  <w:tcBorders>
                    <w:tl2br w:val="nil"/>
                    <w:tr2bl w:val="nil"/>
                  </w:tcBorders>
                  <w:vAlign w:val="center"/>
                </w:tcPr>
                <w:p w14:paraId="7504AAD5">
                  <w:pPr>
                    <w:pStyle w:val="83"/>
                    <w:rPr>
                      <w:rFonts w:hint="default"/>
                    </w:rPr>
                  </w:pPr>
                </w:p>
              </w:tc>
              <w:tc>
                <w:tcPr>
                  <w:tcW w:w="308" w:type="pct"/>
                  <w:vMerge w:val="continue"/>
                  <w:tcBorders>
                    <w:tl2br w:val="nil"/>
                    <w:tr2bl w:val="nil"/>
                  </w:tcBorders>
                  <w:vAlign w:val="center"/>
                </w:tcPr>
                <w:p w14:paraId="4F1A9DEC">
                  <w:pPr>
                    <w:pStyle w:val="83"/>
                    <w:rPr>
                      <w:rFonts w:hint="default"/>
                    </w:rPr>
                  </w:pPr>
                </w:p>
              </w:tc>
              <w:tc>
                <w:tcPr>
                  <w:tcW w:w="383" w:type="pct"/>
                  <w:tcBorders>
                    <w:tl2br w:val="nil"/>
                    <w:tr2bl w:val="nil"/>
                  </w:tcBorders>
                  <w:vAlign w:val="center"/>
                </w:tcPr>
                <w:p w14:paraId="4B2939FB">
                  <w:pPr>
                    <w:pStyle w:val="83"/>
                    <w:rPr>
                      <w:rFonts w:hint="default"/>
                    </w:rPr>
                  </w:pPr>
                  <w:r>
                    <w:t>20</w:t>
                  </w:r>
                </w:p>
              </w:tc>
              <w:tc>
                <w:tcPr>
                  <w:tcW w:w="323" w:type="pct"/>
                  <w:tcBorders>
                    <w:tl2br w:val="nil"/>
                    <w:tr2bl w:val="nil"/>
                  </w:tcBorders>
                  <w:vAlign w:val="center"/>
                </w:tcPr>
                <w:p w14:paraId="07A22475">
                  <w:pPr>
                    <w:pStyle w:val="83"/>
                    <w:rPr>
                      <w:rFonts w:hint="default"/>
                    </w:rPr>
                  </w:pPr>
                  <w:r>
                    <w:t>0.004</w:t>
                  </w:r>
                </w:p>
              </w:tc>
              <w:tc>
                <w:tcPr>
                  <w:tcW w:w="437" w:type="pct"/>
                  <w:vMerge w:val="continue"/>
                  <w:tcBorders>
                    <w:tl2br w:val="nil"/>
                    <w:tr2bl w:val="nil"/>
                  </w:tcBorders>
                  <w:vAlign w:val="center"/>
                </w:tcPr>
                <w:p w14:paraId="725D60E9">
                  <w:pPr>
                    <w:pStyle w:val="83"/>
                    <w:rPr>
                      <w:rFonts w:hint="default"/>
                    </w:rPr>
                  </w:pPr>
                </w:p>
              </w:tc>
              <w:tc>
                <w:tcPr>
                  <w:tcW w:w="306" w:type="pct"/>
                  <w:tcBorders>
                    <w:tl2br w:val="nil"/>
                    <w:tr2bl w:val="nil"/>
                  </w:tcBorders>
                  <w:vAlign w:val="center"/>
                </w:tcPr>
                <w:p w14:paraId="035BC4A2">
                  <w:pPr>
                    <w:pStyle w:val="83"/>
                    <w:rPr>
                      <w:rFonts w:hint="default"/>
                    </w:rPr>
                  </w:pPr>
                  <w:r>
                    <w:t>99</w:t>
                  </w:r>
                </w:p>
              </w:tc>
              <w:tc>
                <w:tcPr>
                  <w:tcW w:w="357" w:type="pct"/>
                  <w:vMerge w:val="continue"/>
                  <w:tcBorders>
                    <w:tl2br w:val="nil"/>
                    <w:tr2bl w:val="nil"/>
                  </w:tcBorders>
                  <w:vAlign w:val="center"/>
                </w:tcPr>
                <w:p w14:paraId="7293233C">
                  <w:pPr>
                    <w:pStyle w:val="83"/>
                    <w:rPr>
                      <w:rFonts w:hint="default"/>
                    </w:rPr>
                  </w:pPr>
                </w:p>
              </w:tc>
              <w:tc>
                <w:tcPr>
                  <w:tcW w:w="390" w:type="pct"/>
                  <w:tcBorders>
                    <w:tl2br w:val="nil"/>
                    <w:tr2bl w:val="nil"/>
                  </w:tcBorders>
                  <w:vAlign w:val="center"/>
                </w:tcPr>
                <w:p w14:paraId="11BBB155">
                  <w:pPr>
                    <w:pStyle w:val="83"/>
                    <w:rPr>
                      <w:rFonts w:hint="default"/>
                    </w:rPr>
                  </w:pPr>
                  <w:r>
                    <w:t>0.2</w:t>
                  </w:r>
                </w:p>
              </w:tc>
              <w:tc>
                <w:tcPr>
                  <w:tcW w:w="310" w:type="pct"/>
                  <w:tcBorders>
                    <w:tl2br w:val="nil"/>
                    <w:tr2bl w:val="nil"/>
                  </w:tcBorders>
                  <w:vAlign w:val="center"/>
                </w:tcPr>
                <w:p w14:paraId="688EB928">
                  <w:pPr>
                    <w:pStyle w:val="83"/>
                    <w:rPr>
                      <w:rFonts w:hint="default"/>
                    </w:rPr>
                  </w:pPr>
                  <w:r>
                    <w:t>/</w:t>
                  </w:r>
                </w:p>
              </w:tc>
            </w:tr>
            <w:tr w14:paraId="1B57797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3E313E72">
                  <w:pPr>
                    <w:pStyle w:val="83"/>
                    <w:rPr>
                      <w:rFonts w:hint="default"/>
                    </w:rPr>
                  </w:pPr>
                </w:p>
              </w:tc>
              <w:tc>
                <w:tcPr>
                  <w:tcW w:w="319" w:type="pct"/>
                  <w:vMerge w:val="continue"/>
                  <w:tcBorders>
                    <w:tl2br w:val="nil"/>
                    <w:tr2bl w:val="nil"/>
                  </w:tcBorders>
                  <w:vAlign w:val="center"/>
                </w:tcPr>
                <w:p w14:paraId="02357B07">
                  <w:pPr>
                    <w:pStyle w:val="83"/>
                    <w:rPr>
                      <w:rFonts w:hint="default"/>
                    </w:rPr>
                  </w:pPr>
                </w:p>
              </w:tc>
              <w:tc>
                <w:tcPr>
                  <w:tcW w:w="981" w:type="pct"/>
                  <w:vMerge w:val="continue"/>
                  <w:tcBorders>
                    <w:tl2br w:val="nil"/>
                    <w:tr2bl w:val="nil"/>
                  </w:tcBorders>
                  <w:vAlign w:val="center"/>
                </w:tcPr>
                <w:p w14:paraId="58BD6653">
                  <w:pPr>
                    <w:pStyle w:val="83"/>
                    <w:rPr>
                      <w:rFonts w:hint="default"/>
                    </w:rPr>
                  </w:pPr>
                </w:p>
              </w:tc>
              <w:tc>
                <w:tcPr>
                  <w:tcW w:w="320" w:type="pct"/>
                  <w:tcBorders>
                    <w:tl2br w:val="nil"/>
                    <w:tr2bl w:val="nil"/>
                  </w:tcBorders>
                  <w:vAlign w:val="center"/>
                </w:tcPr>
                <w:p w14:paraId="750B737D">
                  <w:pPr>
                    <w:pStyle w:val="83"/>
                    <w:rPr>
                      <w:rFonts w:hint="default"/>
                    </w:rPr>
                  </w:pPr>
                  <w:r>
                    <w:t>总有机碳</w:t>
                  </w:r>
                </w:p>
              </w:tc>
              <w:tc>
                <w:tcPr>
                  <w:tcW w:w="267" w:type="pct"/>
                  <w:vMerge w:val="continue"/>
                  <w:tcBorders>
                    <w:tl2br w:val="nil"/>
                    <w:tr2bl w:val="nil"/>
                  </w:tcBorders>
                  <w:vAlign w:val="center"/>
                </w:tcPr>
                <w:p w14:paraId="535A847C">
                  <w:pPr>
                    <w:pStyle w:val="83"/>
                    <w:rPr>
                      <w:rFonts w:hint="default"/>
                    </w:rPr>
                  </w:pPr>
                </w:p>
              </w:tc>
              <w:tc>
                <w:tcPr>
                  <w:tcW w:w="308" w:type="pct"/>
                  <w:vMerge w:val="continue"/>
                  <w:tcBorders>
                    <w:tl2br w:val="nil"/>
                    <w:tr2bl w:val="nil"/>
                  </w:tcBorders>
                  <w:vAlign w:val="center"/>
                </w:tcPr>
                <w:p w14:paraId="52996F79">
                  <w:pPr>
                    <w:pStyle w:val="83"/>
                    <w:rPr>
                      <w:rFonts w:hint="default"/>
                    </w:rPr>
                  </w:pPr>
                </w:p>
              </w:tc>
              <w:tc>
                <w:tcPr>
                  <w:tcW w:w="383" w:type="pct"/>
                  <w:tcBorders>
                    <w:tl2br w:val="nil"/>
                    <w:tr2bl w:val="nil"/>
                  </w:tcBorders>
                  <w:vAlign w:val="center"/>
                </w:tcPr>
                <w:p w14:paraId="63565A68">
                  <w:pPr>
                    <w:pStyle w:val="83"/>
                    <w:rPr>
                      <w:rFonts w:hint="default"/>
                    </w:rPr>
                  </w:pPr>
                  <w:r>
                    <w:t>200</w:t>
                  </w:r>
                </w:p>
              </w:tc>
              <w:tc>
                <w:tcPr>
                  <w:tcW w:w="323" w:type="pct"/>
                  <w:tcBorders>
                    <w:tl2br w:val="nil"/>
                    <w:tr2bl w:val="nil"/>
                  </w:tcBorders>
                  <w:vAlign w:val="center"/>
                </w:tcPr>
                <w:p w14:paraId="02D745BD">
                  <w:pPr>
                    <w:pStyle w:val="83"/>
                    <w:rPr>
                      <w:rFonts w:hint="default"/>
                    </w:rPr>
                  </w:pPr>
                  <w:r>
                    <w:t>0.04</w:t>
                  </w:r>
                </w:p>
              </w:tc>
              <w:tc>
                <w:tcPr>
                  <w:tcW w:w="437" w:type="pct"/>
                  <w:vMerge w:val="continue"/>
                  <w:tcBorders>
                    <w:tl2br w:val="nil"/>
                    <w:tr2bl w:val="nil"/>
                  </w:tcBorders>
                  <w:vAlign w:val="center"/>
                </w:tcPr>
                <w:p w14:paraId="179B241A">
                  <w:pPr>
                    <w:pStyle w:val="83"/>
                    <w:rPr>
                      <w:rFonts w:hint="default"/>
                    </w:rPr>
                  </w:pPr>
                </w:p>
              </w:tc>
              <w:tc>
                <w:tcPr>
                  <w:tcW w:w="306" w:type="pct"/>
                  <w:tcBorders>
                    <w:tl2br w:val="nil"/>
                    <w:tr2bl w:val="nil"/>
                  </w:tcBorders>
                  <w:vAlign w:val="center"/>
                </w:tcPr>
                <w:p w14:paraId="35C4B504">
                  <w:pPr>
                    <w:pStyle w:val="83"/>
                    <w:rPr>
                      <w:rFonts w:hint="default"/>
                    </w:rPr>
                  </w:pPr>
                  <w:r>
                    <w:t>90</w:t>
                  </w:r>
                </w:p>
              </w:tc>
              <w:tc>
                <w:tcPr>
                  <w:tcW w:w="357" w:type="pct"/>
                  <w:vMerge w:val="continue"/>
                  <w:tcBorders>
                    <w:tl2br w:val="nil"/>
                    <w:tr2bl w:val="nil"/>
                  </w:tcBorders>
                  <w:vAlign w:val="center"/>
                </w:tcPr>
                <w:p w14:paraId="56613471">
                  <w:pPr>
                    <w:pStyle w:val="83"/>
                    <w:rPr>
                      <w:rFonts w:hint="default"/>
                    </w:rPr>
                  </w:pPr>
                </w:p>
              </w:tc>
              <w:tc>
                <w:tcPr>
                  <w:tcW w:w="390" w:type="pct"/>
                  <w:tcBorders>
                    <w:tl2br w:val="nil"/>
                    <w:tr2bl w:val="nil"/>
                  </w:tcBorders>
                  <w:vAlign w:val="center"/>
                </w:tcPr>
                <w:p w14:paraId="6A25B2A8">
                  <w:pPr>
                    <w:pStyle w:val="83"/>
                    <w:rPr>
                      <w:rFonts w:hint="default"/>
                    </w:rPr>
                  </w:pPr>
                  <w:r>
                    <w:t>20</w:t>
                  </w:r>
                </w:p>
              </w:tc>
              <w:tc>
                <w:tcPr>
                  <w:tcW w:w="310" w:type="pct"/>
                  <w:tcBorders>
                    <w:tl2br w:val="nil"/>
                    <w:tr2bl w:val="nil"/>
                  </w:tcBorders>
                  <w:vAlign w:val="center"/>
                </w:tcPr>
                <w:p w14:paraId="4343CE8B">
                  <w:pPr>
                    <w:pStyle w:val="83"/>
                    <w:rPr>
                      <w:rFonts w:hint="default"/>
                    </w:rPr>
                  </w:pPr>
                  <w:r>
                    <w:t>/</w:t>
                  </w:r>
                </w:p>
              </w:tc>
            </w:tr>
            <w:tr w14:paraId="0FE73F6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05DBDBAC">
                  <w:pPr>
                    <w:pStyle w:val="83"/>
                    <w:rPr>
                      <w:rFonts w:hint="default"/>
                    </w:rPr>
                  </w:pPr>
                  <w:r>
                    <w:t>纯水制备</w:t>
                  </w:r>
                </w:p>
              </w:tc>
              <w:tc>
                <w:tcPr>
                  <w:tcW w:w="319" w:type="pct"/>
                  <w:vMerge w:val="restart"/>
                  <w:tcBorders>
                    <w:tl2br w:val="nil"/>
                    <w:tr2bl w:val="nil"/>
                  </w:tcBorders>
                  <w:vAlign w:val="center"/>
                </w:tcPr>
                <w:p w14:paraId="5E86F840">
                  <w:pPr>
                    <w:pStyle w:val="83"/>
                    <w:rPr>
                      <w:rFonts w:hint="default"/>
                    </w:rPr>
                  </w:pPr>
                  <w:r>
                    <w:t>生产废水</w:t>
                  </w:r>
                </w:p>
              </w:tc>
              <w:tc>
                <w:tcPr>
                  <w:tcW w:w="981" w:type="pct"/>
                  <w:vMerge w:val="restart"/>
                  <w:tcBorders>
                    <w:tl2br w:val="nil"/>
                    <w:tr2bl w:val="nil"/>
                  </w:tcBorders>
                  <w:vAlign w:val="center"/>
                </w:tcPr>
                <w:p w14:paraId="7AEE93E0">
                  <w:pPr>
                    <w:pStyle w:val="83"/>
                    <w:rPr>
                      <w:rFonts w:hint="default"/>
                    </w:rPr>
                  </w:pPr>
                  <w:r>
                    <w:t>水解酸化池+IEPI高效厌氧塔+A/O池+MBR膜生物反应系统+RO反渗透系统</w:t>
                  </w:r>
                </w:p>
              </w:tc>
              <w:tc>
                <w:tcPr>
                  <w:tcW w:w="320" w:type="pct"/>
                  <w:tcBorders>
                    <w:tl2br w:val="nil"/>
                    <w:tr2bl w:val="nil"/>
                  </w:tcBorders>
                  <w:vAlign w:val="center"/>
                </w:tcPr>
                <w:p w14:paraId="2DABF668">
                  <w:pPr>
                    <w:pStyle w:val="83"/>
                    <w:rPr>
                      <w:rFonts w:hint="default"/>
                    </w:rPr>
                  </w:pPr>
                  <w:r>
                    <w:t>COD</w:t>
                  </w:r>
                </w:p>
              </w:tc>
              <w:tc>
                <w:tcPr>
                  <w:tcW w:w="267" w:type="pct"/>
                  <w:vMerge w:val="restart"/>
                  <w:tcBorders>
                    <w:tl2br w:val="nil"/>
                    <w:tr2bl w:val="nil"/>
                  </w:tcBorders>
                  <w:vAlign w:val="center"/>
                </w:tcPr>
                <w:p w14:paraId="3918BB57">
                  <w:pPr>
                    <w:pStyle w:val="83"/>
                    <w:rPr>
                      <w:rFonts w:hint="default"/>
                    </w:rPr>
                  </w:pPr>
                  <w:r>
                    <w:t>物料平衡</w:t>
                  </w:r>
                </w:p>
              </w:tc>
              <w:tc>
                <w:tcPr>
                  <w:tcW w:w="308" w:type="pct"/>
                  <w:vMerge w:val="restart"/>
                  <w:tcBorders>
                    <w:tl2br w:val="nil"/>
                    <w:tr2bl w:val="nil"/>
                  </w:tcBorders>
                  <w:vAlign w:val="center"/>
                </w:tcPr>
                <w:p w14:paraId="04D7BDFE">
                  <w:pPr>
                    <w:pStyle w:val="83"/>
                    <w:rPr>
                      <w:rFonts w:hint="default"/>
                    </w:rPr>
                  </w:pPr>
                  <w:r>
                    <w:t>1660.75</w:t>
                  </w:r>
                </w:p>
              </w:tc>
              <w:tc>
                <w:tcPr>
                  <w:tcW w:w="383" w:type="pct"/>
                  <w:tcBorders>
                    <w:tl2br w:val="nil"/>
                    <w:tr2bl w:val="nil"/>
                  </w:tcBorders>
                  <w:vAlign w:val="center"/>
                </w:tcPr>
                <w:p w14:paraId="63A07464">
                  <w:pPr>
                    <w:pStyle w:val="83"/>
                    <w:rPr>
                      <w:rFonts w:hint="default"/>
                    </w:rPr>
                  </w:pPr>
                  <w:r>
                    <w:t>3</w:t>
                  </w:r>
                </w:p>
              </w:tc>
              <w:tc>
                <w:tcPr>
                  <w:tcW w:w="323" w:type="pct"/>
                  <w:tcBorders>
                    <w:tl2br w:val="nil"/>
                    <w:tr2bl w:val="nil"/>
                  </w:tcBorders>
                  <w:vAlign w:val="center"/>
                </w:tcPr>
                <w:p w14:paraId="1D9E063C">
                  <w:pPr>
                    <w:pStyle w:val="83"/>
                    <w:rPr>
                      <w:rFonts w:hint="default"/>
                    </w:rPr>
                  </w:pPr>
                  <w:r>
                    <w:t>0.005</w:t>
                  </w:r>
                </w:p>
              </w:tc>
              <w:tc>
                <w:tcPr>
                  <w:tcW w:w="437" w:type="pct"/>
                  <w:vMerge w:val="restart"/>
                  <w:tcBorders>
                    <w:tl2br w:val="nil"/>
                    <w:tr2bl w:val="nil"/>
                  </w:tcBorders>
                  <w:vAlign w:val="center"/>
                </w:tcPr>
                <w:p w14:paraId="5261E078">
                  <w:pPr>
                    <w:pStyle w:val="83"/>
                    <w:rPr>
                      <w:rFonts w:hint="default"/>
                    </w:rPr>
                  </w:pPr>
                  <w:r>
                    <w:t>水解酸化+高效厌氧+厌氧好氧+MBR+RO</w:t>
                  </w:r>
                </w:p>
              </w:tc>
              <w:tc>
                <w:tcPr>
                  <w:tcW w:w="306" w:type="pct"/>
                  <w:tcBorders>
                    <w:tl2br w:val="nil"/>
                    <w:tr2bl w:val="nil"/>
                  </w:tcBorders>
                  <w:vAlign w:val="center"/>
                </w:tcPr>
                <w:p w14:paraId="0FED5009">
                  <w:pPr>
                    <w:pStyle w:val="83"/>
                    <w:rPr>
                      <w:rFonts w:hint="default"/>
                    </w:rPr>
                  </w:pPr>
                  <w:r>
                    <w:t>99</w:t>
                  </w:r>
                </w:p>
              </w:tc>
              <w:tc>
                <w:tcPr>
                  <w:tcW w:w="357" w:type="pct"/>
                  <w:vMerge w:val="restart"/>
                  <w:tcBorders>
                    <w:tl2br w:val="nil"/>
                    <w:tr2bl w:val="nil"/>
                  </w:tcBorders>
                  <w:vAlign w:val="center"/>
                </w:tcPr>
                <w:p w14:paraId="1E242716">
                  <w:pPr>
                    <w:pStyle w:val="83"/>
                    <w:rPr>
                      <w:rFonts w:hint="default"/>
                    </w:rPr>
                  </w:pPr>
                  <w:r>
                    <w:t>/</w:t>
                  </w:r>
                </w:p>
              </w:tc>
              <w:tc>
                <w:tcPr>
                  <w:tcW w:w="390" w:type="pct"/>
                  <w:tcBorders>
                    <w:tl2br w:val="nil"/>
                    <w:tr2bl w:val="nil"/>
                  </w:tcBorders>
                  <w:vAlign w:val="center"/>
                </w:tcPr>
                <w:p w14:paraId="6BFC4B36">
                  <w:pPr>
                    <w:pStyle w:val="83"/>
                    <w:rPr>
                      <w:rFonts w:hint="default"/>
                    </w:rPr>
                  </w:pPr>
                  <w:r>
                    <w:t>0.03</w:t>
                  </w:r>
                </w:p>
              </w:tc>
              <w:tc>
                <w:tcPr>
                  <w:tcW w:w="310" w:type="pct"/>
                  <w:tcBorders>
                    <w:tl2br w:val="nil"/>
                    <w:tr2bl w:val="nil"/>
                  </w:tcBorders>
                  <w:vAlign w:val="center"/>
                </w:tcPr>
                <w:p w14:paraId="48DE36C0">
                  <w:pPr>
                    <w:pStyle w:val="83"/>
                    <w:rPr>
                      <w:rFonts w:hint="default"/>
                    </w:rPr>
                  </w:pPr>
                  <w:r>
                    <w:t>/</w:t>
                  </w:r>
                </w:p>
              </w:tc>
            </w:tr>
            <w:tr w14:paraId="16F6CC6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3577986D">
                  <w:pPr>
                    <w:pStyle w:val="83"/>
                    <w:rPr>
                      <w:rFonts w:hint="default"/>
                    </w:rPr>
                  </w:pPr>
                </w:p>
              </w:tc>
              <w:tc>
                <w:tcPr>
                  <w:tcW w:w="319" w:type="pct"/>
                  <w:vMerge w:val="continue"/>
                  <w:tcBorders>
                    <w:tl2br w:val="nil"/>
                    <w:tr2bl w:val="nil"/>
                  </w:tcBorders>
                  <w:vAlign w:val="center"/>
                </w:tcPr>
                <w:p w14:paraId="481F50CF">
                  <w:pPr>
                    <w:pStyle w:val="83"/>
                    <w:rPr>
                      <w:rFonts w:hint="default"/>
                    </w:rPr>
                  </w:pPr>
                </w:p>
              </w:tc>
              <w:tc>
                <w:tcPr>
                  <w:tcW w:w="981" w:type="pct"/>
                  <w:vMerge w:val="continue"/>
                  <w:tcBorders>
                    <w:tl2br w:val="nil"/>
                    <w:tr2bl w:val="nil"/>
                  </w:tcBorders>
                  <w:vAlign w:val="center"/>
                </w:tcPr>
                <w:p w14:paraId="746BEC6A">
                  <w:pPr>
                    <w:pStyle w:val="83"/>
                    <w:rPr>
                      <w:rFonts w:hint="default"/>
                    </w:rPr>
                  </w:pPr>
                </w:p>
              </w:tc>
              <w:tc>
                <w:tcPr>
                  <w:tcW w:w="320" w:type="pct"/>
                  <w:tcBorders>
                    <w:tl2br w:val="nil"/>
                    <w:tr2bl w:val="nil"/>
                  </w:tcBorders>
                  <w:vAlign w:val="center"/>
                </w:tcPr>
                <w:p w14:paraId="6B5988D4">
                  <w:pPr>
                    <w:pStyle w:val="83"/>
                    <w:rPr>
                      <w:rFonts w:hint="default"/>
                    </w:rPr>
                  </w:pPr>
                  <w:r>
                    <w:t>氨氮</w:t>
                  </w:r>
                </w:p>
              </w:tc>
              <w:tc>
                <w:tcPr>
                  <w:tcW w:w="267" w:type="pct"/>
                  <w:vMerge w:val="continue"/>
                  <w:tcBorders>
                    <w:tl2br w:val="nil"/>
                    <w:tr2bl w:val="nil"/>
                  </w:tcBorders>
                  <w:vAlign w:val="center"/>
                </w:tcPr>
                <w:p w14:paraId="64E323A0">
                  <w:pPr>
                    <w:pStyle w:val="83"/>
                    <w:rPr>
                      <w:rFonts w:hint="default"/>
                    </w:rPr>
                  </w:pPr>
                </w:p>
              </w:tc>
              <w:tc>
                <w:tcPr>
                  <w:tcW w:w="308" w:type="pct"/>
                  <w:vMerge w:val="continue"/>
                  <w:tcBorders>
                    <w:tl2br w:val="nil"/>
                    <w:tr2bl w:val="nil"/>
                  </w:tcBorders>
                  <w:vAlign w:val="center"/>
                </w:tcPr>
                <w:p w14:paraId="78DA9FA4">
                  <w:pPr>
                    <w:pStyle w:val="83"/>
                    <w:rPr>
                      <w:rFonts w:hint="default"/>
                    </w:rPr>
                  </w:pPr>
                </w:p>
              </w:tc>
              <w:tc>
                <w:tcPr>
                  <w:tcW w:w="383" w:type="pct"/>
                  <w:tcBorders>
                    <w:tl2br w:val="nil"/>
                    <w:tr2bl w:val="nil"/>
                  </w:tcBorders>
                  <w:vAlign w:val="center"/>
                </w:tcPr>
                <w:p w14:paraId="762B53B5">
                  <w:pPr>
                    <w:pStyle w:val="83"/>
                    <w:rPr>
                      <w:rFonts w:hint="default"/>
                    </w:rPr>
                  </w:pPr>
                  <w:r>
                    <w:t>0.75</w:t>
                  </w:r>
                </w:p>
              </w:tc>
              <w:tc>
                <w:tcPr>
                  <w:tcW w:w="323" w:type="pct"/>
                  <w:tcBorders>
                    <w:tl2br w:val="nil"/>
                    <w:tr2bl w:val="nil"/>
                  </w:tcBorders>
                  <w:vAlign w:val="center"/>
                </w:tcPr>
                <w:p w14:paraId="77372DC7">
                  <w:pPr>
                    <w:pStyle w:val="83"/>
                    <w:rPr>
                      <w:rFonts w:hint="default"/>
                    </w:rPr>
                  </w:pPr>
                  <w:r>
                    <w:t>0.0012</w:t>
                  </w:r>
                </w:p>
              </w:tc>
              <w:tc>
                <w:tcPr>
                  <w:tcW w:w="437" w:type="pct"/>
                  <w:vMerge w:val="continue"/>
                  <w:tcBorders>
                    <w:tl2br w:val="nil"/>
                    <w:tr2bl w:val="nil"/>
                  </w:tcBorders>
                  <w:vAlign w:val="center"/>
                </w:tcPr>
                <w:p w14:paraId="1AE42235">
                  <w:pPr>
                    <w:pStyle w:val="83"/>
                    <w:rPr>
                      <w:rFonts w:hint="default"/>
                    </w:rPr>
                  </w:pPr>
                </w:p>
              </w:tc>
              <w:tc>
                <w:tcPr>
                  <w:tcW w:w="306" w:type="pct"/>
                  <w:tcBorders>
                    <w:tl2br w:val="nil"/>
                    <w:tr2bl w:val="nil"/>
                  </w:tcBorders>
                  <w:vAlign w:val="center"/>
                </w:tcPr>
                <w:p w14:paraId="3D0108EC">
                  <w:pPr>
                    <w:pStyle w:val="83"/>
                    <w:rPr>
                      <w:rFonts w:hint="default"/>
                    </w:rPr>
                  </w:pPr>
                  <w:r>
                    <w:t>99.5</w:t>
                  </w:r>
                </w:p>
              </w:tc>
              <w:tc>
                <w:tcPr>
                  <w:tcW w:w="357" w:type="pct"/>
                  <w:vMerge w:val="continue"/>
                  <w:tcBorders>
                    <w:tl2br w:val="nil"/>
                    <w:tr2bl w:val="nil"/>
                  </w:tcBorders>
                  <w:vAlign w:val="center"/>
                </w:tcPr>
                <w:p w14:paraId="6BC00C04">
                  <w:pPr>
                    <w:pStyle w:val="83"/>
                    <w:rPr>
                      <w:rFonts w:hint="default"/>
                    </w:rPr>
                  </w:pPr>
                </w:p>
              </w:tc>
              <w:tc>
                <w:tcPr>
                  <w:tcW w:w="390" w:type="pct"/>
                  <w:tcBorders>
                    <w:tl2br w:val="nil"/>
                    <w:tr2bl w:val="nil"/>
                  </w:tcBorders>
                  <w:vAlign w:val="center"/>
                </w:tcPr>
                <w:p w14:paraId="4199DDD4">
                  <w:pPr>
                    <w:pStyle w:val="83"/>
                    <w:rPr>
                      <w:rFonts w:hint="default"/>
                    </w:rPr>
                  </w:pPr>
                  <w:r>
                    <w:t>0.0038</w:t>
                  </w:r>
                </w:p>
              </w:tc>
              <w:tc>
                <w:tcPr>
                  <w:tcW w:w="310" w:type="pct"/>
                  <w:tcBorders>
                    <w:tl2br w:val="nil"/>
                    <w:tr2bl w:val="nil"/>
                  </w:tcBorders>
                  <w:vAlign w:val="center"/>
                </w:tcPr>
                <w:p w14:paraId="46DFE8E7">
                  <w:pPr>
                    <w:pStyle w:val="83"/>
                    <w:rPr>
                      <w:rFonts w:hint="default"/>
                    </w:rPr>
                  </w:pPr>
                  <w:r>
                    <w:t>/</w:t>
                  </w:r>
                </w:p>
              </w:tc>
            </w:tr>
            <w:tr w14:paraId="6CF4EAA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150D114C">
                  <w:pPr>
                    <w:pStyle w:val="83"/>
                    <w:rPr>
                      <w:rFonts w:hint="default"/>
                    </w:rPr>
                  </w:pPr>
                  <w:r>
                    <w:t>切粒冷却</w:t>
                  </w:r>
                </w:p>
              </w:tc>
              <w:tc>
                <w:tcPr>
                  <w:tcW w:w="319" w:type="pct"/>
                  <w:vMerge w:val="restart"/>
                  <w:tcBorders>
                    <w:tl2br w:val="nil"/>
                    <w:tr2bl w:val="nil"/>
                  </w:tcBorders>
                  <w:vAlign w:val="center"/>
                </w:tcPr>
                <w:p w14:paraId="315D3DB8">
                  <w:pPr>
                    <w:pStyle w:val="83"/>
                    <w:rPr>
                      <w:rFonts w:hint="default"/>
                    </w:rPr>
                  </w:pPr>
                  <w:r>
                    <w:t>生产废水</w:t>
                  </w:r>
                </w:p>
              </w:tc>
              <w:tc>
                <w:tcPr>
                  <w:tcW w:w="981" w:type="pct"/>
                  <w:vMerge w:val="restart"/>
                  <w:tcBorders>
                    <w:tl2br w:val="nil"/>
                    <w:tr2bl w:val="nil"/>
                  </w:tcBorders>
                  <w:vAlign w:val="center"/>
                </w:tcPr>
                <w:p w14:paraId="61157CA8">
                  <w:pPr>
                    <w:pStyle w:val="83"/>
                    <w:rPr>
                      <w:rFonts w:hint="default"/>
                    </w:rPr>
                  </w:pPr>
                  <w:r>
                    <w:t>水解酸化池+IEPI高效厌氧塔+A/O池+MBR膜生物反应系统+RO反渗透系统</w:t>
                  </w:r>
                </w:p>
              </w:tc>
              <w:tc>
                <w:tcPr>
                  <w:tcW w:w="320" w:type="pct"/>
                  <w:tcBorders>
                    <w:tl2br w:val="nil"/>
                    <w:tr2bl w:val="nil"/>
                  </w:tcBorders>
                  <w:vAlign w:val="center"/>
                </w:tcPr>
                <w:p w14:paraId="105C1772">
                  <w:pPr>
                    <w:pStyle w:val="83"/>
                    <w:rPr>
                      <w:rFonts w:hint="default"/>
                    </w:rPr>
                  </w:pPr>
                  <w:r>
                    <w:t>COD</w:t>
                  </w:r>
                </w:p>
              </w:tc>
              <w:tc>
                <w:tcPr>
                  <w:tcW w:w="267" w:type="pct"/>
                  <w:vMerge w:val="restart"/>
                  <w:tcBorders>
                    <w:tl2br w:val="nil"/>
                    <w:tr2bl w:val="nil"/>
                  </w:tcBorders>
                  <w:vAlign w:val="center"/>
                </w:tcPr>
                <w:p w14:paraId="37FC1ECC">
                  <w:pPr>
                    <w:pStyle w:val="83"/>
                    <w:rPr>
                      <w:rFonts w:hint="default"/>
                    </w:rPr>
                  </w:pPr>
                  <w:r>
                    <w:t>类比法</w:t>
                  </w:r>
                </w:p>
              </w:tc>
              <w:tc>
                <w:tcPr>
                  <w:tcW w:w="308" w:type="pct"/>
                  <w:vMerge w:val="restart"/>
                  <w:tcBorders>
                    <w:tl2br w:val="nil"/>
                    <w:tr2bl w:val="nil"/>
                  </w:tcBorders>
                  <w:vAlign w:val="center"/>
                </w:tcPr>
                <w:p w14:paraId="5E363C4B">
                  <w:pPr>
                    <w:pStyle w:val="83"/>
                    <w:rPr>
                      <w:rFonts w:hint="default"/>
                    </w:rPr>
                  </w:pPr>
                  <w:r>
                    <w:t>1168</w:t>
                  </w:r>
                </w:p>
              </w:tc>
              <w:tc>
                <w:tcPr>
                  <w:tcW w:w="383" w:type="pct"/>
                  <w:tcBorders>
                    <w:tl2br w:val="nil"/>
                    <w:tr2bl w:val="nil"/>
                  </w:tcBorders>
                  <w:vAlign w:val="center"/>
                </w:tcPr>
                <w:p w14:paraId="61B3EE53">
                  <w:pPr>
                    <w:pStyle w:val="83"/>
                    <w:rPr>
                      <w:rFonts w:hint="default"/>
                    </w:rPr>
                  </w:pPr>
                  <w:r>
                    <w:t>60</w:t>
                  </w:r>
                </w:p>
              </w:tc>
              <w:tc>
                <w:tcPr>
                  <w:tcW w:w="323" w:type="pct"/>
                  <w:tcBorders>
                    <w:tl2br w:val="nil"/>
                    <w:tr2bl w:val="nil"/>
                  </w:tcBorders>
                  <w:vAlign w:val="center"/>
                </w:tcPr>
                <w:p w14:paraId="4ECAC144">
                  <w:pPr>
                    <w:pStyle w:val="83"/>
                    <w:rPr>
                      <w:rFonts w:hint="default"/>
                    </w:rPr>
                  </w:pPr>
                  <w:r>
                    <w:t>0.07</w:t>
                  </w:r>
                </w:p>
              </w:tc>
              <w:tc>
                <w:tcPr>
                  <w:tcW w:w="437" w:type="pct"/>
                  <w:vMerge w:val="restart"/>
                  <w:tcBorders>
                    <w:tl2br w:val="nil"/>
                    <w:tr2bl w:val="nil"/>
                  </w:tcBorders>
                  <w:vAlign w:val="center"/>
                </w:tcPr>
                <w:p w14:paraId="536522BF">
                  <w:pPr>
                    <w:pStyle w:val="83"/>
                    <w:rPr>
                      <w:rFonts w:hint="default"/>
                    </w:rPr>
                  </w:pPr>
                  <w:r>
                    <w:t>水解酸化+高效厌氧+厌氧好氧+MBR+RO</w:t>
                  </w:r>
                </w:p>
              </w:tc>
              <w:tc>
                <w:tcPr>
                  <w:tcW w:w="306" w:type="pct"/>
                  <w:tcBorders>
                    <w:tl2br w:val="nil"/>
                    <w:tr2bl w:val="nil"/>
                  </w:tcBorders>
                  <w:vAlign w:val="center"/>
                </w:tcPr>
                <w:p w14:paraId="69F2D971">
                  <w:pPr>
                    <w:pStyle w:val="83"/>
                    <w:rPr>
                      <w:rFonts w:hint="default"/>
                    </w:rPr>
                  </w:pPr>
                  <w:r>
                    <w:t>99</w:t>
                  </w:r>
                </w:p>
              </w:tc>
              <w:tc>
                <w:tcPr>
                  <w:tcW w:w="357" w:type="pct"/>
                  <w:vMerge w:val="restart"/>
                  <w:tcBorders>
                    <w:tl2br w:val="nil"/>
                    <w:tr2bl w:val="nil"/>
                  </w:tcBorders>
                  <w:vAlign w:val="center"/>
                </w:tcPr>
                <w:p w14:paraId="248CBF03">
                  <w:pPr>
                    <w:pStyle w:val="83"/>
                    <w:rPr>
                      <w:rFonts w:hint="default"/>
                    </w:rPr>
                  </w:pPr>
                  <w:r>
                    <w:t>/</w:t>
                  </w:r>
                </w:p>
              </w:tc>
              <w:tc>
                <w:tcPr>
                  <w:tcW w:w="390" w:type="pct"/>
                  <w:tcBorders>
                    <w:tl2br w:val="nil"/>
                    <w:tr2bl w:val="nil"/>
                  </w:tcBorders>
                  <w:vAlign w:val="center"/>
                </w:tcPr>
                <w:p w14:paraId="46888C56">
                  <w:pPr>
                    <w:pStyle w:val="83"/>
                    <w:rPr>
                      <w:rFonts w:hint="default"/>
                    </w:rPr>
                  </w:pPr>
                  <w:r>
                    <w:t>0.6</w:t>
                  </w:r>
                </w:p>
              </w:tc>
              <w:tc>
                <w:tcPr>
                  <w:tcW w:w="310" w:type="pct"/>
                  <w:tcBorders>
                    <w:tl2br w:val="nil"/>
                    <w:tr2bl w:val="nil"/>
                  </w:tcBorders>
                  <w:vAlign w:val="center"/>
                </w:tcPr>
                <w:p w14:paraId="7F7CAC8F">
                  <w:pPr>
                    <w:pStyle w:val="83"/>
                    <w:rPr>
                      <w:rFonts w:hint="default"/>
                    </w:rPr>
                  </w:pPr>
                  <w:r>
                    <w:t>/</w:t>
                  </w:r>
                </w:p>
              </w:tc>
            </w:tr>
            <w:tr w14:paraId="2082855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0ADBCB17">
                  <w:pPr>
                    <w:pStyle w:val="83"/>
                    <w:rPr>
                      <w:rFonts w:hint="default"/>
                    </w:rPr>
                  </w:pPr>
                </w:p>
              </w:tc>
              <w:tc>
                <w:tcPr>
                  <w:tcW w:w="319" w:type="pct"/>
                  <w:vMerge w:val="continue"/>
                  <w:tcBorders>
                    <w:tl2br w:val="nil"/>
                    <w:tr2bl w:val="nil"/>
                  </w:tcBorders>
                  <w:vAlign w:val="center"/>
                </w:tcPr>
                <w:p w14:paraId="2D0AD58C">
                  <w:pPr>
                    <w:pStyle w:val="83"/>
                    <w:rPr>
                      <w:rFonts w:hint="default"/>
                    </w:rPr>
                  </w:pPr>
                </w:p>
              </w:tc>
              <w:tc>
                <w:tcPr>
                  <w:tcW w:w="981" w:type="pct"/>
                  <w:vMerge w:val="continue"/>
                  <w:tcBorders>
                    <w:tl2br w:val="nil"/>
                    <w:tr2bl w:val="nil"/>
                  </w:tcBorders>
                  <w:vAlign w:val="center"/>
                </w:tcPr>
                <w:p w14:paraId="13AF2B70">
                  <w:pPr>
                    <w:pStyle w:val="83"/>
                    <w:rPr>
                      <w:rFonts w:hint="default"/>
                    </w:rPr>
                  </w:pPr>
                </w:p>
              </w:tc>
              <w:tc>
                <w:tcPr>
                  <w:tcW w:w="320" w:type="pct"/>
                  <w:tcBorders>
                    <w:tl2br w:val="nil"/>
                    <w:tr2bl w:val="nil"/>
                  </w:tcBorders>
                  <w:vAlign w:val="center"/>
                </w:tcPr>
                <w:p w14:paraId="4222176B">
                  <w:pPr>
                    <w:pStyle w:val="83"/>
                    <w:rPr>
                      <w:rFonts w:hint="default"/>
                    </w:rPr>
                  </w:pPr>
                  <w:r>
                    <w:t>BOD</w:t>
                  </w:r>
                  <w:r>
                    <w:rPr>
                      <w:vertAlign w:val="subscript"/>
                    </w:rPr>
                    <w:t>5</w:t>
                  </w:r>
                </w:p>
              </w:tc>
              <w:tc>
                <w:tcPr>
                  <w:tcW w:w="267" w:type="pct"/>
                  <w:vMerge w:val="continue"/>
                  <w:tcBorders>
                    <w:tl2br w:val="nil"/>
                    <w:tr2bl w:val="nil"/>
                  </w:tcBorders>
                  <w:vAlign w:val="center"/>
                </w:tcPr>
                <w:p w14:paraId="30E93266">
                  <w:pPr>
                    <w:pStyle w:val="83"/>
                    <w:rPr>
                      <w:rFonts w:hint="default"/>
                    </w:rPr>
                  </w:pPr>
                </w:p>
              </w:tc>
              <w:tc>
                <w:tcPr>
                  <w:tcW w:w="308" w:type="pct"/>
                  <w:vMerge w:val="continue"/>
                  <w:tcBorders>
                    <w:tl2br w:val="nil"/>
                    <w:tr2bl w:val="nil"/>
                  </w:tcBorders>
                  <w:vAlign w:val="center"/>
                </w:tcPr>
                <w:p w14:paraId="7D3F3450">
                  <w:pPr>
                    <w:pStyle w:val="83"/>
                    <w:rPr>
                      <w:rFonts w:hint="default"/>
                    </w:rPr>
                  </w:pPr>
                </w:p>
              </w:tc>
              <w:tc>
                <w:tcPr>
                  <w:tcW w:w="383" w:type="pct"/>
                  <w:tcBorders>
                    <w:tl2br w:val="nil"/>
                    <w:tr2bl w:val="nil"/>
                  </w:tcBorders>
                  <w:vAlign w:val="center"/>
                </w:tcPr>
                <w:p w14:paraId="7CC6E947">
                  <w:pPr>
                    <w:pStyle w:val="83"/>
                    <w:rPr>
                      <w:rFonts w:hint="default"/>
                    </w:rPr>
                  </w:pPr>
                  <w:r>
                    <w:t>10</w:t>
                  </w:r>
                </w:p>
              </w:tc>
              <w:tc>
                <w:tcPr>
                  <w:tcW w:w="323" w:type="pct"/>
                  <w:tcBorders>
                    <w:tl2br w:val="nil"/>
                    <w:tr2bl w:val="nil"/>
                  </w:tcBorders>
                  <w:vAlign w:val="center"/>
                </w:tcPr>
                <w:p w14:paraId="75F051AF">
                  <w:pPr>
                    <w:pStyle w:val="83"/>
                    <w:rPr>
                      <w:rFonts w:hint="default"/>
                    </w:rPr>
                  </w:pPr>
                  <w:r>
                    <w:t>0.012</w:t>
                  </w:r>
                </w:p>
              </w:tc>
              <w:tc>
                <w:tcPr>
                  <w:tcW w:w="437" w:type="pct"/>
                  <w:vMerge w:val="continue"/>
                  <w:tcBorders>
                    <w:tl2br w:val="nil"/>
                    <w:tr2bl w:val="nil"/>
                  </w:tcBorders>
                  <w:vAlign w:val="center"/>
                </w:tcPr>
                <w:p w14:paraId="1F7AA162">
                  <w:pPr>
                    <w:pStyle w:val="83"/>
                    <w:rPr>
                      <w:rFonts w:hint="default"/>
                    </w:rPr>
                  </w:pPr>
                </w:p>
              </w:tc>
              <w:tc>
                <w:tcPr>
                  <w:tcW w:w="306" w:type="pct"/>
                  <w:tcBorders>
                    <w:tl2br w:val="nil"/>
                    <w:tr2bl w:val="nil"/>
                  </w:tcBorders>
                  <w:vAlign w:val="center"/>
                </w:tcPr>
                <w:p w14:paraId="3E8DFB5A">
                  <w:pPr>
                    <w:pStyle w:val="83"/>
                    <w:rPr>
                      <w:rFonts w:hint="default"/>
                    </w:rPr>
                  </w:pPr>
                  <w:r>
                    <w:t>99.5</w:t>
                  </w:r>
                </w:p>
              </w:tc>
              <w:tc>
                <w:tcPr>
                  <w:tcW w:w="357" w:type="pct"/>
                  <w:vMerge w:val="continue"/>
                  <w:tcBorders>
                    <w:tl2br w:val="nil"/>
                    <w:tr2bl w:val="nil"/>
                  </w:tcBorders>
                  <w:vAlign w:val="center"/>
                </w:tcPr>
                <w:p w14:paraId="67F081DC">
                  <w:pPr>
                    <w:pStyle w:val="83"/>
                    <w:rPr>
                      <w:rFonts w:hint="default"/>
                    </w:rPr>
                  </w:pPr>
                </w:p>
              </w:tc>
              <w:tc>
                <w:tcPr>
                  <w:tcW w:w="390" w:type="pct"/>
                  <w:tcBorders>
                    <w:tl2br w:val="nil"/>
                    <w:tr2bl w:val="nil"/>
                  </w:tcBorders>
                  <w:vAlign w:val="center"/>
                </w:tcPr>
                <w:p w14:paraId="10B2D0C8">
                  <w:pPr>
                    <w:pStyle w:val="83"/>
                    <w:rPr>
                      <w:rFonts w:hint="default"/>
                    </w:rPr>
                  </w:pPr>
                  <w:r>
                    <w:t>0.05</w:t>
                  </w:r>
                </w:p>
              </w:tc>
              <w:tc>
                <w:tcPr>
                  <w:tcW w:w="310" w:type="pct"/>
                  <w:tcBorders>
                    <w:tl2br w:val="nil"/>
                    <w:tr2bl w:val="nil"/>
                  </w:tcBorders>
                  <w:vAlign w:val="center"/>
                </w:tcPr>
                <w:p w14:paraId="370045CC">
                  <w:pPr>
                    <w:pStyle w:val="83"/>
                    <w:rPr>
                      <w:rFonts w:hint="default"/>
                    </w:rPr>
                  </w:pPr>
                  <w:r>
                    <w:t>/</w:t>
                  </w:r>
                </w:p>
              </w:tc>
            </w:tr>
            <w:tr w14:paraId="0F8AFCF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4A423977">
                  <w:pPr>
                    <w:pStyle w:val="83"/>
                    <w:rPr>
                      <w:rFonts w:hint="default"/>
                    </w:rPr>
                  </w:pPr>
                </w:p>
              </w:tc>
              <w:tc>
                <w:tcPr>
                  <w:tcW w:w="319" w:type="pct"/>
                  <w:vMerge w:val="continue"/>
                  <w:tcBorders>
                    <w:tl2br w:val="nil"/>
                    <w:tr2bl w:val="nil"/>
                  </w:tcBorders>
                  <w:vAlign w:val="center"/>
                </w:tcPr>
                <w:p w14:paraId="69A3626B">
                  <w:pPr>
                    <w:pStyle w:val="83"/>
                    <w:rPr>
                      <w:rFonts w:hint="default"/>
                    </w:rPr>
                  </w:pPr>
                </w:p>
              </w:tc>
              <w:tc>
                <w:tcPr>
                  <w:tcW w:w="981" w:type="pct"/>
                  <w:vMerge w:val="continue"/>
                  <w:tcBorders>
                    <w:tl2br w:val="nil"/>
                    <w:tr2bl w:val="nil"/>
                  </w:tcBorders>
                  <w:vAlign w:val="center"/>
                </w:tcPr>
                <w:p w14:paraId="3C039B0E">
                  <w:pPr>
                    <w:pStyle w:val="83"/>
                    <w:rPr>
                      <w:rFonts w:hint="default"/>
                    </w:rPr>
                  </w:pPr>
                </w:p>
              </w:tc>
              <w:tc>
                <w:tcPr>
                  <w:tcW w:w="320" w:type="pct"/>
                  <w:tcBorders>
                    <w:tl2br w:val="nil"/>
                    <w:tr2bl w:val="nil"/>
                  </w:tcBorders>
                  <w:vAlign w:val="center"/>
                </w:tcPr>
                <w:p w14:paraId="71604F69">
                  <w:pPr>
                    <w:pStyle w:val="83"/>
                    <w:rPr>
                      <w:rFonts w:hint="default"/>
                    </w:rPr>
                  </w:pPr>
                  <w:r>
                    <w:t>SS</w:t>
                  </w:r>
                </w:p>
              </w:tc>
              <w:tc>
                <w:tcPr>
                  <w:tcW w:w="267" w:type="pct"/>
                  <w:vMerge w:val="continue"/>
                  <w:tcBorders>
                    <w:tl2br w:val="nil"/>
                    <w:tr2bl w:val="nil"/>
                  </w:tcBorders>
                  <w:vAlign w:val="center"/>
                </w:tcPr>
                <w:p w14:paraId="16D35B7E">
                  <w:pPr>
                    <w:pStyle w:val="83"/>
                    <w:rPr>
                      <w:rFonts w:hint="default"/>
                    </w:rPr>
                  </w:pPr>
                </w:p>
              </w:tc>
              <w:tc>
                <w:tcPr>
                  <w:tcW w:w="308" w:type="pct"/>
                  <w:vMerge w:val="continue"/>
                  <w:tcBorders>
                    <w:tl2br w:val="nil"/>
                    <w:tr2bl w:val="nil"/>
                  </w:tcBorders>
                  <w:vAlign w:val="center"/>
                </w:tcPr>
                <w:p w14:paraId="4569BD6D">
                  <w:pPr>
                    <w:pStyle w:val="83"/>
                    <w:rPr>
                      <w:rFonts w:hint="default"/>
                    </w:rPr>
                  </w:pPr>
                </w:p>
              </w:tc>
              <w:tc>
                <w:tcPr>
                  <w:tcW w:w="383" w:type="pct"/>
                  <w:tcBorders>
                    <w:tl2br w:val="nil"/>
                    <w:tr2bl w:val="nil"/>
                  </w:tcBorders>
                  <w:vAlign w:val="center"/>
                </w:tcPr>
                <w:p w14:paraId="0494D179">
                  <w:pPr>
                    <w:pStyle w:val="83"/>
                    <w:rPr>
                      <w:rFonts w:hint="default"/>
                    </w:rPr>
                  </w:pPr>
                  <w:r>
                    <w:t>30</w:t>
                  </w:r>
                </w:p>
              </w:tc>
              <w:tc>
                <w:tcPr>
                  <w:tcW w:w="323" w:type="pct"/>
                  <w:tcBorders>
                    <w:tl2br w:val="nil"/>
                    <w:tr2bl w:val="nil"/>
                  </w:tcBorders>
                  <w:vAlign w:val="center"/>
                </w:tcPr>
                <w:p w14:paraId="5C34BE63">
                  <w:pPr>
                    <w:pStyle w:val="83"/>
                    <w:rPr>
                      <w:rFonts w:hint="default"/>
                    </w:rPr>
                  </w:pPr>
                  <w:r>
                    <w:t>0.035</w:t>
                  </w:r>
                </w:p>
              </w:tc>
              <w:tc>
                <w:tcPr>
                  <w:tcW w:w="437" w:type="pct"/>
                  <w:vMerge w:val="continue"/>
                  <w:tcBorders>
                    <w:tl2br w:val="nil"/>
                    <w:tr2bl w:val="nil"/>
                  </w:tcBorders>
                  <w:vAlign w:val="center"/>
                </w:tcPr>
                <w:p w14:paraId="6E78B4FA">
                  <w:pPr>
                    <w:pStyle w:val="83"/>
                    <w:rPr>
                      <w:rFonts w:hint="default"/>
                    </w:rPr>
                  </w:pPr>
                </w:p>
              </w:tc>
              <w:tc>
                <w:tcPr>
                  <w:tcW w:w="306" w:type="pct"/>
                  <w:tcBorders>
                    <w:tl2br w:val="nil"/>
                    <w:tr2bl w:val="nil"/>
                  </w:tcBorders>
                  <w:vAlign w:val="center"/>
                </w:tcPr>
                <w:p w14:paraId="27C3D2EF">
                  <w:pPr>
                    <w:pStyle w:val="83"/>
                    <w:rPr>
                      <w:rFonts w:hint="default"/>
                    </w:rPr>
                  </w:pPr>
                  <w:r>
                    <w:t>96</w:t>
                  </w:r>
                </w:p>
              </w:tc>
              <w:tc>
                <w:tcPr>
                  <w:tcW w:w="357" w:type="pct"/>
                  <w:vMerge w:val="continue"/>
                  <w:tcBorders>
                    <w:tl2br w:val="nil"/>
                    <w:tr2bl w:val="nil"/>
                  </w:tcBorders>
                  <w:vAlign w:val="center"/>
                </w:tcPr>
                <w:p w14:paraId="1E7FD4E5">
                  <w:pPr>
                    <w:pStyle w:val="83"/>
                    <w:rPr>
                      <w:rFonts w:hint="default"/>
                    </w:rPr>
                  </w:pPr>
                </w:p>
              </w:tc>
              <w:tc>
                <w:tcPr>
                  <w:tcW w:w="390" w:type="pct"/>
                  <w:tcBorders>
                    <w:tl2br w:val="nil"/>
                    <w:tr2bl w:val="nil"/>
                  </w:tcBorders>
                  <w:vAlign w:val="center"/>
                </w:tcPr>
                <w:p w14:paraId="29172644">
                  <w:pPr>
                    <w:pStyle w:val="83"/>
                    <w:rPr>
                      <w:rFonts w:hint="default"/>
                    </w:rPr>
                  </w:pPr>
                  <w:r>
                    <w:t>1.2</w:t>
                  </w:r>
                </w:p>
              </w:tc>
              <w:tc>
                <w:tcPr>
                  <w:tcW w:w="310" w:type="pct"/>
                  <w:tcBorders>
                    <w:tl2br w:val="nil"/>
                    <w:tr2bl w:val="nil"/>
                  </w:tcBorders>
                  <w:vAlign w:val="center"/>
                </w:tcPr>
                <w:p w14:paraId="7823C6B5">
                  <w:pPr>
                    <w:pStyle w:val="83"/>
                    <w:rPr>
                      <w:rFonts w:hint="default"/>
                    </w:rPr>
                  </w:pPr>
                  <w:r>
                    <w:t>/</w:t>
                  </w:r>
                </w:p>
              </w:tc>
            </w:tr>
            <w:tr w14:paraId="0A3FD00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6216BF08">
                  <w:pPr>
                    <w:pStyle w:val="83"/>
                    <w:rPr>
                      <w:rFonts w:hint="default"/>
                    </w:rPr>
                  </w:pPr>
                </w:p>
              </w:tc>
              <w:tc>
                <w:tcPr>
                  <w:tcW w:w="319" w:type="pct"/>
                  <w:vMerge w:val="continue"/>
                  <w:tcBorders>
                    <w:tl2br w:val="nil"/>
                    <w:tr2bl w:val="nil"/>
                  </w:tcBorders>
                  <w:vAlign w:val="center"/>
                </w:tcPr>
                <w:p w14:paraId="1DAB7E0F">
                  <w:pPr>
                    <w:pStyle w:val="83"/>
                    <w:rPr>
                      <w:rFonts w:hint="default"/>
                    </w:rPr>
                  </w:pPr>
                </w:p>
              </w:tc>
              <w:tc>
                <w:tcPr>
                  <w:tcW w:w="981" w:type="pct"/>
                  <w:vMerge w:val="continue"/>
                  <w:tcBorders>
                    <w:tl2br w:val="nil"/>
                    <w:tr2bl w:val="nil"/>
                  </w:tcBorders>
                  <w:vAlign w:val="center"/>
                </w:tcPr>
                <w:p w14:paraId="570FCB5B">
                  <w:pPr>
                    <w:pStyle w:val="83"/>
                    <w:rPr>
                      <w:rFonts w:hint="default"/>
                    </w:rPr>
                  </w:pPr>
                </w:p>
              </w:tc>
              <w:tc>
                <w:tcPr>
                  <w:tcW w:w="320" w:type="pct"/>
                  <w:tcBorders>
                    <w:tl2br w:val="nil"/>
                    <w:tr2bl w:val="nil"/>
                  </w:tcBorders>
                  <w:vAlign w:val="center"/>
                </w:tcPr>
                <w:p w14:paraId="13F94DF5">
                  <w:pPr>
                    <w:pStyle w:val="83"/>
                    <w:rPr>
                      <w:rFonts w:hint="default"/>
                    </w:rPr>
                  </w:pPr>
                  <w:r>
                    <w:t>氨氮</w:t>
                  </w:r>
                </w:p>
              </w:tc>
              <w:tc>
                <w:tcPr>
                  <w:tcW w:w="267" w:type="pct"/>
                  <w:vMerge w:val="continue"/>
                  <w:tcBorders>
                    <w:tl2br w:val="nil"/>
                    <w:tr2bl w:val="nil"/>
                  </w:tcBorders>
                  <w:vAlign w:val="center"/>
                </w:tcPr>
                <w:p w14:paraId="5E30790F">
                  <w:pPr>
                    <w:pStyle w:val="83"/>
                    <w:rPr>
                      <w:rFonts w:hint="default"/>
                    </w:rPr>
                  </w:pPr>
                </w:p>
              </w:tc>
              <w:tc>
                <w:tcPr>
                  <w:tcW w:w="308" w:type="pct"/>
                  <w:vMerge w:val="continue"/>
                  <w:tcBorders>
                    <w:tl2br w:val="nil"/>
                    <w:tr2bl w:val="nil"/>
                  </w:tcBorders>
                  <w:vAlign w:val="center"/>
                </w:tcPr>
                <w:p w14:paraId="04A1121D">
                  <w:pPr>
                    <w:pStyle w:val="83"/>
                    <w:rPr>
                      <w:rFonts w:hint="default"/>
                    </w:rPr>
                  </w:pPr>
                </w:p>
              </w:tc>
              <w:tc>
                <w:tcPr>
                  <w:tcW w:w="383" w:type="pct"/>
                  <w:tcBorders>
                    <w:tl2br w:val="nil"/>
                    <w:tr2bl w:val="nil"/>
                  </w:tcBorders>
                  <w:vAlign w:val="center"/>
                </w:tcPr>
                <w:p w14:paraId="324097F6">
                  <w:pPr>
                    <w:pStyle w:val="83"/>
                    <w:rPr>
                      <w:rFonts w:hint="default"/>
                    </w:rPr>
                  </w:pPr>
                  <w:r>
                    <w:t>10</w:t>
                  </w:r>
                </w:p>
              </w:tc>
              <w:tc>
                <w:tcPr>
                  <w:tcW w:w="323" w:type="pct"/>
                  <w:tcBorders>
                    <w:tl2br w:val="nil"/>
                    <w:tr2bl w:val="nil"/>
                  </w:tcBorders>
                  <w:vAlign w:val="center"/>
                </w:tcPr>
                <w:p w14:paraId="73127F65">
                  <w:pPr>
                    <w:pStyle w:val="83"/>
                    <w:rPr>
                      <w:rFonts w:hint="default"/>
                    </w:rPr>
                  </w:pPr>
                  <w:r>
                    <w:t>0.012</w:t>
                  </w:r>
                </w:p>
              </w:tc>
              <w:tc>
                <w:tcPr>
                  <w:tcW w:w="437" w:type="pct"/>
                  <w:vMerge w:val="continue"/>
                  <w:tcBorders>
                    <w:tl2br w:val="nil"/>
                    <w:tr2bl w:val="nil"/>
                  </w:tcBorders>
                  <w:vAlign w:val="center"/>
                </w:tcPr>
                <w:p w14:paraId="27AE4D63">
                  <w:pPr>
                    <w:pStyle w:val="83"/>
                    <w:rPr>
                      <w:rFonts w:hint="default"/>
                    </w:rPr>
                  </w:pPr>
                </w:p>
              </w:tc>
              <w:tc>
                <w:tcPr>
                  <w:tcW w:w="306" w:type="pct"/>
                  <w:tcBorders>
                    <w:tl2br w:val="nil"/>
                    <w:tr2bl w:val="nil"/>
                  </w:tcBorders>
                  <w:vAlign w:val="center"/>
                </w:tcPr>
                <w:p w14:paraId="64DBA701">
                  <w:pPr>
                    <w:pStyle w:val="83"/>
                    <w:rPr>
                      <w:rFonts w:hint="default"/>
                    </w:rPr>
                  </w:pPr>
                  <w:r>
                    <w:t>99.5</w:t>
                  </w:r>
                </w:p>
              </w:tc>
              <w:tc>
                <w:tcPr>
                  <w:tcW w:w="357" w:type="pct"/>
                  <w:vMerge w:val="continue"/>
                  <w:tcBorders>
                    <w:tl2br w:val="nil"/>
                    <w:tr2bl w:val="nil"/>
                  </w:tcBorders>
                  <w:vAlign w:val="center"/>
                </w:tcPr>
                <w:p w14:paraId="59A2BB9C">
                  <w:pPr>
                    <w:pStyle w:val="83"/>
                    <w:rPr>
                      <w:rFonts w:hint="default"/>
                    </w:rPr>
                  </w:pPr>
                </w:p>
              </w:tc>
              <w:tc>
                <w:tcPr>
                  <w:tcW w:w="390" w:type="pct"/>
                  <w:tcBorders>
                    <w:tl2br w:val="nil"/>
                    <w:tr2bl w:val="nil"/>
                  </w:tcBorders>
                  <w:vAlign w:val="center"/>
                </w:tcPr>
                <w:p w14:paraId="53043F3D">
                  <w:pPr>
                    <w:pStyle w:val="83"/>
                    <w:rPr>
                      <w:rFonts w:hint="default"/>
                    </w:rPr>
                  </w:pPr>
                  <w:r>
                    <w:t>0.05</w:t>
                  </w:r>
                </w:p>
              </w:tc>
              <w:tc>
                <w:tcPr>
                  <w:tcW w:w="310" w:type="pct"/>
                  <w:tcBorders>
                    <w:tl2br w:val="nil"/>
                    <w:tr2bl w:val="nil"/>
                  </w:tcBorders>
                  <w:vAlign w:val="center"/>
                </w:tcPr>
                <w:p w14:paraId="64FAF2C1">
                  <w:pPr>
                    <w:pStyle w:val="83"/>
                    <w:rPr>
                      <w:rFonts w:hint="default"/>
                    </w:rPr>
                  </w:pPr>
                  <w:r>
                    <w:t>/</w:t>
                  </w:r>
                </w:p>
              </w:tc>
            </w:tr>
            <w:tr w14:paraId="2CA98B9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4D1C3DF6">
                  <w:pPr>
                    <w:pStyle w:val="83"/>
                    <w:rPr>
                      <w:rFonts w:hint="default"/>
                    </w:rPr>
                  </w:pPr>
                </w:p>
              </w:tc>
              <w:tc>
                <w:tcPr>
                  <w:tcW w:w="319" w:type="pct"/>
                  <w:vMerge w:val="continue"/>
                  <w:tcBorders>
                    <w:tl2br w:val="nil"/>
                    <w:tr2bl w:val="nil"/>
                  </w:tcBorders>
                  <w:vAlign w:val="center"/>
                </w:tcPr>
                <w:p w14:paraId="4F81E0A8">
                  <w:pPr>
                    <w:pStyle w:val="83"/>
                    <w:rPr>
                      <w:rFonts w:hint="default"/>
                    </w:rPr>
                  </w:pPr>
                </w:p>
              </w:tc>
              <w:tc>
                <w:tcPr>
                  <w:tcW w:w="981" w:type="pct"/>
                  <w:vMerge w:val="continue"/>
                  <w:tcBorders>
                    <w:tl2br w:val="nil"/>
                    <w:tr2bl w:val="nil"/>
                  </w:tcBorders>
                  <w:vAlign w:val="center"/>
                </w:tcPr>
                <w:p w14:paraId="44946226">
                  <w:pPr>
                    <w:pStyle w:val="83"/>
                    <w:rPr>
                      <w:rFonts w:hint="default"/>
                    </w:rPr>
                  </w:pPr>
                </w:p>
              </w:tc>
              <w:tc>
                <w:tcPr>
                  <w:tcW w:w="320" w:type="pct"/>
                  <w:tcBorders>
                    <w:tl2br w:val="nil"/>
                    <w:tr2bl w:val="nil"/>
                  </w:tcBorders>
                  <w:vAlign w:val="center"/>
                </w:tcPr>
                <w:p w14:paraId="0B8632D6">
                  <w:pPr>
                    <w:pStyle w:val="83"/>
                    <w:rPr>
                      <w:rFonts w:hint="default"/>
                    </w:rPr>
                  </w:pPr>
                  <w:r>
                    <w:t>石油类</w:t>
                  </w:r>
                </w:p>
              </w:tc>
              <w:tc>
                <w:tcPr>
                  <w:tcW w:w="267" w:type="pct"/>
                  <w:vMerge w:val="continue"/>
                  <w:tcBorders>
                    <w:tl2br w:val="nil"/>
                    <w:tr2bl w:val="nil"/>
                  </w:tcBorders>
                  <w:vAlign w:val="center"/>
                </w:tcPr>
                <w:p w14:paraId="3658E5DA">
                  <w:pPr>
                    <w:pStyle w:val="83"/>
                    <w:rPr>
                      <w:rFonts w:hint="default"/>
                    </w:rPr>
                  </w:pPr>
                </w:p>
              </w:tc>
              <w:tc>
                <w:tcPr>
                  <w:tcW w:w="308" w:type="pct"/>
                  <w:vMerge w:val="continue"/>
                  <w:tcBorders>
                    <w:tl2br w:val="nil"/>
                    <w:tr2bl w:val="nil"/>
                  </w:tcBorders>
                  <w:vAlign w:val="center"/>
                </w:tcPr>
                <w:p w14:paraId="0B76B92F">
                  <w:pPr>
                    <w:pStyle w:val="83"/>
                    <w:rPr>
                      <w:rFonts w:hint="default"/>
                    </w:rPr>
                  </w:pPr>
                </w:p>
              </w:tc>
              <w:tc>
                <w:tcPr>
                  <w:tcW w:w="383" w:type="pct"/>
                  <w:tcBorders>
                    <w:tl2br w:val="nil"/>
                    <w:tr2bl w:val="nil"/>
                  </w:tcBorders>
                  <w:vAlign w:val="center"/>
                </w:tcPr>
                <w:p w14:paraId="64AB0382">
                  <w:pPr>
                    <w:pStyle w:val="83"/>
                    <w:rPr>
                      <w:rFonts w:hint="default"/>
                    </w:rPr>
                  </w:pPr>
                  <w:r>
                    <w:t>1</w:t>
                  </w:r>
                </w:p>
              </w:tc>
              <w:tc>
                <w:tcPr>
                  <w:tcW w:w="323" w:type="pct"/>
                  <w:tcBorders>
                    <w:tl2br w:val="nil"/>
                    <w:tr2bl w:val="nil"/>
                  </w:tcBorders>
                  <w:vAlign w:val="center"/>
                </w:tcPr>
                <w:p w14:paraId="0FB27E5A">
                  <w:pPr>
                    <w:pStyle w:val="83"/>
                    <w:rPr>
                      <w:rFonts w:hint="default"/>
                    </w:rPr>
                  </w:pPr>
                  <w:r>
                    <w:t>0.0012</w:t>
                  </w:r>
                </w:p>
              </w:tc>
              <w:tc>
                <w:tcPr>
                  <w:tcW w:w="437" w:type="pct"/>
                  <w:vMerge w:val="continue"/>
                  <w:tcBorders>
                    <w:tl2br w:val="nil"/>
                    <w:tr2bl w:val="nil"/>
                  </w:tcBorders>
                  <w:vAlign w:val="center"/>
                </w:tcPr>
                <w:p w14:paraId="4DA5FA4B">
                  <w:pPr>
                    <w:pStyle w:val="83"/>
                    <w:rPr>
                      <w:rFonts w:hint="default"/>
                    </w:rPr>
                  </w:pPr>
                </w:p>
              </w:tc>
              <w:tc>
                <w:tcPr>
                  <w:tcW w:w="306" w:type="pct"/>
                  <w:tcBorders>
                    <w:tl2br w:val="nil"/>
                    <w:tr2bl w:val="nil"/>
                  </w:tcBorders>
                  <w:vAlign w:val="center"/>
                </w:tcPr>
                <w:p w14:paraId="737FE08A">
                  <w:pPr>
                    <w:pStyle w:val="83"/>
                    <w:rPr>
                      <w:rFonts w:hint="default"/>
                    </w:rPr>
                  </w:pPr>
                  <w:r>
                    <w:t>99</w:t>
                  </w:r>
                </w:p>
              </w:tc>
              <w:tc>
                <w:tcPr>
                  <w:tcW w:w="357" w:type="pct"/>
                  <w:vMerge w:val="continue"/>
                  <w:tcBorders>
                    <w:tl2br w:val="nil"/>
                    <w:tr2bl w:val="nil"/>
                  </w:tcBorders>
                  <w:vAlign w:val="center"/>
                </w:tcPr>
                <w:p w14:paraId="0BD61169">
                  <w:pPr>
                    <w:pStyle w:val="83"/>
                    <w:rPr>
                      <w:rFonts w:hint="default"/>
                    </w:rPr>
                  </w:pPr>
                </w:p>
              </w:tc>
              <w:tc>
                <w:tcPr>
                  <w:tcW w:w="390" w:type="pct"/>
                  <w:tcBorders>
                    <w:tl2br w:val="nil"/>
                    <w:tr2bl w:val="nil"/>
                  </w:tcBorders>
                  <w:vAlign w:val="center"/>
                </w:tcPr>
                <w:p w14:paraId="2E66A59D">
                  <w:pPr>
                    <w:pStyle w:val="83"/>
                    <w:rPr>
                      <w:rFonts w:hint="default"/>
                    </w:rPr>
                  </w:pPr>
                  <w:r>
                    <w:t>0.01</w:t>
                  </w:r>
                </w:p>
              </w:tc>
              <w:tc>
                <w:tcPr>
                  <w:tcW w:w="310" w:type="pct"/>
                  <w:tcBorders>
                    <w:tl2br w:val="nil"/>
                    <w:tr2bl w:val="nil"/>
                  </w:tcBorders>
                  <w:vAlign w:val="center"/>
                </w:tcPr>
                <w:p w14:paraId="32EC41EA">
                  <w:pPr>
                    <w:pStyle w:val="83"/>
                    <w:rPr>
                      <w:rFonts w:hint="default"/>
                    </w:rPr>
                  </w:pPr>
                  <w:r>
                    <w:t>/</w:t>
                  </w:r>
                </w:p>
              </w:tc>
            </w:tr>
            <w:tr w14:paraId="46717F8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F5D1B09">
                  <w:pPr>
                    <w:pStyle w:val="83"/>
                    <w:rPr>
                      <w:rFonts w:hint="default"/>
                    </w:rPr>
                  </w:pPr>
                </w:p>
              </w:tc>
              <w:tc>
                <w:tcPr>
                  <w:tcW w:w="319" w:type="pct"/>
                  <w:vMerge w:val="continue"/>
                  <w:tcBorders>
                    <w:tl2br w:val="nil"/>
                    <w:tr2bl w:val="nil"/>
                  </w:tcBorders>
                  <w:vAlign w:val="center"/>
                </w:tcPr>
                <w:p w14:paraId="31E319C9">
                  <w:pPr>
                    <w:pStyle w:val="83"/>
                    <w:rPr>
                      <w:rFonts w:hint="default"/>
                    </w:rPr>
                  </w:pPr>
                </w:p>
              </w:tc>
              <w:tc>
                <w:tcPr>
                  <w:tcW w:w="981" w:type="pct"/>
                  <w:vMerge w:val="continue"/>
                  <w:tcBorders>
                    <w:tl2br w:val="nil"/>
                    <w:tr2bl w:val="nil"/>
                  </w:tcBorders>
                  <w:vAlign w:val="center"/>
                </w:tcPr>
                <w:p w14:paraId="7061150D">
                  <w:pPr>
                    <w:pStyle w:val="83"/>
                    <w:rPr>
                      <w:rFonts w:hint="default"/>
                    </w:rPr>
                  </w:pPr>
                </w:p>
              </w:tc>
              <w:tc>
                <w:tcPr>
                  <w:tcW w:w="320" w:type="pct"/>
                  <w:tcBorders>
                    <w:tl2br w:val="nil"/>
                    <w:tr2bl w:val="nil"/>
                  </w:tcBorders>
                  <w:vAlign w:val="center"/>
                </w:tcPr>
                <w:p w14:paraId="5771762D">
                  <w:pPr>
                    <w:pStyle w:val="83"/>
                    <w:rPr>
                      <w:rFonts w:hint="default"/>
                    </w:rPr>
                  </w:pPr>
                  <w:r>
                    <w:t>总有机碳</w:t>
                  </w:r>
                </w:p>
              </w:tc>
              <w:tc>
                <w:tcPr>
                  <w:tcW w:w="267" w:type="pct"/>
                  <w:vMerge w:val="continue"/>
                  <w:tcBorders>
                    <w:tl2br w:val="nil"/>
                    <w:tr2bl w:val="nil"/>
                  </w:tcBorders>
                  <w:vAlign w:val="center"/>
                </w:tcPr>
                <w:p w14:paraId="36CF9043">
                  <w:pPr>
                    <w:pStyle w:val="83"/>
                    <w:rPr>
                      <w:rFonts w:hint="default"/>
                    </w:rPr>
                  </w:pPr>
                </w:p>
              </w:tc>
              <w:tc>
                <w:tcPr>
                  <w:tcW w:w="308" w:type="pct"/>
                  <w:vMerge w:val="continue"/>
                  <w:tcBorders>
                    <w:tl2br w:val="nil"/>
                    <w:tr2bl w:val="nil"/>
                  </w:tcBorders>
                  <w:vAlign w:val="center"/>
                </w:tcPr>
                <w:p w14:paraId="53DE341A">
                  <w:pPr>
                    <w:pStyle w:val="83"/>
                    <w:rPr>
                      <w:rFonts w:hint="default"/>
                    </w:rPr>
                  </w:pPr>
                </w:p>
              </w:tc>
              <w:tc>
                <w:tcPr>
                  <w:tcW w:w="383" w:type="pct"/>
                  <w:tcBorders>
                    <w:tl2br w:val="nil"/>
                    <w:tr2bl w:val="nil"/>
                  </w:tcBorders>
                  <w:vAlign w:val="center"/>
                </w:tcPr>
                <w:p w14:paraId="0E81BA84">
                  <w:pPr>
                    <w:pStyle w:val="83"/>
                    <w:rPr>
                      <w:rFonts w:hint="default"/>
                    </w:rPr>
                  </w:pPr>
                  <w:r>
                    <w:t>20</w:t>
                  </w:r>
                </w:p>
              </w:tc>
              <w:tc>
                <w:tcPr>
                  <w:tcW w:w="323" w:type="pct"/>
                  <w:tcBorders>
                    <w:tl2br w:val="nil"/>
                    <w:tr2bl w:val="nil"/>
                  </w:tcBorders>
                  <w:vAlign w:val="center"/>
                </w:tcPr>
                <w:p w14:paraId="21DD111A">
                  <w:pPr>
                    <w:pStyle w:val="83"/>
                    <w:rPr>
                      <w:rFonts w:hint="default"/>
                    </w:rPr>
                  </w:pPr>
                  <w:r>
                    <w:t>0.023</w:t>
                  </w:r>
                </w:p>
              </w:tc>
              <w:tc>
                <w:tcPr>
                  <w:tcW w:w="437" w:type="pct"/>
                  <w:vMerge w:val="continue"/>
                  <w:tcBorders>
                    <w:tl2br w:val="nil"/>
                    <w:tr2bl w:val="nil"/>
                  </w:tcBorders>
                  <w:vAlign w:val="center"/>
                </w:tcPr>
                <w:p w14:paraId="38E5E04C">
                  <w:pPr>
                    <w:pStyle w:val="83"/>
                    <w:rPr>
                      <w:rFonts w:hint="default"/>
                    </w:rPr>
                  </w:pPr>
                </w:p>
              </w:tc>
              <w:tc>
                <w:tcPr>
                  <w:tcW w:w="306" w:type="pct"/>
                  <w:tcBorders>
                    <w:tl2br w:val="nil"/>
                    <w:tr2bl w:val="nil"/>
                  </w:tcBorders>
                  <w:vAlign w:val="center"/>
                </w:tcPr>
                <w:p w14:paraId="65DA92E2">
                  <w:pPr>
                    <w:pStyle w:val="83"/>
                    <w:rPr>
                      <w:rFonts w:hint="default"/>
                    </w:rPr>
                  </w:pPr>
                  <w:r>
                    <w:t>90</w:t>
                  </w:r>
                </w:p>
              </w:tc>
              <w:tc>
                <w:tcPr>
                  <w:tcW w:w="357" w:type="pct"/>
                  <w:vMerge w:val="continue"/>
                  <w:tcBorders>
                    <w:tl2br w:val="nil"/>
                    <w:tr2bl w:val="nil"/>
                  </w:tcBorders>
                  <w:vAlign w:val="center"/>
                </w:tcPr>
                <w:p w14:paraId="0D41C8B0">
                  <w:pPr>
                    <w:pStyle w:val="83"/>
                    <w:rPr>
                      <w:rFonts w:hint="default"/>
                    </w:rPr>
                  </w:pPr>
                </w:p>
              </w:tc>
              <w:tc>
                <w:tcPr>
                  <w:tcW w:w="390" w:type="pct"/>
                  <w:tcBorders>
                    <w:tl2br w:val="nil"/>
                    <w:tr2bl w:val="nil"/>
                  </w:tcBorders>
                  <w:vAlign w:val="center"/>
                </w:tcPr>
                <w:p w14:paraId="2FBCC096">
                  <w:pPr>
                    <w:pStyle w:val="83"/>
                    <w:rPr>
                      <w:rFonts w:hint="default"/>
                    </w:rPr>
                  </w:pPr>
                  <w:r>
                    <w:t>2</w:t>
                  </w:r>
                </w:p>
              </w:tc>
              <w:tc>
                <w:tcPr>
                  <w:tcW w:w="310" w:type="pct"/>
                  <w:tcBorders>
                    <w:tl2br w:val="nil"/>
                    <w:tr2bl w:val="nil"/>
                  </w:tcBorders>
                  <w:vAlign w:val="center"/>
                </w:tcPr>
                <w:p w14:paraId="7734FA41">
                  <w:pPr>
                    <w:pStyle w:val="83"/>
                    <w:rPr>
                      <w:rFonts w:hint="default"/>
                    </w:rPr>
                  </w:pPr>
                  <w:r>
                    <w:t>/</w:t>
                  </w:r>
                </w:p>
              </w:tc>
            </w:tr>
            <w:tr w14:paraId="0176C09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0B3752D1">
                  <w:pPr>
                    <w:pStyle w:val="83"/>
                    <w:rPr>
                      <w:rFonts w:hint="default"/>
                    </w:rPr>
                  </w:pPr>
                  <w:r>
                    <w:t>干燥除湿</w:t>
                  </w:r>
                </w:p>
              </w:tc>
              <w:tc>
                <w:tcPr>
                  <w:tcW w:w="319" w:type="pct"/>
                  <w:vMerge w:val="restart"/>
                  <w:tcBorders>
                    <w:tl2br w:val="nil"/>
                    <w:tr2bl w:val="nil"/>
                  </w:tcBorders>
                  <w:vAlign w:val="center"/>
                </w:tcPr>
                <w:p w14:paraId="6470C270">
                  <w:pPr>
                    <w:pStyle w:val="83"/>
                    <w:rPr>
                      <w:rFonts w:hint="default"/>
                    </w:rPr>
                  </w:pPr>
                  <w:r>
                    <w:t>生产废水</w:t>
                  </w:r>
                </w:p>
              </w:tc>
              <w:tc>
                <w:tcPr>
                  <w:tcW w:w="981" w:type="pct"/>
                  <w:vMerge w:val="restart"/>
                  <w:tcBorders>
                    <w:tl2br w:val="nil"/>
                    <w:tr2bl w:val="nil"/>
                  </w:tcBorders>
                  <w:vAlign w:val="center"/>
                </w:tcPr>
                <w:p w14:paraId="54E02A76">
                  <w:pPr>
                    <w:pStyle w:val="83"/>
                    <w:rPr>
                      <w:rFonts w:hint="default"/>
                    </w:rPr>
                  </w:pPr>
                  <w:r>
                    <w:t>水解酸化池+IEPI高效厌氧塔+A/O池+MBR膜生物反应系统+RO反渗透系统</w:t>
                  </w:r>
                </w:p>
              </w:tc>
              <w:tc>
                <w:tcPr>
                  <w:tcW w:w="320" w:type="pct"/>
                  <w:tcBorders>
                    <w:tl2br w:val="nil"/>
                    <w:tr2bl w:val="nil"/>
                  </w:tcBorders>
                  <w:vAlign w:val="center"/>
                </w:tcPr>
                <w:p w14:paraId="36C9E0A9">
                  <w:pPr>
                    <w:pStyle w:val="83"/>
                    <w:rPr>
                      <w:rFonts w:hint="default"/>
                    </w:rPr>
                  </w:pPr>
                  <w:r>
                    <w:t>COD</w:t>
                  </w:r>
                </w:p>
              </w:tc>
              <w:tc>
                <w:tcPr>
                  <w:tcW w:w="267" w:type="pct"/>
                  <w:vMerge w:val="restart"/>
                  <w:tcBorders>
                    <w:tl2br w:val="nil"/>
                    <w:tr2bl w:val="nil"/>
                  </w:tcBorders>
                  <w:vAlign w:val="center"/>
                </w:tcPr>
                <w:p w14:paraId="79BC8D88">
                  <w:pPr>
                    <w:pStyle w:val="83"/>
                    <w:rPr>
                      <w:rFonts w:hint="default"/>
                    </w:rPr>
                  </w:pPr>
                  <w:r>
                    <w:t>类比法</w:t>
                  </w:r>
                </w:p>
              </w:tc>
              <w:tc>
                <w:tcPr>
                  <w:tcW w:w="308" w:type="pct"/>
                  <w:vMerge w:val="restart"/>
                  <w:tcBorders>
                    <w:tl2br w:val="nil"/>
                    <w:tr2bl w:val="nil"/>
                  </w:tcBorders>
                  <w:vAlign w:val="center"/>
                </w:tcPr>
                <w:p w14:paraId="518E87F3">
                  <w:pPr>
                    <w:pStyle w:val="83"/>
                    <w:rPr>
                      <w:rFonts w:hint="default"/>
                    </w:rPr>
                  </w:pPr>
                  <w:r>
                    <w:t>219</w:t>
                  </w:r>
                </w:p>
              </w:tc>
              <w:tc>
                <w:tcPr>
                  <w:tcW w:w="383" w:type="pct"/>
                  <w:tcBorders>
                    <w:tl2br w:val="nil"/>
                    <w:tr2bl w:val="nil"/>
                  </w:tcBorders>
                  <w:vAlign w:val="center"/>
                </w:tcPr>
                <w:p w14:paraId="640264B2">
                  <w:pPr>
                    <w:pStyle w:val="83"/>
                    <w:rPr>
                      <w:rFonts w:hint="default"/>
                    </w:rPr>
                  </w:pPr>
                  <w:r>
                    <w:t>60</w:t>
                  </w:r>
                </w:p>
              </w:tc>
              <w:tc>
                <w:tcPr>
                  <w:tcW w:w="323" w:type="pct"/>
                  <w:tcBorders>
                    <w:tl2br w:val="nil"/>
                    <w:tr2bl w:val="nil"/>
                  </w:tcBorders>
                  <w:vAlign w:val="center"/>
                </w:tcPr>
                <w:p w14:paraId="4ADDDE53">
                  <w:pPr>
                    <w:pStyle w:val="83"/>
                    <w:rPr>
                      <w:rFonts w:hint="default"/>
                    </w:rPr>
                  </w:pPr>
                  <w:r>
                    <w:t>0.013</w:t>
                  </w:r>
                </w:p>
              </w:tc>
              <w:tc>
                <w:tcPr>
                  <w:tcW w:w="437" w:type="pct"/>
                  <w:vMerge w:val="restart"/>
                  <w:tcBorders>
                    <w:tl2br w:val="nil"/>
                    <w:tr2bl w:val="nil"/>
                  </w:tcBorders>
                  <w:vAlign w:val="center"/>
                </w:tcPr>
                <w:p w14:paraId="3CA6F1F1">
                  <w:pPr>
                    <w:pStyle w:val="83"/>
                    <w:rPr>
                      <w:rFonts w:hint="default"/>
                    </w:rPr>
                  </w:pPr>
                  <w:r>
                    <w:t>水解酸化+高效厌氧+厌氧好氧+MBR+RO</w:t>
                  </w:r>
                </w:p>
              </w:tc>
              <w:tc>
                <w:tcPr>
                  <w:tcW w:w="306" w:type="pct"/>
                  <w:tcBorders>
                    <w:tl2br w:val="nil"/>
                    <w:tr2bl w:val="nil"/>
                  </w:tcBorders>
                  <w:vAlign w:val="center"/>
                </w:tcPr>
                <w:p w14:paraId="6B9C7195">
                  <w:pPr>
                    <w:pStyle w:val="83"/>
                    <w:rPr>
                      <w:rFonts w:hint="default"/>
                    </w:rPr>
                  </w:pPr>
                  <w:r>
                    <w:t>99</w:t>
                  </w:r>
                </w:p>
              </w:tc>
              <w:tc>
                <w:tcPr>
                  <w:tcW w:w="357" w:type="pct"/>
                  <w:vMerge w:val="restart"/>
                  <w:tcBorders>
                    <w:tl2br w:val="nil"/>
                    <w:tr2bl w:val="nil"/>
                  </w:tcBorders>
                  <w:vAlign w:val="center"/>
                </w:tcPr>
                <w:p w14:paraId="6BBE4275">
                  <w:pPr>
                    <w:pStyle w:val="83"/>
                    <w:rPr>
                      <w:rFonts w:hint="default"/>
                    </w:rPr>
                  </w:pPr>
                  <w:r>
                    <w:t>/</w:t>
                  </w:r>
                </w:p>
              </w:tc>
              <w:tc>
                <w:tcPr>
                  <w:tcW w:w="390" w:type="pct"/>
                  <w:tcBorders>
                    <w:tl2br w:val="nil"/>
                    <w:tr2bl w:val="nil"/>
                  </w:tcBorders>
                  <w:vAlign w:val="center"/>
                </w:tcPr>
                <w:p w14:paraId="7D0880E8">
                  <w:pPr>
                    <w:pStyle w:val="83"/>
                    <w:rPr>
                      <w:rFonts w:hint="default"/>
                    </w:rPr>
                  </w:pPr>
                  <w:r>
                    <w:t>0.6</w:t>
                  </w:r>
                </w:p>
              </w:tc>
              <w:tc>
                <w:tcPr>
                  <w:tcW w:w="310" w:type="pct"/>
                  <w:tcBorders>
                    <w:tl2br w:val="nil"/>
                    <w:tr2bl w:val="nil"/>
                  </w:tcBorders>
                  <w:vAlign w:val="center"/>
                </w:tcPr>
                <w:p w14:paraId="4A462E9B">
                  <w:pPr>
                    <w:pStyle w:val="83"/>
                    <w:rPr>
                      <w:rFonts w:hint="default"/>
                    </w:rPr>
                  </w:pPr>
                  <w:r>
                    <w:t>/</w:t>
                  </w:r>
                </w:p>
              </w:tc>
            </w:tr>
            <w:tr w14:paraId="5F01432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43C5F608">
                  <w:pPr>
                    <w:pStyle w:val="83"/>
                    <w:rPr>
                      <w:rFonts w:hint="default"/>
                    </w:rPr>
                  </w:pPr>
                </w:p>
              </w:tc>
              <w:tc>
                <w:tcPr>
                  <w:tcW w:w="319" w:type="pct"/>
                  <w:vMerge w:val="continue"/>
                  <w:tcBorders>
                    <w:tl2br w:val="nil"/>
                    <w:tr2bl w:val="nil"/>
                  </w:tcBorders>
                  <w:vAlign w:val="center"/>
                </w:tcPr>
                <w:p w14:paraId="1C7C60B5">
                  <w:pPr>
                    <w:pStyle w:val="83"/>
                    <w:rPr>
                      <w:rFonts w:hint="default"/>
                    </w:rPr>
                  </w:pPr>
                </w:p>
              </w:tc>
              <w:tc>
                <w:tcPr>
                  <w:tcW w:w="981" w:type="pct"/>
                  <w:vMerge w:val="continue"/>
                  <w:tcBorders>
                    <w:tl2br w:val="nil"/>
                    <w:tr2bl w:val="nil"/>
                  </w:tcBorders>
                  <w:vAlign w:val="center"/>
                </w:tcPr>
                <w:p w14:paraId="6A96CFDA">
                  <w:pPr>
                    <w:pStyle w:val="83"/>
                    <w:rPr>
                      <w:rFonts w:hint="default"/>
                    </w:rPr>
                  </w:pPr>
                </w:p>
              </w:tc>
              <w:tc>
                <w:tcPr>
                  <w:tcW w:w="320" w:type="pct"/>
                  <w:tcBorders>
                    <w:tl2br w:val="nil"/>
                    <w:tr2bl w:val="nil"/>
                  </w:tcBorders>
                  <w:vAlign w:val="center"/>
                </w:tcPr>
                <w:p w14:paraId="36B0BEB4">
                  <w:pPr>
                    <w:pStyle w:val="83"/>
                    <w:rPr>
                      <w:rFonts w:hint="default"/>
                    </w:rPr>
                  </w:pPr>
                  <w:r>
                    <w:t>BOD</w:t>
                  </w:r>
                  <w:r>
                    <w:rPr>
                      <w:vertAlign w:val="subscript"/>
                    </w:rPr>
                    <w:t>5</w:t>
                  </w:r>
                </w:p>
              </w:tc>
              <w:tc>
                <w:tcPr>
                  <w:tcW w:w="267" w:type="pct"/>
                  <w:vMerge w:val="continue"/>
                  <w:tcBorders>
                    <w:tl2br w:val="nil"/>
                    <w:tr2bl w:val="nil"/>
                  </w:tcBorders>
                  <w:vAlign w:val="center"/>
                </w:tcPr>
                <w:p w14:paraId="3590D76F">
                  <w:pPr>
                    <w:pStyle w:val="83"/>
                    <w:rPr>
                      <w:rFonts w:hint="default"/>
                    </w:rPr>
                  </w:pPr>
                </w:p>
              </w:tc>
              <w:tc>
                <w:tcPr>
                  <w:tcW w:w="308" w:type="pct"/>
                  <w:vMerge w:val="continue"/>
                  <w:tcBorders>
                    <w:tl2br w:val="nil"/>
                    <w:tr2bl w:val="nil"/>
                  </w:tcBorders>
                  <w:vAlign w:val="center"/>
                </w:tcPr>
                <w:p w14:paraId="10A58136">
                  <w:pPr>
                    <w:pStyle w:val="83"/>
                    <w:rPr>
                      <w:rFonts w:hint="default"/>
                    </w:rPr>
                  </w:pPr>
                </w:p>
              </w:tc>
              <w:tc>
                <w:tcPr>
                  <w:tcW w:w="383" w:type="pct"/>
                  <w:tcBorders>
                    <w:tl2br w:val="nil"/>
                    <w:tr2bl w:val="nil"/>
                  </w:tcBorders>
                  <w:vAlign w:val="center"/>
                </w:tcPr>
                <w:p w14:paraId="385ABDD3">
                  <w:pPr>
                    <w:pStyle w:val="83"/>
                    <w:rPr>
                      <w:rFonts w:hint="default"/>
                    </w:rPr>
                  </w:pPr>
                  <w:r>
                    <w:t>10</w:t>
                  </w:r>
                </w:p>
              </w:tc>
              <w:tc>
                <w:tcPr>
                  <w:tcW w:w="323" w:type="pct"/>
                  <w:tcBorders>
                    <w:tl2br w:val="nil"/>
                    <w:tr2bl w:val="nil"/>
                  </w:tcBorders>
                  <w:vAlign w:val="center"/>
                </w:tcPr>
                <w:p w14:paraId="0C310CE4">
                  <w:pPr>
                    <w:pStyle w:val="83"/>
                    <w:rPr>
                      <w:rFonts w:hint="default"/>
                    </w:rPr>
                  </w:pPr>
                  <w:r>
                    <w:t>0.0022</w:t>
                  </w:r>
                </w:p>
              </w:tc>
              <w:tc>
                <w:tcPr>
                  <w:tcW w:w="437" w:type="pct"/>
                  <w:vMerge w:val="continue"/>
                  <w:tcBorders>
                    <w:tl2br w:val="nil"/>
                    <w:tr2bl w:val="nil"/>
                  </w:tcBorders>
                  <w:vAlign w:val="center"/>
                </w:tcPr>
                <w:p w14:paraId="50C83402">
                  <w:pPr>
                    <w:pStyle w:val="83"/>
                    <w:rPr>
                      <w:rFonts w:hint="default"/>
                    </w:rPr>
                  </w:pPr>
                </w:p>
              </w:tc>
              <w:tc>
                <w:tcPr>
                  <w:tcW w:w="306" w:type="pct"/>
                  <w:tcBorders>
                    <w:tl2br w:val="nil"/>
                    <w:tr2bl w:val="nil"/>
                  </w:tcBorders>
                  <w:vAlign w:val="center"/>
                </w:tcPr>
                <w:p w14:paraId="2B801EDF">
                  <w:pPr>
                    <w:pStyle w:val="83"/>
                    <w:rPr>
                      <w:rFonts w:hint="default"/>
                    </w:rPr>
                  </w:pPr>
                  <w:r>
                    <w:t>99.5</w:t>
                  </w:r>
                </w:p>
              </w:tc>
              <w:tc>
                <w:tcPr>
                  <w:tcW w:w="357" w:type="pct"/>
                  <w:vMerge w:val="continue"/>
                  <w:tcBorders>
                    <w:tl2br w:val="nil"/>
                    <w:tr2bl w:val="nil"/>
                  </w:tcBorders>
                  <w:vAlign w:val="center"/>
                </w:tcPr>
                <w:p w14:paraId="6D2D2B4C">
                  <w:pPr>
                    <w:pStyle w:val="83"/>
                    <w:rPr>
                      <w:rFonts w:hint="default"/>
                    </w:rPr>
                  </w:pPr>
                </w:p>
              </w:tc>
              <w:tc>
                <w:tcPr>
                  <w:tcW w:w="390" w:type="pct"/>
                  <w:tcBorders>
                    <w:tl2br w:val="nil"/>
                    <w:tr2bl w:val="nil"/>
                  </w:tcBorders>
                  <w:vAlign w:val="center"/>
                </w:tcPr>
                <w:p w14:paraId="78E2FE17">
                  <w:pPr>
                    <w:pStyle w:val="83"/>
                    <w:rPr>
                      <w:rFonts w:hint="default"/>
                    </w:rPr>
                  </w:pPr>
                  <w:r>
                    <w:t>0.05</w:t>
                  </w:r>
                </w:p>
              </w:tc>
              <w:tc>
                <w:tcPr>
                  <w:tcW w:w="310" w:type="pct"/>
                  <w:tcBorders>
                    <w:tl2br w:val="nil"/>
                    <w:tr2bl w:val="nil"/>
                  </w:tcBorders>
                  <w:vAlign w:val="center"/>
                </w:tcPr>
                <w:p w14:paraId="373A9F62">
                  <w:pPr>
                    <w:pStyle w:val="83"/>
                    <w:rPr>
                      <w:rFonts w:hint="default"/>
                    </w:rPr>
                  </w:pPr>
                  <w:r>
                    <w:t>/</w:t>
                  </w:r>
                </w:p>
              </w:tc>
            </w:tr>
            <w:tr w14:paraId="5B3F172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4E79ECC2">
                  <w:pPr>
                    <w:pStyle w:val="83"/>
                    <w:rPr>
                      <w:rFonts w:hint="default"/>
                    </w:rPr>
                  </w:pPr>
                </w:p>
              </w:tc>
              <w:tc>
                <w:tcPr>
                  <w:tcW w:w="319" w:type="pct"/>
                  <w:vMerge w:val="continue"/>
                  <w:tcBorders>
                    <w:tl2br w:val="nil"/>
                    <w:tr2bl w:val="nil"/>
                  </w:tcBorders>
                  <w:vAlign w:val="center"/>
                </w:tcPr>
                <w:p w14:paraId="367CB428">
                  <w:pPr>
                    <w:pStyle w:val="83"/>
                    <w:rPr>
                      <w:rFonts w:hint="default"/>
                    </w:rPr>
                  </w:pPr>
                </w:p>
              </w:tc>
              <w:tc>
                <w:tcPr>
                  <w:tcW w:w="981" w:type="pct"/>
                  <w:vMerge w:val="continue"/>
                  <w:tcBorders>
                    <w:tl2br w:val="nil"/>
                    <w:tr2bl w:val="nil"/>
                  </w:tcBorders>
                  <w:vAlign w:val="center"/>
                </w:tcPr>
                <w:p w14:paraId="691828A9">
                  <w:pPr>
                    <w:pStyle w:val="83"/>
                    <w:rPr>
                      <w:rFonts w:hint="default"/>
                    </w:rPr>
                  </w:pPr>
                </w:p>
              </w:tc>
              <w:tc>
                <w:tcPr>
                  <w:tcW w:w="320" w:type="pct"/>
                  <w:tcBorders>
                    <w:tl2br w:val="nil"/>
                    <w:tr2bl w:val="nil"/>
                  </w:tcBorders>
                  <w:vAlign w:val="center"/>
                </w:tcPr>
                <w:p w14:paraId="5EDCDC32">
                  <w:pPr>
                    <w:pStyle w:val="83"/>
                    <w:rPr>
                      <w:rFonts w:hint="default"/>
                    </w:rPr>
                  </w:pPr>
                  <w:r>
                    <w:t>SS</w:t>
                  </w:r>
                </w:p>
              </w:tc>
              <w:tc>
                <w:tcPr>
                  <w:tcW w:w="267" w:type="pct"/>
                  <w:vMerge w:val="continue"/>
                  <w:tcBorders>
                    <w:tl2br w:val="nil"/>
                    <w:tr2bl w:val="nil"/>
                  </w:tcBorders>
                  <w:vAlign w:val="center"/>
                </w:tcPr>
                <w:p w14:paraId="59F84D38">
                  <w:pPr>
                    <w:pStyle w:val="83"/>
                    <w:rPr>
                      <w:rFonts w:hint="default"/>
                    </w:rPr>
                  </w:pPr>
                </w:p>
              </w:tc>
              <w:tc>
                <w:tcPr>
                  <w:tcW w:w="308" w:type="pct"/>
                  <w:vMerge w:val="continue"/>
                  <w:tcBorders>
                    <w:tl2br w:val="nil"/>
                    <w:tr2bl w:val="nil"/>
                  </w:tcBorders>
                  <w:vAlign w:val="center"/>
                </w:tcPr>
                <w:p w14:paraId="25B73C21">
                  <w:pPr>
                    <w:pStyle w:val="83"/>
                    <w:rPr>
                      <w:rFonts w:hint="default"/>
                    </w:rPr>
                  </w:pPr>
                </w:p>
              </w:tc>
              <w:tc>
                <w:tcPr>
                  <w:tcW w:w="383" w:type="pct"/>
                  <w:tcBorders>
                    <w:tl2br w:val="nil"/>
                    <w:tr2bl w:val="nil"/>
                  </w:tcBorders>
                  <w:vAlign w:val="center"/>
                </w:tcPr>
                <w:p w14:paraId="018A8F37">
                  <w:pPr>
                    <w:pStyle w:val="83"/>
                    <w:rPr>
                      <w:rFonts w:hint="default"/>
                    </w:rPr>
                  </w:pPr>
                  <w:r>
                    <w:t>30</w:t>
                  </w:r>
                </w:p>
              </w:tc>
              <w:tc>
                <w:tcPr>
                  <w:tcW w:w="323" w:type="pct"/>
                  <w:tcBorders>
                    <w:tl2br w:val="nil"/>
                    <w:tr2bl w:val="nil"/>
                  </w:tcBorders>
                  <w:vAlign w:val="center"/>
                </w:tcPr>
                <w:p w14:paraId="3BA4E08F">
                  <w:pPr>
                    <w:pStyle w:val="83"/>
                    <w:rPr>
                      <w:rFonts w:hint="default"/>
                    </w:rPr>
                  </w:pPr>
                  <w:r>
                    <w:t>0.0066</w:t>
                  </w:r>
                </w:p>
              </w:tc>
              <w:tc>
                <w:tcPr>
                  <w:tcW w:w="437" w:type="pct"/>
                  <w:vMerge w:val="continue"/>
                  <w:tcBorders>
                    <w:tl2br w:val="nil"/>
                    <w:tr2bl w:val="nil"/>
                  </w:tcBorders>
                  <w:vAlign w:val="center"/>
                </w:tcPr>
                <w:p w14:paraId="3F47B4E7">
                  <w:pPr>
                    <w:pStyle w:val="83"/>
                    <w:rPr>
                      <w:rFonts w:hint="default"/>
                    </w:rPr>
                  </w:pPr>
                </w:p>
              </w:tc>
              <w:tc>
                <w:tcPr>
                  <w:tcW w:w="306" w:type="pct"/>
                  <w:tcBorders>
                    <w:tl2br w:val="nil"/>
                    <w:tr2bl w:val="nil"/>
                  </w:tcBorders>
                  <w:vAlign w:val="center"/>
                </w:tcPr>
                <w:p w14:paraId="3CF3D6E3">
                  <w:pPr>
                    <w:pStyle w:val="83"/>
                    <w:rPr>
                      <w:rFonts w:hint="default"/>
                    </w:rPr>
                  </w:pPr>
                  <w:r>
                    <w:t>96</w:t>
                  </w:r>
                </w:p>
              </w:tc>
              <w:tc>
                <w:tcPr>
                  <w:tcW w:w="357" w:type="pct"/>
                  <w:vMerge w:val="continue"/>
                  <w:tcBorders>
                    <w:tl2br w:val="nil"/>
                    <w:tr2bl w:val="nil"/>
                  </w:tcBorders>
                  <w:vAlign w:val="center"/>
                </w:tcPr>
                <w:p w14:paraId="71879B8D">
                  <w:pPr>
                    <w:pStyle w:val="83"/>
                    <w:rPr>
                      <w:rFonts w:hint="default"/>
                    </w:rPr>
                  </w:pPr>
                </w:p>
              </w:tc>
              <w:tc>
                <w:tcPr>
                  <w:tcW w:w="390" w:type="pct"/>
                  <w:tcBorders>
                    <w:tl2br w:val="nil"/>
                    <w:tr2bl w:val="nil"/>
                  </w:tcBorders>
                  <w:vAlign w:val="center"/>
                </w:tcPr>
                <w:p w14:paraId="7A676F4C">
                  <w:pPr>
                    <w:pStyle w:val="83"/>
                    <w:rPr>
                      <w:rFonts w:hint="default"/>
                    </w:rPr>
                  </w:pPr>
                  <w:r>
                    <w:t>1.2</w:t>
                  </w:r>
                </w:p>
              </w:tc>
              <w:tc>
                <w:tcPr>
                  <w:tcW w:w="310" w:type="pct"/>
                  <w:tcBorders>
                    <w:tl2br w:val="nil"/>
                    <w:tr2bl w:val="nil"/>
                  </w:tcBorders>
                  <w:vAlign w:val="center"/>
                </w:tcPr>
                <w:p w14:paraId="6D25B935">
                  <w:pPr>
                    <w:pStyle w:val="83"/>
                    <w:rPr>
                      <w:rFonts w:hint="default"/>
                    </w:rPr>
                  </w:pPr>
                  <w:r>
                    <w:t>/</w:t>
                  </w:r>
                </w:p>
              </w:tc>
            </w:tr>
            <w:tr w14:paraId="12EDAD5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1E68C2A3">
                  <w:pPr>
                    <w:pStyle w:val="83"/>
                    <w:rPr>
                      <w:rFonts w:hint="default"/>
                    </w:rPr>
                  </w:pPr>
                </w:p>
              </w:tc>
              <w:tc>
                <w:tcPr>
                  <w:tcW w:w="319" w:type="pct"/>
                  <w:vMerge w:val="continue"/>
                  <w:tcBorders>
                    <w:tl2br w:val="nil"/>
                    <w:tr2bl w:val="nil"/>
                  </w:tcBorders>
                  <w:vAlign w:val="center"/>
                </w:tcPr>
                <w:p w14:paraId="33FF9DEA">
                  <w:pPr>
                    <w:pStyle w:val="83"/>
                    <w:rPr>
                      <w:rFonts w:hint="default"/>
                    </w:rPr>
                  </w:pPr>
                </w:p>
              </w:tc>
              <w:tc>
                <w:tcPr>
                  <w:tcW w:w="981" w:type="pct"/>
                  <w:vMerge w:val="continue"/>
                  <w:tcBorders>
                    <w:tl2br w:val="nil"/>
                    <w:tr2bl w:val="nil"/>
                  </w:tcBorders>
                  <w:vAlign w:val="center"/>
                </w:tcPr>
                <w:p w14:paraId="7059E469">
                  <w:pPr>
                    <w:pStyle w:val="83"/>
                    <w:rPr>
                      <w:rFonts w:hint="default"/>
                    </w:rPr>
                  </w:pPr>
                </w:p>
              </w:tc>
              <w:tc>
                <w:tcPr>
                  <w:tcW w:w="320" w:type="pct"/>
                  <w:tcBorders>
                    <w:tl2br w:val="nil"/>
                    <w:tr2bl w:val="nil"/>
                  </w:tcBorders>
                  <w:vAlign w:val="center"/>
                </w:tcPr>
                <w:p w14:paraId="439C7825">
                  <w:pPr>
                    <w:pStyle w:val="83"/>
                    <w:rPr>
                      <w:rFonts w:hint="default"/>
                    </w:rPr>
                  </w:pPr>
                  <w:r>
                    <w:t>氨氮</w:t>
                  </w:r>
                </w:p>
              </w:tc>
              <w:tc>
                <w:tcPr>
                  <w:tcW w:w="267" w:type="pct"/>
                  <w:vMerge w:val="continue"/>
                  <w:tcBorders>
                    <w:tl2br w:val="nil"/>
                    <w:tr2bl w:val="nil"/>
                  </w:tcBorders>
                  <w:vAlign w:val="center"/>
                </w:tcPr>
                <w:p w14:paraId="64BA01C6">
                  <w:pPr>
                    <w:pStyle w:val="83"/>
                    <w:rPr>
                      <w:rFonts w:hint="default"/>
                    </w:rPr>
                  </w:pPr>
                </w:p>
              </w:tc>
              <w:tc>
                <w:tcPr>
                  <w:tcW w:w="308" w:type="pct"/>
                  <w:vMerge w:val="continue"/>
                  <w:tcBorders>
                    <w:tl2br w:val="nil"/>
                    <w:tr2bl w:val="nil"/>
                  </w:tcBorders>
                  <w:vAlign w:val="center"/>
                </w:tcPr>
                <w:p w14:paraId="4EE2FD11">
                  <w:pPr>
                    <w:pStyle w:val="83"/>
                    <w:rPr>
                      <w:rFonts w:hint="default"/>
                    </w:rPr>
                  </w:pPr>
                </w:p>
              </w:tc>
              <w:tc>
                <w:tcPr>
                  <w:tcW w:w="383" w:type="pct"/>
                  <w:tcBorders>
                    <w:tl2br w:val="nil"/>
                    <w:tr2bl w:val="nil"/>
                  </w:tcBorders>
                  <w:vAlign w:val="center"/>
                </w:tcPr>
                <w:p w14:paraId="751363D8">
                  <w:pPr>
                    <w:pStyle w:val="83"/>
                    <w:rPr>
                      <w:rFonts w:hint="default"/>
                    </w:rPr>
                  </w:pPr>
                  <w:r>
                    <w:t>10</w:t>
                  </w:r>
                </w:p>
              </w:tc>
              <w:tc>
                <w:tcPr>
                  <w:tcW w:w="323" w:type="pct"/>
                  <w:tcBorders>
                    <w:tl2br w:val="nil"/>
                    <w:tr2bl w:val="nil"/>
                  </w:tcBorders>
                  <w:vAlign w:val="center"/>
                </w:tcPr>
                <w:p w14:paraId="03EA3A2D">
                  <w:pPr>
                    <w:pStyle w:val="83"/>
                    <w:rPr>
                      <w:rFonts w:hint="default"/>
                    </w:rPr>
                  </w:pPr>
                  <w:r>
                    <w:t>0.0022</w:t>
                  </w:r>
                </w:p>
              </w:tc>
              <w:tc>
                <w:tcPr>
                  <w:tcW w:w="437" w:type="pct"/>
                  <w:vMerge w:val="continue"/>
                  <w:tcBorders>
                    <w:tl2br w:val="nil"/>
                    <w:tr2bl w:val="nil"/>
                  </w:tcBorders>
                  <w:vAlign w:val="center"/>
                </w:tcPr>
                <w:p w14:paraId="4BC6889E">
                  <w:pPr>
                    <w:pStyle w:val="83"/>
                    <w:rPr>
                      <w:rFonts w:hint="default"/>
                    </w:rPr>
                  </w:pPr>
                </w:p>
              </w:tc>
              <w:tc>
                <w:tcPr>
                  <w:tcW w:w="306" w:type="pct"/>
                  <w:tcBorders>
                    <w:tl2br w:val="nil"/>
                    <w:tr2bl w:val="nil"/>
                  </w:tcBorders>
                  <w:vAlign w:val="center"/>
                </w:tcPr>
                <w:p w14:paraId="1A73FF0D">
                  <w:pPr>
                    <w:pStyle w:val="83"/>
                    <w:rPr>
                      <w:rFonts w:hint="default"/>
                    </w:rPr>
                  </w:pPr>
                  <w:r>
                    <w:t>99.5</w:t>
                  </w:r>
                </w:p>
              </w:tc>
              <w:tc>
                <w:tcPr>
                  <w:tcW w:w="357" w:type="pct"/>
                  <w:vMerge w:val="continue"/>
                  <w:tcBorders>
                    <w:tl2br w:val="nil"/>
                    <w:tr2bl w:val="nil"/>
                  </w:tcBorders>
                  <w:vAlign w:val="center"/>
                </w:tcPr>
                <w:p w14:paraId="6F0C4D8B">
                  <w:pPr>
                    <w:pStyle w:val="83"/>
                    <w:rPr>
                      <w:rFonts w:hint="default"/>
                    </w:rPr>
                  </w:pPr>
                </w:p>
              </w:tc>
              <w:tc>
                <w:tcPr>
                  <w:tcW w:w="390" w:type="pct"/>
                  <w:tcBorders>
                    <w:tl2br w:val="nil"/>
                    <w:tr2bl w:val="nil"/>
                  </w:tcBorders>
                  <w:vAlign w:val="center"/>
                </w:tcPr>
                <w:p w14:paraId="4607B3B3">
                  <w:pPr>
                    <w:pStyle w:val="83"/>
                    <w:rPr>
                      <w:rFonts w:hint="default"/>
                    </w:rPr>
                  </w:pPr>
                  <w:r>
                    <w:t>0.05</w:t>
                  </w:r>
                </w:p>
              </w:tc>
              <w:tc>
                <w:tcPr>
                  <w:tcW w:w="310" w:type="pct"/>
                  <w:tcBorders>
                    <w:tl2br w:val="nil"/>
                    <w:tr2bl w:val="nil"/>
                  </w:tcBorders>
                  <w:vAlign w:val="center"/>
                </w:tcPr>
                <w:p w14:paraId="3085AA94">
                  <w:pPr>
                    <w:pStyle w:val="83"/>
                    <w:rPr>
                      <w:rFonts w:hint="default"/>
                    </w:rPr>
                  </w:pPr>
                  <w:r>
                    <w:t>/</w:t>
                  </w:r>
                </w:p>
              </w:tc>
            </w:tr>
            <w:tr w14:paraId="16878AF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432061BD">
                  <w:pPr>
                    <w:pStyle w:val="83"/>
                    <w:rPr>
                      <w:rFonts w:hint="default"/>
                    </w:rPr>
                  </w:pPr>
                </w:p>
              </w:tc>
              <w:tc>
                <w:tcPr>
                  <w:tcW w:w="319" w:type="pct"/>
                  <w:vMerge w:val="continue"/>
                  <w:tcBorders>
                    <w:tl2br w:val="nil"/>
                    <w:tr2bl w:val="nil"/>
                  </w:tcBorders>
                  <w:vAlign w:val="center"/>
                </w:tcPr>
                <w:p w14:paraId="4C5255CB">
                  <w:pPr>
                    <w:pStyle w:val="83"/>
                    <w:rPr>
                      <w:rFonts w:hint="default"/>
                    </w:rPr>
                  </w:pPr>
                </w:p>
              </w:tc>
              <w:tc>
                <w:tcPr>
                  <w:tcW w:w="981" w:type="pct"/>
                  <w:vMerge w:val="continue"/>
                  <w:tcBorders>
                    <w:tl2br w:val="nil"/>
                    <w:tr2bl w:val="nil"/>
                  </w:tcBorders>
                  <w:vAlign w:val="center"/>
                </w:tcPr>
                <w:p w14:paraId="0DB22730">
                  <w:pPr>
                    <w:pStyle w:val="83"/>
                    <w:rPr>
                      <w:rFonts w:hint="default"/>
                    </w:rPr>
                  </w:pPr>
                </w:p>
              </w:tc>
              <w:tc>
                <w:tcPr>
                  <w:tcW w:w="320" w:type="pct"/>
                  <w:tcBorders>
                    <w:tl2br w:val="nil"/>
                    <w:tr2bl w:val="nil"/>
                  </w:tcBorders>
                  <w:vAlign w:val="center"/>
                </w:tcPr>
                <w:p w14:paraId="06961922">
                  <w:pPr>
                    <w:pStyle w:val="83"/>
                    <w:rPr>
                      <w:rFonts w:hint="default"/>
                    </w:rPr>
                  </w:pPr>
                  <w:r>
                    <w:t>石油类</w:t>
                  </w:r>
                </w:p>
              </w:tc>
              <w:tc>
                <w:tcPr>
                  <w:tcW w:w="267" w:type="pct"/>
                  <w:vMerge w:val="continue"/>
                  <w:tcBorders>
                    <w:tl2br w:val="nil"/>
                    <w:tr2bl w:val="nil"/>
                  </w:tcBorders>
                  <w:vAlign w:val="center"/>
                </w:tcPr>
                <w:p w14:paraId="474EE5C6">
                  <w:pPr>
                    <w:pStyle w:val="83"/>
                    <w:rPr>
                      <w:rFonts w:hint="default"/>
                    </w:rPr>
                  </w:pPr>
                </w:p>
              </w:tc>
              <w:tc>
                <w:tcPr>
                  <w:tcW w:w="308" w:type="pct"/>
                  <w:vMerge w:val="continue"/>
                  <w:tcBorders>
                    <w:tl2br w:val="nil"/>
                    <w:tr2bl w:val="nil"/>
                  </w:tcBorders>
                  <w:vAlign w:val="center"/>
                </w:tcPr>
                <w:p w14:paraId="38D1AE27">
                  <w:pPr>
                    <w:pStyle w:val="83"/>
                    <w:rPr>
                      <w:rFonts w:hint="default"/>
                    </w:rPr>
                  </w:pPr>
                </w:p>
              </w:tc>
              <w:tc>
                <w:tcPr>
                  <w:tcW w:w="383" w:type="pct"/>
                  <w:tcBorders>
                    <w:tl2br w:val="nil"/>
                    <w:tr2bl w:val="nil"/>
                  </w:tcBorders>
                  <w:vAlign w:val="center"/>
                </w:tcPr>
                <w:p w14:paraId="5F12E41C">
                  <w:pPr>
                    <w:pStyle w:val="83"/>
                    <w:rPr>
                      <w:rFonts w:hint="default"/>
                    </w:rPr>
                  </w:pPr>
                  <w:r>
                    <w:t>1</w:t>
                  </w:r>
                </w:p>
              </w:tc>
              <w:tc>
                <w:tcPr>
                  <w:tcW w:w="323" w:type="pct"/>
                  <w:tcBorders>
                    <w:tl2br w:val="nil"/>
                    <w:tr2bl w:val="nil"/>
                  </w:tcBorders>
                  <w:vAlign w:val="center"/>
                </w:tcPr>
                <w:p w14:paraId="72C5ED1F">
                  <w:pPr>
                    <w:pStyle w:val="83"/>
                    <w:rPr>
                      <w:rFonts w:hint="default"/>
                    </w:rPr>
                  </w:pPr>
                  <w:r>
                    <w:t>0.0002</w:t>
                  </w:r>
                </w:p>
              </w:tc>
              <w:tc>
                <w:tcPr>
                  <w:tcW w:w="437" w:type="pct"/>
                  <w:vMerge w:val="continue"/>
                  <w:tcBorders>
                    <w:tl2br w:val="nil"/>
                    <w:tr2bl w:val="nil"/>
                  </w:tcBorders>
                  <w:vAlign w:val="center"/>
                </w:tcPr>
                <w:p w14:paraId="2E26AE22">
                  <w:pPr>
                    <w:pStyle w:val="83"/>
                    <w:rPr>
                      <w:rFonts w:hint="default"/>
                    </w:rPr>
                  </w:pPr>
                </w:p>
              </w:tc>
              <w:tc>
                <w:tcPr>
                  <w:tcW w:w="306" w:type="pct"/>
                  <w:tcBorders>
                    <w:tl2br w:val="nil"/>
                    <w:tr2bl w:val="nil"/>
                  </w:tcBorders>
                  <w:vAlign w:val="center"/>
                </w:tcPr>
                <w:p w14:paraId="1CF3092C">
                  <w:pPr>
                    <w:pStyle w:val="83"/>
                    <w:rPr>
                      <w:rFonts w:hint="default"/>
                    </w:rPr>
                  </w:pPr>
                  <w:r>
                    <w:t>99</w:t>
                  </w:r>
                </w:p>
              </w:tc>
              <w:tc>
                <w:tcPr>
                  <w:tcW w:w="357" w:type="pct"/>
                  <w:vMerge w:val="continue"/>
                  <w:tcBorders>
                    <w:tl2br w:val="nil"/>
                    <w:tr2bl w:val="nil"/>
                  </w:tcBorders>
                  <w:vAlign w:val="center"/>
                </w:tcPr>
                <w:p w14:paraId="32B3A704">
                  <w:pPr>
                    <w:pStyle w:val="83"/>
                    <w:rPr>
                      <w:rFonts w:hint="default"/>
                    </w:rPr>
                  </w:pPr>
                </w:p>
              </w:tc>
              <w:tc>
                <w:tcPr>
                  <w:tcW w:w="390" w:type="pct"/>
                  <w:tcBorders>
                    <w:tl2br w:val="nil"/>
                    <w:tr2bl w:val="nil"/>
                  </w:tcBorders>
                  <w:vAlign w:val="center"/>
                </w:tcPr>
                <w:p w14:paraId="311B099D">
                  <w:pPr>
                    <w:pStyle w:val="83"/>
                    <w:rPr>
                      <w:rFonts w:hint="default"/>
                    </w:rPr>
                  </w:pPr>
                  <w:r>
                    <w:t>0.01</w:t>
                  </w:r>
                </w:p>
              </w:tc>
              <w:tc>
                <w:tcPr>
                  <w:tcW w:w="310" w:type="pct"/>
                  <w:tcBorders>
                    <w:tl2br w:val="nil"/>
                    <w:tr2bl w:val="nil"/>
                  </w:tcBorders>
                  <w:vAlign w:val="center"/>
                </w:tcPr>
                <w:p w14:paraId="754C989C">
                  <w:pPr>
                    <w:pStyle w:val="83"/>
                    <w:rPr>
                      <w:rFonts w:hint="default"/>
                    </w:rPr>
                  </w:pPr>
                  <w:r>
                    <w:t>/</w:t>
                  </w:r>
                </w:p>
              </w:tc>
            </w:tr>
            <w:tr w14:paraId="32E5DE4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68E9F32D">
                  <w:pPr>
                    <w:pStyle w:val="83"/>
                    <w:rPr>
                      <w:rFonts w:hint="default"/>
                    </w:rPr>
                  </w:pPr>
                </w:p>
              </w:tc>
              <w:tc>
                <w:tcPr>
                  <w:tcW w:w="319" w:type="pct"/>
                  <w:vMerge w:val="continue"/>
                  <w:tcBorders>
                    <w:tl2br w:val="nil"/>
                    <w:tr2bl w:val="nil"/>
                  </w:tcBorders>
                  <w:vAlign w:val="center"/>
                </w:tcPr>
                <w:p w14:paraId="7222E4F4">
                  <w:pPr>
                    <w:pStyle w:val="83"/>
                    <w:rPr>
                      <w:rFonts w:hint="default"/>
                    </w:rPr>
                  </w:pPr>
                </w:p>
              </w:tc>
              <w:tc>
                <w:tcPr>
                  <w:tcW w:w="981" w:type="pct"/>
                  <w:vMerge w:val="continue"/>
                  <w:tcBorders>
                    <w:tl2br w:val="nil"/>
                    <w:tr2bl w:val="nil"/>
                  </w:tcBorders>
                  <w:vAlign w:val="center"/>
                </w:tcPr>
                <w:p w14:paraId="3FB65C27">
                  <w:pPr>
                    <w:pStyle w:val="83"/>
                    <w:rPr>
                      <w:rFonts w:hint="default"/>
                    </w:rPr>
                  </w:pPr>
                </w:p>
              </w:tc>
              <w:tc>
                <w:tcPr>
                  <w:tcW w:w="320" w:type="pct"/>
                  <w:tcBorders>
                    <w:tl2br w:val="nil"/>
                    <w:tr2bl w:val="nil"/>
                  </w:tcBorders>
                  <w:vAlign w:val="center"/>
                </w:tcPr>
                <w:p w14:paraId="51FA1337">
                  <w:pPr>
                    <w:pStyle w:val="83"/>
                    <w:rPr>
                      <w:rFonts w:hint="default"/>
                    </w:rPr>
                  </w:pPr>
                  <w:r>
                    <w:t>总有机碳</w:t>
                  </w:r>
                </w:p>
              </w:tc>
              <w:tc>
                <w:tcPr>
                  <w:tcW w:w="267" w:type="pct"/>
                  <w:vMerge w:val="continue"/>
                  <w:tcBorders>
                    <w:tl2br w:val="nil"/>
                    <w:tr2bl w:val="nil"/>
                  </w:tcBorders>
                  <w:vAlign w:val="center"/>
                </w:tcPr>
                <w:p w14:paraId="01C01707">
                  <w:pPr>
                    <w:pStyle w:val="83"/>
                    <w:rPr>
                      <w:rFonts w:hint="default"/>
                    </w:rPr>
                  </w:pPr>
                </w:p>
              </w:tc>
              <w:tc>
                <w:tcPr>
                  <w:tcW w:w="308" w:type="pct"/>
                  <w:vMerge w:val="continue"/>
                  <w:tcBorders>
                    <w:tl2br w:val="nil"/>
                    <w:tr2bl w:val="nil"/>
                  </w:tcBorders>
                  <w:vAlign w:val="center"/>
                </w:tcPr>
                <w:p w14:paraId="41400630">
                  <w:pPr>
                    <w:pStyle w:val="83"/>
                    <w:rPr>
                      <w:rFonts w:hint="default"/>
                    </w:rPr>
                  </w:pPr>
                </w:p>
              </w:tc>
              <w:tc>
                <w:tcPr>
                  <w:tcW w:w="383" w:type="pct"/>
                  <w:tcBorders>
                    <w:tl2br w:val="nil"/>
                    <w:tr2bl w:val="nil"/>
                  </w:tcBorders>
                  <w:vAlign w:val="center"/>
                </w:tcPr>
                <w:p w14:paraId="503A4471">
                  <w:pPr>
                    <w:pStyle w:val="83"/>
                    <w:rPr>
                      <w:rFonts w:hint="default"/>
                    </w:rPr>
                  </w:pPr>
                  <w:r>
                    <w:t>20</w:t>
                  </w:r>
                </w:p>
              </w:tc>
              <w:tc>
                <w:tcPr>
                  <w:tcW w:w="323" w:type="pct"/>
                  <w:tcBorders>
                    <w:tl2br w:val="nil"/>
                    <w:tr2bl w:val="nil"/>
                  </w:tcBorders>
                  <w:vAlign w:val="center"/>
                </w:tcPr>
                <w:p w14:paraId="66608E32">
                  <w:pPr>
                    <w:pStyle w:val="83"/>
                    <w:rPr>
                      <w:rFonts w:hint="default"/>
                    </w:rPr>
                  </w:pPr>
                  <w:r>
                    <w:t>0.004</w:t>
                  </w:r>
                </w:p>
              </w:tc>
              <w:tc>
                <w:tcPr>
                  <w:tcW w:w="437" w:type="pct"/>
                  <w:vMerge w:val="continue"/>
                  <w:tcBorders>
                    <w:tl2br w:val="nil"/>
                    <w:tr2bl w:val="nil"/>
                  </w:tcBorders>
                  <w:vAlign w:val="center"/>
                </w:tcPr>
                <w:p w14:paraId="213C0AA1">
                  <w:pPr>
                    <w:pStyle w:val="83"/>
                    <w:rPr>
                      <w:rFonts w:hint="default"/>
                    </w:rPr>
                  </w:pPr>
                </w:p>
              </w:tc>
              <w:tc>
                <w:tcPr>
                  <w:tcW w:w="306" w:type="pct"/>
                  <w:tcBorders>
                    <w:tl2br w:val="nil"/>
                    <w:tr2bl w:val="nil"/>
                  </w:tcBorders>
                  <w:vAlign w:val="center"/>
                </w:tcPr>
                <w:p w14:paraId="17707CA3">
                  <w:pPr>
                    <w:pStyle w:val="83"/>
                    <w:rPr>
                      <w:rFonts w:hint="default"/>
                    </w:rPr>
                  </w:pPr>
                  <w:r>
                    <w:t>90</w:t>
                  </w:r>
                </w:p>
              </w:tc>
              <w:tc>
                <w:tcPr>
                  <w:tcW w:w="357" w:type="pct"/>
                  <w:vMerge w:val="continue"/>
                  <w:tcBorders>
                    <w:tl2br w:val="nil"/>
                    <w:tr2bl w:val="nil"/>
                  </w:tcBorders>
                  <w:vAlign w:val="center"/>
                </w:tcPr>
                <w:p w14:paraId="516A2AE4">
                  <w:pPr>
                    <w:pStyle w:val="83"/>
                    <w:rPr>
                      <w:rFonts w:hint="default"/>
                    </w:rPr>
                  </w:pPr>
                </w:p>
              </w:tc>
              <w:tc>
                <w:tcPr>
                  <w:tcW w:w="390" w:type="pct"/>
                  <w:tcBorders>
                    <w:tl2br w:val="nil"/>
                    <w:tr2bl w:val="nil"/>
                  </w:tcBorders>
                  <w:vAlign w:val="center"/>
                </w:tcPr>
                <w:p w14:paraId="70FC5713">
                  <w:pPr>
                    <w:pStyle w:val="83"/>
                    <w:rPr>
                      <w:rFonts w:hint="default"/>
                    </w:rPr>
                  </w:pPr>
                  <w:r>
                    <w:t>2</w:t>
                  </w:r>
                </w:p>
              </w:tc>
              <w:tc>
                <w:tcPr>
                  <w:tcW w:w="310" w:type="pct"/>
                  <w:tcBorders>
                    <w:tl2br w:val="nil"/>
                    <w:tr2bl w:val="nil"/>
                  </w:tcBorders>
                  <w:vAlign w:val="center"/>
                </w:tcPr>
                <w:p w14:paraId="1BA56379">
                  <w:pPr>
                    <w:pStyle w:val="83"/>
                    <w:rPr>
                      <w:rFonts w:hint="default"/>
                    </w:rPr>
                  </w:pPr>
                  <w:r>
                    <w:t>/</w:t>
                  </w:r>
                </w:p>
              </w:tc>
            </w:tr>
            <w:tr w14:paraId="3E39896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378CB138">
                  <w:pPr>
                    <w:pStyle w:val="83"/>
                    <w:rPr>
                      <w:rFonts w:hint="default"/>
                    </w:rPr>
                  </w:pPr>
                  <w:r>
                    <w:t>研发设备</w:t>
                  </w:r>
                </w:p>
              </w:tc>
              <w:tc>
                <w:tcPr>
                  <w:tcW w:w="319" w:type="pct"/>
                  <w:vMerge w:val="restart"/>
                  <w:tcBorders>
                    <w:tl2br w:val="nil"/>
                    <w:tr2bl w:val="nil"/>
                  </w:tcBorders>
                  <w:vAlign w:val="center"/>
                </w:tcPr>
                <w:p w14:paraId="2B777501">
                  <w:pPr>
                    <w:pStyle w:val="83"/>
                    <w:rPr>
                      <w:rFonts w:hint="default"/>
                    </w:rPr>
                  </w:pPr>
                  <w:r>
                    <w:t>生产废水</w:t>
                  </w:r>
                </w:p>
              </w:tc>
              <w:tc>
                <w:tcPr>
                  <w:tcW w:w="981" w:type="pct"/>
                  <w:vMerge w:val="restart"/>
                  <w:tcBorders>
                    <w:tl2br w:val="nil"/>
                    <w:tr2bl w:val="nil"/>
                  </w:tcBorders>
                  <w:vAlign w:val="center"/>
                </w:tcPr>
                <w:p w14:paraId="20D08207">
                  <w:pPr>
                    <w:pStyle w:val="83"/>
                    <w:rPr>
                      <w:rFonts w:hint="default"/>
                    </w:rPr>
                  </w:pPr>
                  <w:r>
                    <w:t>水解酸化池+IEPI高效厌氧塔+A/O池+MBR膜生物反应系统+RO反渗透系统</w:t>
                  </w:r>
                </w:p>
              </w:tc>
              <w:tc>
                <w:tcPr>
                  <w:tcW w:w="320" w:type="pct"/>
                  <w:tcBorders>
                    <w:tl2br w:val="nil"/>
                    <w:tr2bl w:val="nil"/>
                  </w:tcBorders>
                  <w:vAlign w:val="center"/>
                </w:tcPr>
                <w:p w14:paraId="7A191823">
                  <w:pPr>
                    <w:pStyle w:val="83"/>
                    <w:rPr>
                      <w:rFonts w:hint="default"/>
                    </w:rPr>
                  </w:pPr>
                  <w:r>
                    <w:t>COD</w:t>
                  </w:r>
                </w:p>
              </w:tc>
              <w:tc>
                <w:tcPr>
                  <w:tcW w:w="267" w:type="pct"/>
                  <w:vMerge w:val="restart"/>
                  <w:tcBorders>
                    <w:tl2br w:val="nil"/>
                    <w:tr2bl w:val="nil"/>
                  </w:tcBorders>
                  <w:vAlign w:val="center"/>
                </w:tcPr>
                <w:p w14:paraId="2FBFEF80">
                  <w:pPr>
                    <w:pStyle w:val="83"/>
                    <w:rPr>
                      <w:rFonts w:hint="default"/>
                    </w:rPr>
                  </w:pPr>
                  <w:r>
                    <w:t>类比法</w:t>
                  </w:r>
                </w:p>
              </w:tc>
              <w:tc>
                <w:tcPr>
                  <w:tcW w:w="308" w:type="pct"/>
                  <w:vMerge w:val="restart"/>
                  <w:tcBorders>
                    <w:tl2br w:val="nil"/>
                    <w:tr2bl w:val="nil"/>
                  </w:tcBorders>
                  <w:vAlign w:val="center"/>
                </w:tcPr>
                <w:p w14:paraId="7153D3D8">
                  <w:pPr>
                    <w:pStyle w:val="83"/>
                    <w:rPr>
                      <w:rFonts w:hint="default"/>
                    </w:rPr>
                  </w:pPr>
                  <w:r>
                    <w:t>3102.5</w:t>
                  </w:r>
                </w:p>
              </w:tc>
              <w:tc>
                <w:tcPr>
                  <w:tcW w:w="383" w:type="pct"/>
                  <w:tcBorders>
                    <w:tl2br w:val="nil"/>
                    <w:tr2bl w:val="nil"/>
                  </w:tcBorders>
                  <w:vAlign w:val="center"/>
                </w:tcPr>
                <w:p w14:paraId="37F2F736">
                  <w:pPr>
                    <w:pStyle w:val="83"/>
                    <w:rPr>
                      <w:rFonts w:hint="default"/>
                    </w:rPr>
                  </w:pPr>
                  <w:r>
                    <w:t>60</w:t>
                  </w:r>
                </w:p>
              </w:tc>
              <w:tc>
                <w:tcPr>
                  <w:tcW w:w="323" w:type="pct"/>
                  <w:tcBorders>
                    <w:tl2br w:val="nil"/>
                    <w:tr2bl w:val="nil"/>
                  </w:tcBorders>
                  <w:vAlign w:val="center"/>
                </w:tcPr>
                <w:p w14:paraId="7F02A243">
                  <w:pPr>
                    <w:pStyle w:val="83"/>
                    <w:rPr>
                      <w:rFonts w:hint="default"/>
                    </w:rPr>
                  </w:pPr>
                  <w:r>
                    <w:t>0.19</w:t>
                  </w:r>
                </w:p>
              </w:tc>
              <w:tc>
                <w:tcPr>
                  <w:tcW w:w="437" w:type="pct"/>
                  <w:vMerge w:val="restart"/>
                  <w:tcBorders>
                    <w:tl2br w:val="nil"/>
                    <w:tr2bl w:val="nil"/>
                  </w:tcBorders>
                  <w:vAlign w:val="center"/>
                </w:tcPr>
                <w:p w14:paraId="2317E7C4">
                  <w:pPr>
                    <w:pStyle w:val="83"/>
                    <w:rPr>
                      <w:rFonts w:hint="default"/>
                    </w:rPr>
                  </w:pPr>
                  <w:r>
                    <w:t>水解酸化+高效厌氧+厌氧好氧+MBR+RO</w:t>
                  </w:r>
                </w:p>
              </w:tc>
              <w:tc>
                <w:tcPr>
                  <w:tcW w:w="306" w:type="pct"/>
                  <w:tcBorders>
                    <w:tl2br w:val="nil"/>
                    <w:tr2bl w:val="nil"/>
                  </w:tcBorders>
                  <w:vAlign w:val="center"/>
                </w:tcPr>
                <w:p w14:paraId="672314C1">
                  <w:pPr>
                    <w:pStyle w:val="83"/>
                    <w:rPr>
                      <w:rFonts w:hint="default"/>
                    </w:rPr>
                  </w:pPr>
                  <w:r>
                    <w:t>99</w:t>
                  </w:r>
                </w:p>
              </w:tc>
              <w:tc>
                <w:tcPr>
                  <w:tcW w:w="357" w:type="pct"/>
                  <w:vMerge w:val="restart"/>
                  <w:tcBorders>
                    <w:tl2br w:val="nil"/>
                    <w:tr2bl w:val="nil"/>
                  </w:tcBorders>
                  <w:vAlign w:val="center"/>
                </w:tcPr>
                <w:p w14:paraId="47E0260D">
                  <w:pPr>
                    <w:pStyle w:val="83"/>
                    <w:rPr>
                      <w:rFonts w:hint="default"/>
                    </w:rPr>
                  </w:pPr>
                  <w:r>
                    <w:t>/</w:t>
                  </w:r>
                </w:p>
              </w:tc>
              <w:tc>
                <w:tcPr>
                  <w:tcW w:w="390" w:type="pct"/>
                  <w:tcBorders>
                    <w:tl2br w:val="nil"/>
                    <w:tr2bl w:val="nil"/>
                  </w:tcBorders>
                  <w:vAlign w:val="center"/>
                </w:tcPr>
                <w:p w14:paraId="7D2096D0">
                  <w:pPr>
                    <w:pStyle w:val="83"/>
                    <w:rPr>
                      <w:rFonts w:hint="default"/>
                    </w:rPr>
                  </w:pPr>
                  <w:r>
                    <w:t>0.6</w:t>
                  </w:r>
                </w:p>
              </w:tc>
              <w:tc>
                <w:tcPr>
                  <w:tcW w:w="310" w:type="pct"/>
                  <w:tcBorders>
                    <w:tl2br w:val="nil"/>
                    <w:tr2bl w:val="nil"/>
                  </w:tcBorders>
                  <w:vAlign w:val="center"/>
                </w:tcPr>
                <w:p w14:paraId="66469E73">
                  <w:pPr>
                    <w:pStyle w:val="83"/>
                    <w:rPr>
                      <w:rFonts w:hint="default"/>
                    </w:rPr>
                  </w:pPr>
                  <w:r>
                    <w:t>/</w:t>
                  </w:r>
                </w:p>
              </w:tc>
            </w:tr>
            <w:tr w14:paraId="1296D81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40591646">
                  <w:pPr>
                    <w:pStyle w:val="83"/>
                    <w:rPr>
                      <w:rFonts w:hint="default"/>
                    </w:rPr>
                  </w:pPr>
                </w:p>
              </w:tc>
              <w:tc>
                <w:tcPr>
                  <w:tcW w:w="319" w:type="pct"/>
                  <w:vMerge w:val="continue"/>
                  <w:tcBorders>
                    <w:tl2br w:val="nil"/>
                    <w:tr2bl w:val="nil"/>
                  </w:tcBorders>
                  <w:vAlign w:val="center"/>
                </w:tcPr>
                <w:p w14:paraId="34B85DD0">
                  <w:pPr>
                    <w:pStyle w:val="83"/>
                    <w:rPr>
                      <w:rFonts w:hint="default"/>
                    </w:rPr>
                  </w:pPr>
                </w:p>
              </w:tc>
              <w:tc>
                <w:tcPr>
                  <w:tcW w:w="981" w:type="pct"/>
                  <w:vMerge w:val="continue"/>
                  <w:tcBorders>
                    <w:tl2br w:val="nil"/>
                    <w:tr2bl w:val="nil"/>
                  </w:tcBorders>
                  <w:vAlign w:val="center"/>
                </w:tcPr>
                <w:p w14:paraId="1FF3BAFF">
                  <w:pPr>
                    <w:pStyle w:val="83"/>
                    <w:rPr>
                      <w:rFonts w:hint="default"/>
                    </w:rPr>
                  </w:pPr>
                </w:p>
              </w:tc>
              <w:tc>
                <w:tcPr>
                  <w:tcW w:w="320" w:type="pct"/>
                  <w:tcBorders>
                    <w:tl2br w:val="nil"/>
                    <w:tr2bl w:val="nil"/>
                  </w:tcBorders>
                  <w:vAlign w:val="center"/>
                </w:tcPr>
                <w:p w14:paraId="64599895">
                  <w:pPr>
                    <w:pStyle w:val="83"/>
                    <w:rPr>
                      <w:rFonts w:hint="default"/>
                    </w:rPr>
                  </w:pPr>
                  <w:r>
                    <w:t>BOD</w:t>
                  </w:r>
                  <w:r>
                    <w:rPr>
                      <w:vertAlign w:val="subscript"/>
                    </w:rPr>
                    <w:t>5</w:t>
                  </w:r>
                </w:p>
              </w:tc>
              <w:tc>
                <w:tcPr>
                  <w:tcW w:w="267" w:type="pct"/>
                  <w:vMerge w:val="continue"/>
                  <w:tcBorders>
                    <w:tl2br w:val="nil"/>
                    <w:tr2bl w:val="nil"/>
                  </w:tcBorders>
                  <w:vAlign w:val="center"/>
                </w:tcPr>
                <w:p w14:paraId="5C3F8510">
                  <w:pPr>
                    <w:pStyle w:val="83"/>
                    <w:rPr>
                      <w:rFonts w:hint="default"/>
                    </w:rPr>
                  </w:pPr>
                </w:p>
              </w:tc>
              <w:tc>
                <w:tcPr>
                  <w:tcW w:w="308" w:type="pct"/>
                  <w:vMerge w:val="continue"/>
                  <w:tcBorders>
                    <w:tl2br w:val="nil"/>
                    <w:tr2bl w:val="nil"/>
                  </w:tcBorders>
                  <w:vAlign w:val="center"/>
                </w:tcPr>
                <w:p w14:paraId="0BE09719">
                  <w:pPr>
                    <w:pStyle w:val="83"/>
                    <w:rPr>
                      <w:rFonts w:hint="default"/>
                    </w:rPr>
                  </w:pPr>
                </w:p>
              </w:tc>
              <w:tc>
                <w:tcPr>
                  <w:tcW w:w="383" w:type="pct"/>
                  <w:tcBorders>
                    <w:tl2br w:val="nil"/>
                    <w:tr2bl w:val="nil"/>
                  </w:tcBorders>
                  <w:vAlign w:val="center"/>
                </w:tcPr>
                <w:p w14:paraId="42115D38">
                  <w:pPr>
                    <w:pStyle w:val="83"/>
                    <w:rPr>
                      <w:rFonts w:hint="default"/>
                    </w:rPr>
                  </w:pPr>
                  <w:r>
                    <w:t>10</w:t>
                  </w:r>
                </w:p>
              </w:tc>
              <w:tc>
                <w:tcPr>
                  <w:tcW w:w="323" w:type="pct"/>
                  <w:tcBorders>
                    <w:tl2br w:val="nil"/>
                    <w:tr2bl w:val="nil"/>
                  </w:tcBorders>
                  <w:vAlign w:val="center"/>
                </w:tcPr>
                <w:p w14:paraId="2F31FD98">
                  <w:pPr>
                    <w:pStyle w:val="83"/>
                    <w:rPr>
                      <w:rFonts w:hint="default"/>
                    </w:rPr>
                  </w:pPr>
                  <w:r>
                    <w:t>0.031</w:t>
                  </w:r>
                </w:p>
              </w:tc>
              <w:tc>
                <w:tcPr>
                  <w:tcW w:w="437" w:type="pct"/>
                  <w:vMerge w:val="continue"/>
                  <w:tcBorders>
                    <w:tl2br w:val="nil"/>
                    <w:tr2bl w:val="nil"/>
                  </w:tcBorders>
                  <w:vAlign w:val="center"/>
                </w:tcPr>
                <w:p w14:paraId="2BDA784D">
                  <w:pPr>
                    <w:pStyle w:val="83"/>
                    <w:rPr>
                      <w:rFonts w:hint="default"/>
                    </w:rPr>
                  </w:pPr>
                </w:p>
              </w:tc>
              <w:tc>
                <w:tcPr>
                  <w:tcW w:w="306" w:type="pct"/>
                  <w:tcBorders>
                    <w:tl2br w:val="nil"/>
                    <w:tr2bl w:val="nil"/>
                  </w:tcBorders>
                  <w:vAlign w:val="center"/>
                </w:tcPr>
                <w:p w14:paraId="7745F1C5">
                  <w:pPr>
                    <w:pStyle w:val="83"/>
                    <w:rPr>
                      <w:rFonts w:hint="default"/>
                    </w:rPr>
                  </w:pPr>
                  <w:r>
                    <w:t>99.5</w:t>
                  </w:r>
                </w:p>
              </w:tc>
              <w:tc>
                <w:tcPr>
                  <w:tcW w:w="357" w:type="pct"/>
                  <w:vMerge w:val="continue"/>
                  <w:tcBorders>
                    <w:tl2br w:val="nil"/>
                    <w:tr2bl w:val="nil"/>
                  </w:tcBorders>
                  <w:vAlign w:val="center"/>
                </w:tcPr>
                <w:p w14:paraId="5158FD90">
                  <w:pPr>
                    <w:pStyle w:val="83"/>
                    <w:rPr>
                      <w:rFonts w:hint="default"/>
                    </w:rPr>
                  </w:pPr>
                </w:p>
              </w:tc>
              <w:tc>
                <w:tcPr>
                  <w:tcW w:w="390" w:type="pct"/>
                  <w:tcBorders>
                    <w:tl2br w:val="nil"/>
                    <w:tr2bl w:val="nil"/>
                  </w:tcBorders>
                  <w:vAlign w:val="center"/>
                </w:tcPr>
                <w:p w14:paraId="5E0465D6">
                  <w:pPr>
                    <w:pStyle w:val="83"/>
                    <w:rPr>
                      <w:rFonts w:hint="default"/>
                    </w:rPr>
                  </w:pPr>
                  <w:r>
                    <w:t>0.05</w:t>
                  </w:r>
                </w:p>
              </w:tc>
              <w:tc>
                <w:tcPr>
                  <w:tcW w:w="310" w:type="pct"/>
                  <w:tcBorders>
                    <w:tl2br w:val="nil"/>
                    <w:tr2bl w:val="nil"/>
                  </w:tcBorders>
                  <w:vAlign w:val="center"/>
                </w:tcPr>
                <w:p w14:paraId="69C3AB7D">
                  <w:pPr>
                    <w:pStyle w:val="83"/>
                    <w:rPr>
                      <w:rFonts w:hint="default"/>
                    </w:rPr>
                  </w:pPr>
                  <w:r>
                    <w:t>/</w:t>
                  </w:r>
                </w:p>
              </w:tc>
            </w:tr>
            <w:tr w14:paraId="05B539F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3FEBCF1B">
                  <w:pPr>
                    <w:pStyle w:val="83"/>
                    <w:rPr>
                      <w:rFonts w:hint="default"/>
                    </w:rPr>
                  </w:pPr>
                </w:p>
              </w:tc>
              <w:tc>
                <w:tcPr>
                  <w:tcW w:w="319" w:type="pct"/>
                  <w:vMerge w:val="continue"/>
                  <w:tcBorders>
                    <w:tl2br w:val="nil"/>
                    <w:tr2bl w:val="nil"/>
                  </w:tcBorders>
                  <w:vAlign w:val="center"/>
                </w:tcPr>
                <w:p w14:paraId="54750ADC">
                  <w:pPr>
                    <w:pStyle w:val="83"/>
                    <w:rPr>
                      <w:rFonts w:hint="default"/>
                    </w:rPr>
                  </w:pPr>
                </w:p>
              </w:tc>
              <w:tc>
                <w:tcPr>
                  <w:tcW w:w="981" w:type="pct"/>
                  <w:vMerge w:val="continue"/>
                  <w:tcBorders>
                    <w:tl2br w:val="nil"/>
                    <w:tr2bl w:val="nil"/>
                  </w:tcBorders>
                  <w:vAlign w:val="center"/>
                </w:tcPr>
                <w:p w14:paraId="292E81C6">
                  <w:pPr>
                    <w:pStyle w:val="83"/>
                    <w:rPr>
                      <w:rFonts w:hint="default"/>
                    </w:rPr>
                  </w:pPr>
                </w:p>
              </w:tc>
              <w:tc>
                <w:tcPr>
                  <w:tcW w:w="320" w:type="pct"/>
                  <w:tcBorders>
                    <w:tl2br w:val="nil"/>
                    <w:tr2bl w:val="nil"/>
                  </w:tcBorders>
                  <w:vAlign w:val="center"/>
                </w:tcPr>
                <w:p w14:paraId="78355953">
                  <w:pPr>
                    <w:pStyle w:val="83"/>
                    <w:rPr>
                      <w:rFonts w:hint="default"/>
                    </w:rPr>
                  </w:pPr>
                  <w:r>
                    <w:t>SS</w:t>
                  </w:r>
                </w:p>
              </w:tc>
              <w:tc>
                <w:tcPr>
                  <w:tcW w:w="267" w:type="pct"/>
                  <w:vMerge w:val="continue"/>
                  <w:tcBorders>
                    <w:tl2br w:val="nil"/>
                    <w:tr2bl w:val="nil"/>
                  </w:tcBorders>
                  <w:vAlign w:val="center"/>
                </w:tcPr>
                <w:p w14:paraId="31B0C189">
                  <w:pPr>
                    <w:pStyle w:val="83"/>
                    <w:rPr>
                      <w:rFonts w:hint="default"/>
                    </w:rPr>
                  </w:pPr>
                </w:p>
              </w:tc>
              <w:tc>
                <w:tcPr>
                  <w:tcW w:w="308" w:type="pct"/>
                  <w:vMerge w:val="continue"/>
                  <w:tcBorders>
                    <w:tl2br w:val="nil"/>
                    <w:tr2bl w:val="nil"/>
                  </w:tcBorders>
                  <w:vAlign w:val="center"/>
                </w:tcPr>
                <w:p w14:paraId="64FD6C53">
                  <w:pPr>
                    <w:pStyle w:val="83"/>
                    <w:rPr>
                      <w:rFonts w:hint="default"/>
                    </w:rPr>
                  </w:pPr>
                </w:p>
              </w:tc>
              <w:tc>
                <w:tcPr>
                  <w:tcW w:w="383" w:type="pct"/>
                  <w:tcBorders>
                    <w:tl2br w:val="nil"/>
                    <w:tr2bl w:val="nil"/>
                  </w:tcBorders>
                  <w:vAlign w:val="center"/>
                </w:tcPr>
                <w:p w14:paraId="693197E6">
                  <w:pPr>
                    <w:pStyle w:val="83"/>
                    <w:rPr>
                      <w:rFonts w:hint="default"/>
                    </w:rPr>
                  </w:pPr>
                  <w:r>
                    <w:t>30</w:t>
                  </w:r>
                </w:p>
              </w:tc>
              <w:tc>
                <w:tcPr>
                  <w:tcW w:w="323" w:type="pct"/>
                  <w:tcBorders>
                    <w:tl2br w:val="nil"/>
                    <w:tr2bl w:val="nil"/>
                  </w:tcBorders>
                  <w:vAlign w:val="center"/>
                </w:tcPr>
                <w:p w14:paraId="2E9D340A">
                  <w:pPr>
                    <w:pStyle w:val="83"/>
                    <w:rPr>
                      <w:rFonts w:hint="default"/>
                    </w:rPr>
                  </w:pPr>
                  <w:r>
                    <w:t>0.093</w:t>
                  </w:r>
                </w:p>
              </w:tc>
              <w:tc>
                <w:tcPr>
                  <w:tcW w:w="437" w:type="pct"/>
                  <w:vMerge w:val="continue"/>
                  <w:tcBorders>
                    <w:tl2br w:val="nil"/>
                    <w:tr2bl w:val="nil"/>
                  </w:tcBorders>
                  <w:vAlign w:val="center"/>
                </w:tcPr>
                <w:p w14:paraId="5FE2232C">
                  <w:pPr>
                    <w:pStyle w:val="83"/>
                    <w:rPr>
                      <w:rFonts w:hint="default"/>
                    </w:rPr>
                  </w:pPr>
                </w:p>
              </w:tc>
              <w:tc>
                <w:tcPr>
                  <w:tcW w:w="306" w:type="pct"/>
                  <w:tcBorders>
                    <w:tl2br w:val="nil"/>
                    <w:tr2bl w:val="nil"/>
                  </w:tcBorders>
                  <w:vAlign w:val="center"/>
                </w:tcPr>
                <w:p w14:paraId="016C2A07">
                  <w:pPr>
                    <w:pStyle w:val="83"/>
                    <w:rPr>
                      <w:rFonts w:hint="default"/>
                    </w:rPr>
                  </w:pPr>
                  <w:r>
                    <w:t>96</w:t>
                  </w:r>
                </w:p>
              </w:tc>
              <w:tc>
                <w:tcPr>
                  <w:tcW w:w="357" w:type="pct"/>
                  <w:vMerge w:val="continue"/>
                  <w:tcBorders>
                    <w:tl2br w:val="nil"/>
                    <w:tr2bl w:val="nil"/>
                  </w:tcBorders>
                  <w:vAlign w:val="center"/>
                </w:tcPr>
                <w:p w14:paraId="2D94F642">
                  <w:pPr>
                    <w:pStyle w:val="83"/>
                    <w:rPr>
                      <w:rFonts w:hint="default"/>
                    </w:rPr>
                  </w:pPr>
                </w:p>
              </w:tc>
              <w:tc>
                <w:tcPr>
                  <w:tcW w:w="390" w:type="pct"/>
                  <w:tcBorders>
                    <w:tl2br w:val="nil"/>
                    <w:tr2bl w:val="nil"/>
                  </w:tcBorders>
                  <w:vAlign w:val="center"/>
                </w:tcPr>
                <w:p w14:paraId="46B7FFCB">
                  <w:pPr>
                    <w:pStyle w:val="83"/>
                    <w:rPr>
                      <w:rFonts w:hint="default"/>
                    </w:rPr>
                  </w:pPr>
                  <w:r>
                    <w:t>1.2</w:t>
                  </w:r>
                </w:p>
              </w:tc>
              <w:tc>
                <w:tcPr>
                  <w:tcW w:w="310" w:type="pct"/>
                  <w:tcBorders>
                    <w:tl2br w:val="nil"/>
                    <w:tr2bl w:val="nil"/>
                  </w:tcBorders>
                  <w:vAlign w:val="center"/>
                </w:tcPr>
                <w:p w14:paraId="1BDCEE78">
                  <w:pPr>
                    <w:pStyle w:val="83"/>
                    <w:rPr>
                      <w:rFonts w:hint="default"/>
                    </w:rPr>
                  </w:pPr>
                  <w:r>
                    <w:t>/</w:t>
                  </w:r>
                </w:p>
              </w:tc>
            </w:tr>
            <w:tr w14:paraId="3153D77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147DF122">
                  <w:pPr>
                    <w:pStyle w:val="83"/>
                    <w:rPr>
                      <w:rFonts w:hint="default"/>
                    </w:rPr>
                  </w:pPr>
                </w:p>
              </w:tc>
              <w:tc>
                <w:tcPr>
                  <w:tcW w:w="319" w:type="pct"/>
                  <w:vMerge w:val="continue"/>
                  <w:tcBorders>
                    <w:tl2br w:val="nil"/>
                    <w:tr2bl w:val="nil"/>
                  </w:tcBorders>
                  <w:vAlign w:val="center"/>
                </w:tcPr>
                <w:p w14:paraId="3E985981">
                  <w:pPr>
                    <w:pStyle w:val="83"/>
                    <w:rPr>
                      <w:rFonts w:hint="default"/>
                    </w:rPr>
                  </w:pPr>
                </w:p>
              </w:tc>
              <w:tc>
                <w:tcPr>
                  <w:tcW w:w="981" w:type="pct"/>
                  <w:vMerge w:val="continue"/>
                  <w:tcBorders>
                    <w:tl2br w:val="nil"/>
                    <w:tr2bl w:val="nil"/>
                  </w:tcBorders>
                  <w:vAlign w:val="center"/>
                </w:tcPr>
                <w:p w14:paraId="75AE6D85">
                  <w:pPr>
                    <w:pStyle w:val="83"/>
                    <w:rPr>
                      <w:rFonts w:hint="default"/>
                    </w:rPr>
                  </w:pPr>
                </w:p>
              </w:tc>
              <w:tc>
                <w:tcPr>
                  <w:tcW w:w="320" w:type="pct"/>
                  <w:tcBorders>
                    <w:tl2br w:val="nil"/>
                    <w:tr2bl w:val="nil"/>
                  </w:tcBorders>
                  <w:vAlign w:val="center"/>
                </w:tcPr>
                <w:p w14:paraId="3FAC8858">
                  <w:pPr>
                    <w:pStyle w:val="83"/>
                    <w:rPr>
                      <w:rFonts w:hint="default"/>
                    </w:rPr>
                  </w:pPr>
                  <w:r>
                    <w:t>氨氮</w:t>
                  </w:r>
                </w:p>
              </w:tc>
              <w:tc>
                <w:tcPr>
                  <w:tcW w:w="267" w:type="pct"/>
                  <w:vMerge w:val="continue"/>
                  <w:tcBorders>
                    <w:tl2br w:val="nil"/>
                    <w:tr2bl w:val="nil"/>
                  </w:tcBorders>
                  <w:vAlign w:val="center"/>
                </w:tcPr>
                <w:p w14:paraId="58F769B7">
                  <w:pPr>
                    <w:pStyle w:val="83"/>
                    <w:rPr>
                      <w:rFonts w:hint="default"/>
                    </w:rPr>
                  </w:pPr>
                </w:p>
              </w:tc>
              <w:tc>
                <w:tcPr>
                  <w:tcW w:w="308" w:type="pct"/>
                  <w:vMerge w:val="continue"/>
                  <w:tcBorders>
                    <w:tl2br w:val="nil"/>
                    <w:tr2bl w:val="nil"/>
                  </w:tcBorders>
                  <w:vAlign w:val="center"/>
                </w:tcPr>
                <w:p w14:paraId="269F71D7">
                  <w:pPr>
                    <w:pStyle w:val="83"/>
                    <w:rPr>
                      <w:rFonts w:hint="default"/>
                    </w:rPr>
                  </w:pPr>
                </w:p>
              </w:tc>
              <w:tc>
                <w:tcPr>
                  <w:tcW w:w="383" w:type="pct"/>
                  <w:tcBorders>
                    <w:tl2br w:val="nil"/>
                    <w:tr2bl w:val="nil"/>
                  </w:tcBorders>
                  <w:vAlign w:val="center"/>
                </w:tcPr>
                <w:p w14:paraId="4DDF0F36">
                  <w:pPr>
                    <w:pStyle w:val="83"/>
                    <w:rPr>
                      <w:rFonts w:hint="default"/>
                    </w:rPr>
                  </w:pPr>
                  <w:r>
                    <w:t>10</w:t>
                  </w:r>
                </w:p>
              </w:tc>
              <w:tc>
                <w:tcPr>
                  <w:tcW w:w="323" w:type="pct"/>
                  <w:tcBorders>
                    <w:tl2br w:val="nil"/>
                    <w:tr2bl w:val="nil"/>
                  </w:tcBorders>
                  <w:vAlign w:val="center"/>
                </w:tcPr>
                <w:p w14:paraId="015756C0">
                  <w:pPr>
                    <w:pStyle w:val="83"/>
                    <w:rPr>
                      <w:rFonts w:hint="default"/>
                    </w:rPr>
                  </w:pPr>
                  <w:r>
                    <w:t>0.031</w:t>
                  </w:r>
                </w:p>
              </w:tc>
              <w:tc>
                <w:tcPr>
                  <w:tcW w:w="437" w:type="pct"/>
                  <w:vMerge w:val="continue"/>
                  <w:tcBorders>
                    <w:tl2br w:val="nil"/>
                    <w:tr2bl w:val="nil"/>
                  </w:tcBorders>
                  <w:vAlign w:val="center"/>
                </w:tcPr>
                <w:p w14:paraId="0EA7A5D9">
                  <w:pPr>
                    <w:pStyle w:val="83"/>
                    <w:rPr>
                      <w:rFonts w:hint="default"/>
                    </w:rPr>
                  </w:pPr>
                </w:p>
              </w:tc>
              <w:tc>
                <w:tcPr>
                  <w:tcW w:w="306" w:type="pct"/>
                  <w:tcBorders>
                    <w:tl2br w:val="nil"/>
                    <w:tr2bl w:val="nil"/>
                  </w:tcBorders>
                  <w:vAlign w:val="center"/>
                </w:tcPr>
                <w:p w14:paraId="50921BBF">
                  <w:pPr>
                    <w:pStyle w:val="83"/>
                    <w:rPr>
                      <w:rFonts w:hint="default"/>
                    </w:rPr>
                  </w:pPr>
                  <w:r>
                    <w:t>99.5</w:t>
                  </w:r>
                </w:p>
              </w:tc>
              <w:tc>
                <w:tcPr>
                  <w:tcW w:w="357" w:type="pct"/>
                  <w:vMerge w:val="continue"/>
                  <w:tcBorders>
                    <w:tl2br w:val="nil"/>
                    <w:tr2bl w:val="nil"/>
                  </w:tcBorders>
                  <w:vAlign w:val="center"/>
                </w:tcPr>
                <w:p w14:paraId="103F5049">
                  <w:pPr>
                    <w:pStyle w:val="83"/>
                    <w:rPr>
                      <w:rFonts w:hint="default"/>
                    </w:rPr>
                  </w:pPr>
                </w:p>
              </w:tc>
              <w:tc>
                <w:tcPr>
                  <w:tcW w:w="390" w:type="pct"/>
                  <w:tcBorders>
                    <w:tl2br w:val="nil"/>
                    <w:tr2bl w:val="nil"/>
                  </w:tcBorders>
                  <w:vAlign w:val="center"/>
                </w:tcPr>
                <w:p w14:paraId="67F7ACE0">
                  <w:pPr>
                    <w:pStyle w:val="83"/>
                    <w:rPr>
                      <w:rFonts w:hint="default"/>
                    </w:rPr>
                  </w:pPr>
                  <w:r>
                    <w:t>0.05</w:t>
                  </w:r>
                </w:p>
              </w:tc>
              <w:tc>
                <w:tcPr>
                  <w:tcW w:w="310" w:type="pct"/>
                  <w:tcBorders>
                    <w:tl2br w:val="nil"/>
                    <w:tr2bl w:val="nil"/>
                  </w:tcBorders>
                  <w:vAlign w:val="center"/>
                </w:tcPr>
                <w:p w14:paraId="23AFFB99">
                  <w:pPr>
                    <w:pStyle w:val="83"/>
                    <w:rPr>
                      <w:rFonts w:hint="default"/>
                    </w:rPr>
                  </w:pPr>
                  <w:r>
                    <w:t>/</w:t>
                  </w:r>
                </w:p>
              </w:tc>
            </w:tr>
            <w:tr w14:paraId="0FD0C58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87E3451">
                  <w:pPr>
                    <w:pStyle w:val="83"/>
                    <w:rPr>
                      <w:rFonts w:hint="default"/>
                    </w:rPr>
                  </w:pPr>
                </w:p>
              </w:tc>
              <w:tc>
                <w:tcPr>
                  <w:tcW w:w="319" w:type="pct"/>
                  <w:vMerge w:val="continue"/>
                  <w:tcBorders>
                    <w:tl2br w:val="nil"/>
                    <w:tr2bl w:val="nil"/>
                  </w:tcBorders>
                  <w:vAlign w:val="center"/>
                </w:tcPr>
                <w:p w14:paraId="1CA9EED4">
                  <w:pPr>
                    <w:pStyle w:val="83"/>
                    <w:rPr>
                      <w:rFonts w:hint="default"/>
                    </w:rPr>
                  </w:pPr>
                </w:p>
              </w:tc>
              <w:tc>
                <w:tcPr>
                  <w:tcW w:w="981" w:type="pct"/>
                  <w:vMerge w:val="continue"/>
                  <w:tcBorders>
                    <w:tl2br w:val="nil"/>
                    <w:tr2bl w:val="nil"/>
                  </w:tcBorders>
                  <w:vAlign w:val="center"/>
                </w:tcPr>
                <w:p w14:paraId="3E3C07F8">
                  <w:pPr>
                    <w:pStyle w:val="83"/>
                    <w:rPr>
                      <w:rFonts w:hint="default"/>
                    </w:rPr>
                  </w:pPr>
                </w:p>
              </w:tc>
              <w:tc>
                <w:tcPr>
                  <w:tcW w:w="320" w:type="pct"/>
                  <w:tcBorders>
                    <w:tl2br w:val="nil"/>
                    <w:tr2bl w:val="nil"/>
                  </w:tcBorders>
                  <w:vAlign w:val="center"/>
                </w:tcPr>
                <w:p w14:paraId="200A7D7A">
                  <w:pPr>
                    <w:pStyle w:val="83"/>
                    <w:rPr>
                      <w:rFonts w:hint="default"/>
                    </w:rPr>
                  </w:pPr>
                  <w:r>
                    <w:t>石油类</w:t>
                  </w:r>
                </w:p>
              </w:tc>
              <w:tc>
                <w:tcPr>
                  <w:tcW w:w="267" w:type="pct"/>
                  <w:vMerge w:val="continue"/>
                  <w:tcBorders>
                    <w:tl2br w:val="nil"/>
                    <w:tr2bl w:val="nil"/>
                  </w:tcBorders>
                  <w:vAlign w:val="center"/>
                </w:tcPr>
                <w:p w14:paraId="4D7C76A1">
                  <w:pPr>
                    <w:pStyle w:val="83"/>
                    <w:rPr>
                      <w:rFonts w:hint="default"/>
                    </w:rPr>
                  </w:pPr>
                </w:p>
              </w:tc>
              <w:tc>
                <w:tcPr>
                  <w:tcW w:w="308" w:type="pct"/>
                  <w:vMerge w:val="continue"/>
                  <w:tcBorders>
                    <w:tl2br w:val="nil"/>
                    <w:tr2bl w:val="nil"/>
                  </w:tcBorders>
                  <w:vAlign w:val="center"/>
                </w:tcPr>
                <w:p w14:paraId="3ADFD901">
                  <w:pPr>
                    <w:pStyle w:val="83"/>
                    <w:rPr>
                      <w:rFonts w:hint="default"/>
                    </w:rPr>
                  </w:pPr>
                </w:p>
              </w:tc>
              <w:tc>
                <w:tcPr>
                  <w:tcW w:w="383" w:type="pct"/>
                  <w:tcBorders>
                    <w:tl2br w:val="nil"/>
                    <w:tr2bl w:val="nil"/>
                  </w:tcBorders>
                  <w:vAlign w:val="center"/>
                </w:tcPr>
                <w:p w14:paraId="3894BF06">
                  <w:pPr>
                    <w:pStyle w:val="83"/>
                    <w:rPr>
                      <w:rFonts w:hint="default"/>
                    </w:rPr>
                  </w:pPr>
                  <w:r>
                    <w:t>1</w:t>
                  </w:r>
                </w:p>
              </w:tc>
              <w:tc>
                <w:tcPr>
                  <w:tcW w:w="323" w:type="pct"/>
                  <w:tcBorders>
                    <w:tl2br w:val="nil"/>
                    <w:tr2bl w:val="nil"/>
                  </w:tcBorders>
                  <w:vAlign w:val="center"/>
                </w:tcPr>
                <w:p w14:paraId="3D7123D8">
                  <w:pPr>
                    <w:pStyle w:val="83"/>
                    <w:rPr>
                      <w:rFonts w:hint="default"/>
                    </w:rPr>
                  </w:pPr>
                  <w:r>
                    <w:t>0.003</w:t>
                  </w:r>
                </w:p>
              </w:tc>
              <w:tc>
                <w:tcPr>
                  <w:tcW w:w="437" w:type="pct"/>
                  <w:vMerge w:val="continue"/>
                  <w:tcBorders>
                    <w:tl2br w:val="nil"/>
                    <w:tr2bl w:val="nil"/>
                  </w:tcBorders>
                  <w:vAlign w:val="center"/>
                </w:tcPr>
                <w:p w14:paraId="3878E711">
                  <w:pPr>
                    <w:pStyle w:val="83"/>
                    <w:rPr>
                      <w:rFonts w:hint="default"/>
                    </w:rPr>
                  </w:pPr>
                </w:p>
              </w:tc>
              <w:tc>
                <w:tcPr>
                  <w:tcW w:w="306" w:type="pct"/>
                  <w:tcBorders>
                    <w:tl2br w:val="nil"/>
                    <w:tr2bl w:val="nil"/>
                  </w:tcBorders>
                  <w:vAlign w:val="center"/>
                </w:tcPr>
                <w:p w14:paraId="1145499A">
                  <w:pPr>
                    <w:pStyle w:val="83"/>
                    <w:rPr>
                      <w:rFonts w:hint="default"/>
                    </w:rPr>
                  </w:pPr>
                  <w:r>
                    <w:t>99</w:t>
                  </w:r>
                </w:p>
              </w:tc>
              <w:tc>
                <w:tcPr>
                  <w:tcW w:w="357" w:type="pct"/>
                  <w:vMerge w:val="continue"/>
                  <w:tcBorders>
                    <w:tl2br w:val="nil"/>
                    <w:tr2bl w:val="nil"/>
                  </w:tcBorders>
                  <w:vAlign w:val="center"/>
                </w:tcPr>
                <w:p w14:paraId="2A2544EE">
                  <w:pPr>
                    <w:pStyle w:val="83"/>
                    <w:rPr>
                      <w:rFonts w:hint="default"/>
                    </w:rPr>
                  </w:pPr>
                </w:p>
              </w:tc>
              <w:tc>
                <w:tcPr>
                  <w:tcW w:w="390" w:type="pct"/>
                  <w:tcBorders>
                    <w:tl2br w:val="nil"/>
                    <w:tr2bl w:val="nil"/>
                  </w:tcBorders>
                  <w:vAlign w:val="center"/>
                </w:tcPr>
                <w:p w14:paraId="72D229D6">
                  <w:pPr>
                    <w:pStyle w:val="83"/>
                    <w:rPr>
                      <w:rFonts w:hint="default"/>
                    </w:rPr>
                  </w:pPr>
                  <w:r>
                    <w:t>0.01</w:t>
                  </w:r>
                </w:p>
              </w:tc>
              <w:tc>
                <w:tcPr>
                  <w:tcW w:w="310" w:type="pct"/>
                  <w:tcBorders>
                    <w:tl2br w:val="nil"/>
                    <w:tr2bl w:val="nil"/>
                  </w:tcBorders>
                  <w:vAlign w:val="center"/>
                </w:tcPr>
                <w:p w14:paraId="039BEC9C">
                  <w:pPr>
                    <w:pStyle w:val="83"/>
                    <w:rPr>
                      <w:rFonts w:hint="default"/>
                    </w:rPr>
                  </w:pPr>
                  <w:r>
                    <w:t>/</w:t>
                  </w:r>
                </w:p>
              </w:tc>
            </w:tr>
            <w:tr w14:paraId="2C16B0C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5735E5D7">
                  <w:pPr>
                    <w:pStyle w:val="83"/>
                    <w:rPr>
                      <w:rFonts w:hint="default"/>
                    </w:rPr>
                  </w:pPr>
                </w:p>
              </w:tc>
              <w:tc>
                <w:tcPr>
                  <w:tcW w:w="319" w:type="pct"/>
                  <w:vMerge w:val="continue"/>
                  <w:tcBorders>
                    <w:tl2br w:val="nil"/>
                    <w:tr2bl w:val="nil"/>
                  </w:tcBorders>
                  <w:vAlign w:val="center"/>
                </w:tcPr>
                <w:p w14:paraId="49BF4C3C">
                  <w:pPr>
                    <w:pStyle w:val="83"/>
                    <w:rPr>
                      <w:rFonts w:hint="default"/>
                    </w:rPr>
                  </w:pPr>
                </w:p>
              </w:tc>
              <w:tc>
                <w:tcPr>
                  <w:tcW w:w="981" w:type="pct"/>
                  <w:vMerge w:val="continue"/>
                  <w:tcBorders>
                    <w:tl2br w:val="nil"/>
                    <w:tr2bl w:val="nil"/>
                  </w:tcBorders>
                  <w:vAlign w:val="center"/>
                </w:tcPr>
                <w:p w14:paraId="4ADC7F8D">
                  <w:pPr>
                    <w:pStyle w:val="83"/>
                    <w:rPr>
                      <w:rFonts w:hint="default"/>
                    </w:rPr>
                  </w:pPr>
                </w:p>
              </w:tc>
              <w:tc>
                <w:tcPr>
                  <w:tcW w:w="320" w:type="pct"/>
                  <w:tcBorders>
                    <w:tl2br w:val="nil"/>
                    <w:tr2bl w:val="nil"/>
                  </w:tcBorders>
                  <w:vAlign w:val="center"/>
                </w:tcPr>
                <w:p w14:paraId="08161154">
                  <w:pPr>
                    <w:pStyle w:val="83"/>
                    <w:rPr>
                      <w:rFonts w:hint="default"/>
                    </w:rPr>
                  </w:pPr>
                  <w:r>
                    <w:t>总有机碳</w:t>
                  </w:r>
                </w:p>
              </w:tc>
              <w:tc>
                <w:tcPr>
                  <w:tcW w:w="267" w:type="pct"/>
                  <w:vMerge w:val="continue"/>
                  <w:tcBorders>
                    <w:tl2br w:val="nil"/>
                    <w:tr2bl w:val="nil"/>
                  </w:tcBorders>
                  <w:vAlign w:val="center"/>
                </w:tcPr>
                <w:p w14:paraId="51A37378">
                  <w:pPr>
                    <w:pStyle w:val="83"/>
                    <w:rPr>
                      <w:rFonts w:hint="default"/>
                    </w:rPr>
                  </w:pPr>
                </w:p>
              </w:tc>
              <w:tc>
                <w:tcPr>
                  <w:tcW w:w="308" w:type="pct"/>
                  <w:vMerge w:val="continue"/>
                  <w:tcBorders>
                    <w:tl2br w:val="nil"/>
                    <w:tr2bl w:val="nil"/>
                  </w:tcBorders>
                  <w:vAlign w:val="center"/>
                </w:tcPr>
                <w:p w14:paraId="0691A607">
                  <w:pPr>
                    <w:pStyle w:val="83"/>
                    <w:rPr>
                      <w:rFonts w:hint="default"/>
                    </w:rPr>
                  </w:pPr>
                </w:p>
              </w:tc>
              <w:tc>
                <w:tcPr>
                  <w:tcW w:w="383" w:type="pct"/>
                  <w:tcBorders>
                    <w:tl2br w:val="nil"/>
                    <w:tr2bl w:val="nil"/>
                  </w:tcBorders>
                  <w:vAlign w:val="center"/>
                </w:tcPr>
                <w:p w14:paraId="1C9B0F72">
                  <w:pPr>
                    <w:pStyle w:val="83"/>
                    <w:rPr>
                      <w:rFonts w:hint="default"/>
                    </w:rPr>
                  </w:pPr>
                  <w:r>
                    <w:t>20</w:t>
                  </w:r>
                </w:p>
              </w:tc>
              <w:tc>
                <w:tcPr>
                  <w:tcW w:w="323" w:type="pct"/>
                  <w:tcBorders>
                    <w:tl2br w:val="nil"/>
                    <w:tr2bl w:val="nil"/>
                  </w:tcBorders>
                  <w:vAlign w:val="center"/>
                </w:tcPr>
                <w:p w14:paraId="03AC4509">
                  <w:pPr>
                    <w:pStyle w:val="83"/>
                    <w:rPr>
                      <w:rFonts w:hint="default"/>
                    </w:rPr>
                  </w:pPr>
                  <w:r>
                    <w:t>0.06</w:t>
                  </w:r>
                </w:p>
              </w:tc>
              <w:tc>
                <w:tcPr>
                  <w:tcW w:w="437" w:type="pct"/>
                  <w:vMerge w:val="continue"/>
                  <w:tcBorders>
                    <w:tl2br w:val="nil"/>
                    <w:tr2bl w:val="nil"/>
                  </w:tcBorders>
                  <w:vAlign w:val="center"/>
                </w:tcPr>
                <w:p w14:paraId="02E11BBA">
                  <w:pPr>
                    <w:pStyle w:val="83"/>
                    <w:rPr>
                      <w:rFonts w:hint="default"/>
                    </w:rPr>
                  </w:pPr>
                </w:p>
              </w:tc>
              <w:tc>
                <w:tcPr>
                  <w:tcW w:w="306" w:type="pct"/>
                  <w:tcBorders>
                    <w:tl2br w:val="nil"/>
                    <w:tr2bl w:val="nil"/>
                  </w:tcBorders>
                  <w:vAlign w:val="center"/>
                </w:tcPr>
                <w:p w14:paraId="10F15D8E">
                  <w:pPr>
                    <w:pStyle w:val="83"/>
                    <w:rPr>
                      <w:rFonts w:hint="default"/>
                    </w:rPr>
                  </w:pPr>
                  <w:r>
                    <w:t>90</w:t>
                  </w:r>
                </w:p>
              </w:tc>
              <w:tc>
                <w:tcPr>
                  <w:tcW w:w="357" w:type="pct"/>
                  <w:vMerge w:val="continue"/>
                  <w:tcBorders>
                    <w:tl2br w:val="nil"/>
                    <w:tr2bl w:val="nil"/>
                  </w:tcBorders>
                  <w:vAlign w:val="center"/>
                </w:tcPr>
                <w:p w14:paraId="169EBFCC">
                  <w:pPr>
                    <w:pStyle w:val="83"/>
                    <w:rPr>
                      <w:rFonts w:hint="default"/>
                    </w:rPr>
                  </w:pPr>
                </w:p>
              </w:tc>
              <w:tc>
                <w:tcPr>
                  <w:tcW w:w="390" w:type="pct"/>
                  <w:tcBorders>
                    <w:tl2br w:val="nil"/>
                    <w:tr2bl w:val="nil"/>
                  </w:tcBorders>
                  <w:vAlign w:val="center"/>
                </w:tcPr>
                <w:p w14:paraId="6330A9DB">
                  <w:pPr>
                    <w:pStyle w:val="83"/>
                    <w:rPr>
                      <w:rFonts w:hint="default"/>
                    </w:rPr>
                  </w:pPr>
                  <w:r>
                    <w:t>2</w:t>
                  </w:r>
                </w:p>
              </w:tc>
              <w:tc>
                <w:tcPr>
                  <w:tcW w:w="310" w:type="pct"/>
                  <w:tcBorders>
                    <w:tl2br w:val="nil"/>
                    <w:tr2bl w:val="nil"/>
                  </w:tcBorders>
                  <w:vAlign w:val="center"/>
                </w:tcPr>
                <w:p w14:paraId="5CF131F7">
                  <w:pPr>
                    <w:pStyle w:val="83"/>
                    <w:rPr>
                      <w:rFonts w:hint="default"/>
                    </w:rPr>
                  </w:pPr>
                  <w:r>
                    <w:t>/</w:t>
                  </w:r>
                </w:p>
              </w:tc>
            </w:tr>
            <w:tr w14:paraId="0BDAD54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7D8909F9">
                  <w:pPr>
                    <w:pStyle w:val="83"/>
                    <w:rPr>
                      <w:rFonts w:hint="default"/>
                    </w:rPr>
                  </w:pPr>
                  <w:r>
                    <w:t>实验器皿清洗</w:t>
                  </w:r>
                </w:p>
              </w:tc>
              <w:tc>
                <w:tcPr>
                  <w:tcW w:w="319" w:type="pct"/>
                  <w:vMerge w:val="restart"/>
                  <w:tcBorders>
                    <w:tl2br w:val="nil"/>
                    <w:tr2bl w:val="nil"/>
                  </w:tcBorders>
                  <w:vAlign w:val="center"/>
                </w:tcPr>
                <w:p w14:paraId="0D50986F">
                  <w:pPr>
                    <w:pStyle w:val="83"/>
                    <w:rPr>
                      <w:rFonts w:hint="default"/>
                    </w:rPr>
                  </w:pPr>
                  <w:r>
                    <w:t>生产废水</w:t>
                  </w:r>
                </w:p>
              </w:tc>
              <w:tc>
                <w:tcPr>
                  <w:tcW w:w="981" w:type="pct"/>
                  <w:vMerge w:val="restart"/>
                  <w:tcBorders>
                    <w:tl2br w:val="nil"/>
                    <w:tr2bl w:val="nil"/>
                  </w:tcBorders>
                  <w:vAlign w:val="center"/>
                </w:tcPr>
                <w:p w14:paraId="67F4A147">
                  <w:pPr>
                    <w:pStyle w:val="83"/>
                    <w:rPr>
                      <w:rFonts w:hint="default"/>
                    </w:rPr>
                  </w:pPr>
                  <w:r>
                    <w:t>水解酸化池+IEPI高效厌氧塔+A/O池+MBR膜生物反应系统+RO反渗透系统</w:t>
                  </w:r>
                </w:p>
              </w:tc>
              <w:tc>
                <w:tcPr>
                  <w:tcW w:w="320" w:type="pct"/>
                  <w:tcBorders>
                    <w:tl2br w:val="nil"/>
                    <w:tr2bl w:val="nil"/>
                  </w:tcBorders>
                  <w:vAlign w:val="center"/>
                </w:tcPr>
                <w:p w14:paraId="2EDC2185">
                  <w:pPr>
                    <w:pStyle w:val="83"/>
                    <w:rPr>
                      <w:rFonts w:hint="default"/>
                    </w:rPr>
                  </w:pPr>
                  <w:r>
                    <w:t>COD</w:t>
                  </w:r>
                </w:p>
              </w:tc>
              <w:tc>
                <w:tcPr>
                  <w:tcW w:w="267" w:type="pct"/>
                  <w:vMerge w:val="restart"/>
                  <w:tcBorders>
                    <w:tl2br w:val="nil"/>
                    <w:tr2bl w:val="nil"/>
                  </w:tcBorders>
                  <w:vAlign w:val="center"/>
                </w:tcPr>
                <w:p w14:paraId="4DFEC767">
                  <w:pPr>
                    <w:pStyle w:val="83"/>
                    <w:rPr>
                      <w:rFonts w:hint="default"/>
                    </w:rPr>
                  </w:pPr>
                  <w:r>
                    <w:t>类比法</w:t>
                  </w:r>
                </w:p>
              </w:tc>
              <w:tc>
                <w:tcPr>
                  <w:tcW w:w="308" w:type="pct"/>
                  <w:vMerge w:val="restart"/>
                  <w:tcBorders>
                    <w:tl2br w:val="nil"/>
                    <w:tr2bl w:val="nil"/>
                  </w:tcBorders>
                  <w:vAlign w:val="center"/>
                </w:tcPr>
                <w:p w14:paraId="42349D53">
                  <w:pPr>
                    <w:pStyle w:val="83"/>
                    <w:rPr>
                      <w:rFonts w:hint="default"/>
                    </w:rPr>
                  </w:pPr>
                  <w:r>
                    <w:t>98.55</w:t>
                  </w:r>
                </w:p>
              </w:tc>
              <w:tc>
                <w:tcPr>
                  <w:tcW w:w="383" w:type="pct"/>
                  <w:tcBorders>
                    <w:tl2br w:val="nil"/>
                    <w:tr2bl w:val="nil"/>
                  </w:tcBorders>
                  <w:vAlign w:val="center"/>
                </w:tcPr>
                <w:p w14:paraId="778449FF">
                  <w:pPr>
                    <w:pStyle w:val="83"/>
                    <w:rPr>
                      <w:rFonts w:hint="default"/>
                    </w:rPr>
                  </w:pPr>
                  <w:r>
                    <w:t>500</w:t>
                  </w:r>
                </w:p>
              </w:tc>
              <w:tc>
                <w:tcPr>
                  <w:tcW w:w="323" w:type="pct"/>
                  <w:tcBorders>
                    <w:tl2br w:val="nil"/>
                    <w:tr2bl w:val="nil"/>
                  </w:tcBorders>
                  <w:vAlign w:val="center"/>
                </w:tcPr>
                <w:p w14:paraId="2917BB77">
                  <w:pPr>
                    <w:pStyle w:val="83"/>
                    <w:rPr>
                      <w:rFonts w:hint="default"/>
                    </w:rPr>
                  </w:pPr>
                  <w:r>
                    <w:t>0.049</w:t>
                  </w:r>
                </w:p>
              </w:tc>
              <w:tc>
                <w:tcPr>
                  <w:tcW w:w="437" w:type="pct"/>
                  <w:vMerge w:val="restart"/>
                  <w:tcBorders>
                    <w:tl2br w:val="nil"/>
                    <w:tr2bl w:val="nil"/>
                  </w:tcBorders>
                  <w:vAlign w:val="center"/>
                </w:tcPr>
                <w:p w14:paraId="0E7F9994">
                  <w:pPr>
                    <w:pStyle w:val="83"/>
                    <w:rPr>
                      <w:rFonts w:hint="default"/>
                    </w:rPr>
                  </w:pPr>
                  <w:r>
                    <w:t>水解酸化+高效厌氧+厌氧好氧+MBR+RO</w:t>
                  </w:r>
                </w:p>
              </w:tc>
              <w:tc>
                <w:tcPr>
                  <w:tcW w:w="306" w:type="pct"/>
                  <w:tcBorders>
                    <w:tl2br w:val="nil"/>
                    <w:tr2bl w:val="nil"/>
                  </w:tcBorders>
                  <w:vAlign w:val="center"/>
                </w:tcPr>
                <w:p w14:paraId="503371F8">
                  <w:pPr>
                    <w:pStyle w:val="83"/>
                    <w:rPr>
                      <w:rFonts w:hint="default"/>
                    </w:rPr>
                  </w:pPr>
                  <w:r>
                    <w:t>99</w:t>
                  </w:r>
                </w:p>
              </w:tc>
              <w:tc>
                <w:tcPr>
                  <w:tcW w:w="357" w:type="pct"/>
                  <w:vMerge w:val="restart"/>
                  <w:tcBorders>
                    <w:tl2br w:val="nil"/>
                    <w:tr2bl w:val="nil"/>
                  </w:tcBorders>
                  <w:vAlign w:val="center"/>
                </w:tcPr>
                <w:p w14:paraId="60A82191">
                  <w:pPr>
                    <w:pStyle w:val="83"/>
                    <w:rPr>
                      <w:rFonts w:hint="default"/>
                    </w:rPr>
                  </w:pPr>
                  <w:r>
                    <w:t>/</w:t>
                  </w:r>
                </w:p>
              </w:tc>
              <w:tc>
                <w:tcPr>
                  <w:tcW w:w="390" w:type="pct"/>
                  <w:tcBorders>
                    <w:tl2br w:val="nil"/>
                    <w:tr2bl w:val="nil"/>
                  </w:tcBorders>
                  <w:vAlign w:val="center"/>
                </w:tcPr>
                <w:p w14:paraId="2D1C95CA">
                  <w:pPr>
                    <w:pStyle w:val="83"/>
                    <w:rPr>
                      <w:rFonts w:hint="default"/>
                    </w:rPr>
                  </w:pPr>
                  <w:r>
                    <w:t>5</w:t>
                  </w:r>
                </w:p>
              </w:tc>
              <w:tc>
                <w:tcPr>
                  <w:tcW w:w="310" w:type="pct"/>
                  <w:tcBorders>
                    <w:tl2br w:val="nil"/>
                    <w:tr2bl w:val="nil"/>
                  </w:tcBorders>
                  <w:vAlign w:val="center"/>
                </w:tcPr>
                <w:p w14:paraId="3CAB1F41">
                  <w:pPr>
                    <w:pStyle w:val="83"/>
                    <w:rPr>
                      <w:rFonts w:hint="default"/>
                    </w:rPr>
                  </w:pPr>
                  <w:r>
                    <w:t>/</w:t>
                  </w:r>
                </w:p>
              </w:tc>
            </w:tr>
            <w:tr w14:paraId="047BC80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65350EBC">
                  <w:pPr>
                    <w:pStyle w:val="83"/>
                    <w:rPr>
                      <w:rFonts w:hint="default"/>
                    </w:rPr>
                  </w:pPr>
                </w:p>
              </w:tc>
              <w:tc>
                <w:tcPr>
                  <w:tcW w:w="319" w:type="pct"/>
                  <w:vMerge w:val="continue"/>
                  <w:tcBorders>
                    <w:tl2br w:val="nil"/>
                    <w:tr2bl w:val="nil"/>
                  </w:tcBorders>
                  <w:vAlign w:val="center"/>
                </w:tcPr>
                <w:p w14:paraId="3F832B7F">
                  <w:pPr>
                    <w:pStyle w:val="83"/>
                    <w:rPr>
                      <w:rFonts w:hint="default"/>
                    </w:rPr>
                  </w:pPr>
                </w:p>
              </w:tc>
              <w:tc>
                <w:tcPr>
                  <w:tcW w:w="981" w:type="pct"/>
                  <w:vMerge w:val="continue"/>
                  <w:tcBorders>
                    <w:tl2br w:val="nil"/>
                    <w:tr2bl w:val="nil"/>
                  </w:tcBorders>
                  <w:vAlign w:val="center"/>
                </w:tcPr>
                <w:p w14:paraId="262881E0">
                  <w:pPr>
                    <w:pStyle w:val="83"/>
                    <w:rPr>
                      <w:rFonts w:hint="default"/>
                    </w:rPr>
                  </w:pPr>
                </w:p>
              </w:tc>
              <w:tc>
                <w:tcPr>
                  <w:tcW w:w="320" w:type="pct"/>
                  <w:tcBorders>
                    <w:tl2br w:val="nil"/>
                    <w:tr2bl w:val="nil"/>
                  </w:tcBorders>
                  <w:vAlign w:val="center"/>
                </w:tcPr>
                <w:p w14:paraId="7B0B46F0">
                  <w:pPr>
                    <w:pStyle w:val="83"/>
                    <w:rPr>
                      <w:rFonts w:hint="default"/>
                    </w:rPr>
                  </w:pPr>
                  <w:r>
                    <w:t>BOD</w:t>
                  </w:r>
                  <w:r>
                    <w:rPr>
                      <w:vertAlign w:val="subscript"/>
                    </w:rPr>
                    <w:t>5</w:t>
                  </w:r>
                </w:p>
              </w:tc>
              <w:tc>
                <w:tcPr>
                  <w:tcW w:w="267" w:type="pct"/>
                  <w:vMerge w:val="continue"/>
                  <w:tcBorders>
                    <w:tl2br w:val="nil"/>
                    <w:tr2bl w:val="nil"/>
                  </w:tcBorders>
                  <w:vAlign w:val="center"/>
                </w:tcPr>
                <w:p w14:paraId="7AAD59D9">
                  <w:pPr>
                    <w:pStyle w:val="83"/>
                    <w:rPr>
                      <w:rFonts w:hint="default"/>
                    </w:rPr>
                  </w:pPr>
                </w:p>
              </w:tc>
              <w:tc>
                <w:tcPr>
                  <w:tcW w:w="308" w:type="pct"/>
                  <w:vMerge w:val="continue"/>
                  <w:tcBorders>
                    <w:tl2br w:val="nil"/>
                    <w:tr2bl w:val="nil"/>
                  </w:tcBorders>
                  <w:vAlign w:val="center"/>
                </w:tcPr>
                <w:p w14:paraId="675CD2FD">
                  <w:pPr>
                    <w:pStyle w:val="83"/>
                    <w:rPr>
                      <w:rFonts w:hint="default"/>
                    </w:rPr>
                  </w:pPr>
                </w:p>
              </w:tc>
              <w:tc>
                <w:tcPr>
                  <w:tcW w:w="383" w:type="pct"/>
                  <w:tcBorders>
                    <w:tl2br w:val="nil"/>
                    <w:tr2bl w:val="nil"/>
                  </w:tcBorders>
                  <w:vAlign w:val="center"/>
                </w:tcPr>
                <w:p w14:paraId="6F17292C">
                  <w:pPr>
                    <w:pStyle w:val="83"/>
                    <w:rPr>
                      <w:rFonts w:hint="default"/>
                    </w:rPr>
                  </w:pPr>
                  <w:r>
                    <w:t>250</w:t>
                  </w:r>
                </w:p>
              </w:tc>
              <w:tc>
                <w:tcPr>
                  <w:tcW w:w="323" w:type="pct"/>
                  <w:tcBorders>
                    <w:tl2br w:val="nil"/>
                    <w:tr2bl w:val="nil"/>
                  </w:tcBorders>
                  <w:vAlign w:val="center"/>
                </w:tcPr>
                <w:p w14:paraId="66936116">
                  <w:pPr>
                    <w:pStyle w:val="83"/>
                    <w:rPr>
                      <w:rFonts w:hint="default"/>
                    </w:rPr>
                  </w:pPr>
                  <w:r>
                    <w:t>0.025</w:t>
                  </w:r>
                </w:p>
              </w:tc>
              <w:tc>
                <w:tcPr>
                  <w:tcW w:w="437" w:type="pct"/>
                  <w:vMerge w:val="continue"/>
                  <w:tcBorders>
                    <w:tl2br w:val="nil"/>
                    <w:tr2bl w:val="nil"/>
                  </w:tcBorders>
                  <w:vAlign w:val="center"/>
                </w:tcPr>
                <w:p w14:paraId="3F007C9B">
                  <w:pPr>
                    <w:pStyle w:val="83"/>
                    <w:rPr>
                      <w:rFonts w:hint="default"/>
                    </w:rPr>
                  </w:pPr>
                </w:p>
              </w:tc>
              <w:tc>
                <w:tcPr>
                  <w:tcW w:w="306" w:type="pct"/>
                  <w:tcBorders>
                    <w:tl2br w:val="nil"/>
                    <w:tr2bl w:val="nil"/>
                  </w:tcBorders>
                  <w:vAlign w:val="center"/>
                </w:tcPr>
                <w:p w14:paraId="10B92A91">
                  <w:pPr>
                    <w:pStyle w:val="83"/>
                    <w:rPr>
                      <w:rFonts w:hint="default"/>
                    </w:rPr>
                  </w:pPr>
                  <w:r>
                    <w:t>99.5</w:t>
                  </w:r>
                </w:p>
              </w:tc>
              <w:tc>
                <w:tcPr>
                  <w:tcW w:w="357" w:type="pct"/>
                  <w:vMerge w:val="continue"/>
                  <w:tcBorders>
                    <w:tl2br w:val="nil"/>
                    <w:tr2bl w:val="nil"/>
                  </w:tcBorders>
                  <w:vAlign w:val="center"/>
                </w:tcPr>
                <w:p w14:paraId="2AA2B180">
                  <w:pPr>
                    <w:pStyle w:val="83"/>
                    <w:rPr>
                      <w:rFonts w:hint="default"/>
                    </w:rPr>
                  </w:pPr>
                </w:p>
              </w:tc>
              <w:tc>
                <w:tcPr>
                  <w:tcW w:w="390" w:type="pct"/>
                  <w:tcBorders>
                    <w:tl2br w:val="nil"/>
                    <w:tr2bl w:val="nil"/>
                  </w:tcBorders>
                  <w:vAlign w:val="center"/>
                </w:tcPr>
                <w:p w14:paraId="3E805783">
                  <w:pPr>
                    <w:pStyle w:val="83"/>
                    <w:rPr>
                      <w:rFonts w:hint="default"/>
                    </w:rPr>
                  </w:pPr>
                  <w:r>
                    <w:t>1.25</w:t>
                  </w:r>
                </w:p>
              </w:tc>
              <w:tc>
                <w:tcPr>
                  <w:tcW w:w="310" w:type="pct"/>
                  <w:tcBorders>
                    <w:tl2br w:val="nil"/>
                    <w:tr2bl w:val="nil"/>
                  </w:tcBorders>
                  <w:vAlign w:val="center"/>
                </w:tcPr>
                <w:p w14:paraId="5CAA1887">
                  <w:pPr>
                    <w:pStyle w:val="83"/>
                    <w:rPr>
                      <w:rFonts w:hint="default"/>
                    </w:rPr>
                  </w:pPr>
                  <w:r>
                    <w:t>/</w:t>
                  </w:r>
                </w:p>
              </w:tc>
            </w:tr>
            <w:tr w14:paraId="289E40B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1BB4F42F">
                  <w:pPr>
                    <w:pStyle w:val="83"/>
                    <w:rPr>
                      <w:rFonts w:hint="default"/>
                    </w:rPr>
                  </w:pPr>
                </w:p>
              </w:tc>
              <w:tc>
                <w:tcPr>
                  <w:tcW w:w="319" w:type="pct"/>
                  <w:vMerge w:val="continue"/>
                  <w:tcBorders>
                    <w:tl2br w:val="nil"/>
                    <w:tr2bl w:val="nil"/>
                  </w:tcBorders>
                  <w:vAlign w:val="center"/>
                </w:tcPr>
                <w:p w14:paraId="0808616E">
                  <w:pPr>
                    <w:pStyle w:val="83"/>
                    <w:rPr>
                      <w:rFonts w:hint="default"/>
                    </w:rPr>
                  </w:pPr>
                </w:p>
              </w:tc>
              <w:tc>
                <w:tcPr>
                  <w:tcW w:w="981" w:type="pct"/>
                  <w:vMerge w:val="continue"/>
                  <w:tcBorders>
                    <w:tl2br w:val="nil"/>
                    <w:tr2bl w:val="nil"/>
                  </w:tcBorders>
                  <w:vAlign w:val="center"/>
                </w:tcPr>
                <w:p w14:paraId="448E6ED6">
                  <w:pPr>
                    <w:pStyle w:val="83"/>
                    <w:rPr>
                      <w:rFonts w:hint="default"/>
                    </w:rPr>
                  </w:pPr>
                </w:p>
              </w:tc>
              <w:tc>
                <w:tcPr>
                  <w:tcW w:w="320" w:type="pct"/>
                  <w:tcBorders>
                    <w:tl2br w:val="nil"/>
                    <w:tr2bl w:val="nil"/>
                  </w:tcBorders>
                  <w:vAlign w:val="center"/>
                </w:tcPr>
                <w:p w14:paraId="273ED239">
                  <w:pPr>
                    <w:pStyle w:val="83"/>
                    <w:rPr>
                      <w:rFonts w:hint="default"/>
                    </w:rPr>
                  </w:pPr>
                  <w:r>
                    <w:t>SS</w:t>
                  </w:r>
                </w:p>
              </w:tc>
              <w:tc>
                <w:tcPr>
                  <w:tcW w:w="267" w:type="pct"/>
                  <w:vMerge w:val="continue"/>
                  <w:tcBorders>
                    <w:tl2br w:val="nil"/>
                    <w:tr2bl w:val="nil"/>
                  </w:tcBorders>
                  <w:vAlign w:val="center"/>
                </w:tcPr>
                <w:p w14:paraId="30139D50">
                  <w:pPr>
                    <w:pStyle w:val="83"/>
                    <w:rPr>
                      <w:rFonts w:hint="default"/>
                    </w:rPr>
                  </w:pPr>
                </w:p>
              </w:tc>
              <w:tc>
                <w:tcPr>
                  <w:tcW w:w="308" w:type="pct"/>
                  <w:vMerge w:val="continue"/>
                  <w:tcBorders>
                    <w:tl2br w:val="nil"/>
                    <w:tr2bl w:val="nil"/>
                  </w:tcBorders>
                  <w:vAlign w:val="center"/>
                </w:tcPr>
                <w:p w14:paraId="7B86E046">
                  <w:pPr>
                    <w:pStyle w:val="83"/>
                    <w:rPr>
                      <w:rFonts w:hint="default"/>
                    </w:rPr>
                  </w:pPr>
                </w:p>
              </w:tc>
              <w:tc>
                <w:tcPr>
                  <w:tcW w:w="383" w:type="pct"/>
                  <w:tcBorders>
                    <w:tl2br w:val="nil"/>
                    <w:tr2bl w:val="nil"/>
                  </w:tcBorders>
                  <w:vAlign w:val="center"/>
                </w:tcPr>
                <w:p w14:paraId="0056D1F3">
                  <w:pPr>
                    <w:pStyle w:val="83"/>
                    <w:rPr>
                      <w:rFonts w:hint="default"/>
                    </w:rPr>
                  </w:pPr>
                  <w:r>
                    <w:t>200</w:t>
                  </w:r>
                </w:p>
              </w:tc>
              <w:tc>
                <w:tcPr>
                  <w:tcW w:w="323" w:type="pct"/>
                  <w:tcBorders>
                    <w:tl2br w:val="nil"/>
                    <w:tr2bl w:val="nil"/>
                  </w:tcBorders>
                  <w:vAlign w:val="center"/>
                </w:tcPr>
                <w:p w14:paraId="1DC0F5C7">
                  <w:pPr>
                    <w:pStyle w:val="83"/>
                    <w:rPr>
                      <w:rFonts w:hint="default"/>
                    </w:rPr>
                  </w:pPr>
                  <w:r>
                    <w:t>0.02</w:t>
                  </w:r>
                </w:p>
              </w:tc>
              <w:tc>
                <w:tcPr>
                  <w:tcW w:w="437" w:type="pct"/>
                  <w:vMerge w:val="continue"/>
                  <w:tcBorders>
                    <w:tl2br w:val="nil"/>
                    <w:tr2bl w:val="nil"/>
                  </w:tcBorders>
                  <w:vAlign w:val="center"/>
                </w:tcPr>
                <w:p w14:paraId="0EA18400">
                  <w:pPr>
                    <w:pStyle w:val="83"/>
                    <w:rPr>
                      <w:rFonts w:hint="default"/>
                    </w:rPr>
                  </w:pPr>
                </w:p>
              </w:tc>
              <w:tc>
                <w:tcPr>
                  <w:tcW w:w="306" w:type="pct"/>
                  <w:tcBorders>
                    <w:tl2br w:val="nil"/>
                    <w:tr2bl w:val="nil"/>
                  </w:tcBorders>
                  <w:vAlign w:val="center"/>
                </w:tcPr>
                <w:p w14:paraId="6551B868">
                  <w:pPr>
                    <w:pStyle w:val="83"/>
                    <w:rPr>
                      <w:rFonts w:hint="default"/>
                    </w:rPr>
                  </w:pPr>
                  <w:r>
                    <w:t>96</w:t>
                  </w:r>
                </w:p>
              </w:tc>
              <w:tc>
                <w:tcPr>
                  <w:tcW w:w="357" w:type="pct"/>
                  <w:vMerge w:val="continue"/>
                  <w:tcBorders>
                    <w:tl2br w:val="nil"/>
                    <w:tr2bl w:val="nil"/>
                  </w:tcBorders>
                  <w:vAlign w:val="center"/>
                </w:tcPr>
                <w:p w14:paraId="0B1C67C5">
                  <w:pPr>
                    <w:pStyle w:val="83"/>
                    <w:rPr>
                      <w:rFonts w:hint="default"/>
                    </w:rPr>
                  </w:pPr>
                </w:p>
              </w:tc>
              <w:tc>
                <w:tcPr>
                  <w:tcW w:w="390" w:type="pct"/>
                  <w:tcBorders>
                    <w:tl2br w:val="nil"/>
                    <w:tr2bl w:val="nil"/>
                  </w:tcBorders>
                  <w:vAlign w:val="center"/>
                </w:tcPr>
                <w:p w14:paraId="5BC598F4">
                  <w:pPr>
                    <w:pStyle w:val="83"/>
                    <w:rPr>
                      <w:rFonts w:hint="default"/>
                    </w:rPr>
                  </w:pPr>
                  <w:r>
                    <w:t>8</w:t>
                  </w:r>
                </w:p>
              </w:tc>
              <w:tc>
                <w:tcPr>
                  <w:tcW w:w="310" w:type="pct"/>
                  <w:tcBorders>
                    <w:tl2br w:val="nil"/>
                    <w:tr2bl w:val="nil"/>
                  </w:tcBorders>
                  <w:vAlign w:val="center"/>
                </w:tcPr>
                <w:p w14:paraId="46899ECF">
                  <w:pPr>
                    <w:pStyle w:val="83"/>
                    <w:rPr>
                      <w:rFonts w:hint="default"/>
                    </w:rPr>
                  </w:pPr>
                  <w:r>
                    <w:t>/</w:t>
                  </w:r>
                </w:p>
              </w:tc>
            </w:tr>
            <w:tr w14:paraId="71AB6C2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5A24A9CE">
                  <w:pPr>
                    <w:pStyle w:val="83"/>
                    <w:rPr>
                      <w:rFonts w:hint="default"/>
                    </w:rPr>
                  </w:pPr>
                </w:p>
              </w:tc>
              <w:tc>
                <w:tcPr>
                  <w:tcW w:w="319" w:type="pct"/>
                  <w:vMerge w:val="continue"/>
                  <w:tcBorders>
                    <w:tl2br w:val="nil"/>
                    <w:tr2bl w:val="nil"/>
                  </w:tcBorders>
                  <w:vAlign w:val="center"/>
                </w:tcPr>
                <w:p w14:paraId="4B932611">
                  <w:pPr>
                    <w:pStyle w:val="83"/>
                    <w:rPr>
                      <w:rFonts w:hint="default"/>
                    </w:rPr>
                  </w:pPr>
                </w:p>
              </w:tc>
              <w:tc>
                <w:tcPr>
                  <w:tcW w:w="981" w:type="pct"/>
                  <w:vMerge w:val="continue"/>
                  <w:tcBorders>
                    <w:tl2br w:val="nil"/>
                    <w:tr2bl w:val="nil"/>
                  </w:tcBorders>
                  <w:vAlign w:val="center"/>
                </w:tcPr>
                <w:p w14:paraId="67283908">
                  <w:pPr>
                    <w:pStyle w:val="83"/>
                    <w:rPr>
                      <w:rFonts w:hint="default"/>
                    </w:rPr>
                  </w:pPr>
                </w:p>
              </w:tc>
              <w:tc>
                <w:tcPr>
                  <w:tcW w:w="320" w:type="pct"/>
                  <w:tcBorders>
                    <w:tl2br w:val="nil"/>
                    <w:tr2bl w:val="nil"/>
                  </w:tcBorders>
                  <w:vAlign w:val="center"/>
                </w:tcPr>
                <w:p w14:paraId="0D20E677">
                  <w:pPr>
                    <w:pStyle w:val="83"/>
                    <w:rPr>
                      <w:rFonts w:hint="default"/>
                    </w:rPr>
                  </w:pPr>
                  <w:r>
                    <w:t>氨氮</w:t>
                  </w:r>
                </w:p>
              </w:tc>
              <w:tc>
                <w:tcPr>
                  <w:tcW w:w="267" w:type="pct"/>
                  <w:vMerge w:val="continue"/>
                  <w:tcBorders>
                    <w:tl2br w:val="nil"/>
                    <w:tr2bl w:val="nil"/>
                  </w:tcBorders>
                  <w:vAlign w:val="center"/>
                </w:tcPr>
                <w:p w14:paraId="42360EB0">
                  <w:pPr>
                    <w:pStyle w:val="83"/>
                    <w:rPr>
                      <w:rFonts w:hint="default"/>
                    </w:rPr>
                  </w:pPr>
                </w:p>
              </w:tc>
              <w:tc>
                <w:tcPr>
                  <w:tcW w:w="308" w:type="pct"/>
                  <w:vMerge w:val="continue"/>
                  <w:tcBorders>
                    <w:tl2br w:val="nil"/>
                    <w:tr2bl w:val="nil"/>
                  </w:tcBorders>
                  <w:vAlign w:val="center"/>
                </w:tcPr>
                <w:p w14:paraId="2EDE5D44">
                  <w:pPr>
                    <w:pStyle w:val="83"/>
                    <w:rPr>
                      <w:rFonts w:hint="default"/>
                    </w:rPr>
                  </w:pPr>
                </w:p>
              </w:tc>
              <w:tc>
                <w:tcPr>
                  <w:tcW w:w="383" w:type="pct"/>
                  <w:tcBorders>
                    <w:tl2br w:val="nil"/>
                    <w:tr2bl w:val="nil"/>
                  </w:tcBorders>
                  <w:vAlign w:val="center"/>
                </w:tcPr>
                <w:p w14:paraId="23ACBFB0">
                  <w:pPr>
                    <w:pStyle w:val="83"/>
                    <w:rPr>
                      <w:rFonts w:hint="default"/>
                    </w:rPr>
                  </w:pPr>
                  <w:r>
                    <w:t>35</w:t>
                  </w:r>
                </w:p>
              </w:tc>
              <w:tc>
                <w:tcPr>
                  <w:tcW w:w="323" w:type="pct"/>
                  <w:tcBorders>
                    <w:tl2br w:val="nil"/>
                    <w:tr2bl w:val="nil"/>
                  </w:tcBorders>
                  <w:vAlign w:val="center"/>
                </w:tcPr>
                <w:p w14:paraId="35428F71">
                  <w:pPr>
                    <w:pStyle w:val="83"/>
                    <w:rPr>
                      <w:rFonts w:hint="default"/>
                    </w:rPr>
                  </w:pPr>
                  <w:r>
                    <w:t>0.003</w:t>
                  </w:r>
                </w:p>
              </w:tc>
              <w:tc>
                <w:tcPr>
                  <w:tcW w:w="437" w:type="pct"/>
                  <w:vMerge w:val="continue"/>
                  <w:tcBorders>
                    <w:tl2br w:val="nil"/>
                    <w:tr2bl w:val="nil"/>
                  </w:tcBorders>
                  <w:vAlign w:val="center"/>
                </w:tcPr>
                <w:p w14:paraId="5585A6FC">
                  <w:pPr>
                    <w:pStyle w:val="83"/>
                    <w:rPr>
                      <w:rFonts w:hint="default"/>
                    </w:rPr>
                  </w:pPr>
                </w:p>
              </w:tc>
              <w:tc>
                <w:tcPr>
                  <w:tcW w:w="306" w:type="pct"/>
                  <w:tcBorders>
                    <w:tl2br w:val="nil"/>
                    <w:tr2bl w:val="nil"/>
                  </w:tcBorders>
                  <w:vAlign w:val="center"/>
                </w:tcPr>
                <w:p w14:paraId="0363EF96">
                  <w:pPr>
                    <w:pStyle w:val="83"/>
                    <w:rPr>
                      <w:rFonts w:hint="default"/>
                    </w:rPr>
                  </w:pPr>
                  <w:r>
                    <w:t>99.5</w:t>
                  </w:r>
                </w:p>
              </w:tc>
              <w:tc>
                <w:tcPr>
                  <w:tcW w:w="357" w:type="pct"/>
                  <w:vMerge w:val="continue"/>
                  <w:tcBorders>
                    <w:tl2br w:val="nil"/>
                    <w:tr2bl w:val="nil"/>
                  </w:tcBorders>
                  <w:vAlign w:val="center"/>
                </w:tcPr>
                <w:p w14:paraId="2BEAFF65">
                  <w:pPr>
                    <w:pStyle w:val="83"/>
                    <w:rPr>
                      <w:rFonts w:hint="default"/>
                    </w:rPr>
                  </w:pPr>
                </w:p>
              </w:tc>
              <w:tc>
                <w:tcPr>
                  <w:tcW w:w="390" w:type="pct"/>
                  <w:tcBorders>
                    <w:tl2br w:val="nil"/>
                    <w:tr2bl w:val="nil"/>
                  </w:tcBorders>
                  <w:vAlign w:val="center"/>
                </w:tcPr>
                <w:p w14:paraId="71549E7B">
                  <w:pPr>
                    <w:pStyle w:val="83"/>
                    <w:rPr>
                      <w:rFonts w:hint="default"/>
                    </w:rPr>
                  </w:pPr>
                  <w:r>
                    <w:t>0.175</w:t>
                  </w:r>
                </w:p>
              </w:tc>
              <w:tc>
                <w:tcPr>
                  <w:tcW w:w="310" w:type="pct"/>
                  <w:tcBorders>
                    <w:tl2br w:val="nil"/>
                    <w:tr2bl w:val="nil"/>
                  </w:tcBorders>
                  <w:vAlign w:val="center"/>
                </w:tcPr>
                <w:p w14:paraId="5650B7E3">
                  <w:pPr>
                    <w:pStyle w:val="83"/>
                    <w:rPr>
                      <w:rFonts w:hint="default"/>
                    </w:rPr>
                  </w:pPr>
                  <w:r>
                    <w:t>/</w:t>
                  </w:r>
                </w:p>
              </w:tc>
            </w:tr>
            <w:tr w14:paraId="0AD3B15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5862366B">
                  <w:pPr>
                    <w:pStyle w:val="83"/>
                    <w:rPr>
                      <w:rFonts w:hint="default"/>
                    </w:rPr>
                  </w:pPr>
                </w:p>
              </w:tc>
              <w:tc>
                <w:tcPr>
                  <w:tcW w:w="319" w:type="pct"/>
                  <w:vMerge w:val="continue"/>
                  <w:tcBorders>
                    <w:tl2br w:val="nil"/>
                    <w:tr2bl w:val="nil"/>
                  </w:tcBorders>
                  <w:vAlign w:val="center"/>
                </w:tcPr>
                <w:p w14:paraId="4ACE7DB6">
                  <w:pPr>
                    <w:pStyle w:val="83"/>
                    <w:rPr>
                      <w:rFonts w:hint="default"/>
                    </w:rPr>
                  </w:pPr>
                </w:p>
              </w:tc>
              <w:tc>
                <w:tcPr>
                  <w:tcW w:w="981" w:type="pct"/>
                  <w:vMerge w:val="continue"/>
                  <w:tcBorders>
                    <w:tl2br w:val="nil"/>
                    <w:tr2bl w:val="nil"/>
                  </w:tcBorders>
                  <w:vAlign w:val="center"/>
                </w:tcPr>
                <w:p w14:paraId="6EB99CF6">
                  <w:pPr>
                    <w:pStyle w:val="83"/>
                    <w:rPr>
                      <w:rFonts w:hint="default"/>
                    </w:rPr>
                  </w:pPr>
                </w:p>
              </w:tc>
              <w:tc>
                <w:tcPr>
                  <w:tcW w:w="320" w:type="pct"/>
                  <w:tcBorders>
                    <w:tl2br w:val="nil"/>
                    <w:tr2bl w:val="nil"/>
                  </w:tcBorders>
                  <w:vAlign w:val="center"/>
                </w:tcPr>
                <w:p w14:paraId="61C76E25">
                  <w:pPr>
                    <w:pStyle w:val="83"/>
                    <w:rPr>
                      <w:rFonts w:hint="default"/>
                    </w:rPr>
                  </w:pPr>
                  <w:r>
                    <w:t>总有机碳</w:t>
                  </w:r>
                </w:p>
              </w:tc>
              <w:tc>
                <w:tcPr>
                  <w:tcW w:w="267" w:type="pct"/>
                  <w:vMerge w:val="continue"/>
                  <w:tcBorders>
                    <w:tl2br w:val="nil"/>
                    <w:tr2bl w:val="nil"/>
                  </w:tcBorders>
                  <w:vAlign w:val="center"/>
                </w:tcPr>
                <w:p w14:paraId="3AD9671F">
                  <w:pPr>
                    <w:pStyle w:val="83"/>
                    <w:rPr>
                      <w:rFonts w:hint="default"/>
                    </w:rPr>
                  </w:pPr>
                </w:p>
              </w:tc>
              <w:tc>
                <w:tcPr>
                  <w:tcW w:w="308" w:type="pct"/>
                  <w:vMerge w:val="continue"/>
                  <w:tcBorders>
                    <w:tl2br w:val="nil"/>
                    <w:tr2bl w:val="nil"/>
                  </w:tcBorders>
                  <w:vAlign w:val="center"/>
                </w:tcPr>
                <w:p w14:paraId="4155D665">
                  <w:pPr>
                    <w:pStyle w:val="83"/>
                    <w:rPr>
                      <w:rFonts w:hint="default"/>
                    </w:rPr>
                  </w:pPr>
                </w:p>
              </w:tc>
              <w:tc>
                <w:tcPr>
                  <w:tcW w:w="383" w:type="pct"/>
                  <w:tcBorders>
                    <w:tl2br w:val="nil"/>
                    <w:tr2bl w:val="nil"/>
                  </w:tcBorders>
                  <w:vAlign w:val="center"/>
                </w:tcPr>
                <w:p w14:paraId="150EBB22">
                  <w:pPr>
                    <w:pStyle w:val="83"/>
                    <w:rPr>
                      <w:rFonts w:hint="default"/>
                    </w:rPr>
                  </w:pPr>
                  <w:r>
                    <w:t>200</w:t>
                  </w:r>
                </w:p>
              </w:tc>
              <w:tc>
                <w:tcPr>
                  <w:tcW w:w="323" w:type="pct"/>
                  <w:tcBorders>
                    <w:tl2br w:val="nil"/>
                    <w:tr2bl w:val="nil"/>
                  </w:tcBorders>
                  <w:vAlign w:val="center"/>
                </w:tcPr>
                <w:p w14:paraId="712DC40A">
                  <w:pPr>
                    <w:pStyle w:val="83"/>
                    <w:rPr>
                      <w:rFonts w:hint="default"/>
                    </w:rPr>
                  </w:pPr>
                  <w:r>
                    <w:t>0.02</w:t>
                  </w:r>
                </w:p>
              </w:tc>
              <w:tc>
                <w:tcPr>
                  <w:tcW w:w="437" w:type="pct"/>
                  <w:vMerge w:val="continue"/>
                  <w:tcBorders>
                    <w:tl2br w:val="nil"/>
                    <w:tr2bl w:val="nil"/>
                  </w:tcBorders>
                  <w:vAlign w:val="center"/>
                </w:tcPr>
                <w:p w14:paraId="03C6B8C9">
                  <w:pPr>
                    <w:pStyle w:val="83"/>
                    <w:rPr>
                      <w:rFonts w:hint="default"/>
                    </w:rPr>
                  </w:pPr>
                </w:p>
              </w:tc>
              <w:tc>
                <w:tcPr>
                  <w:tcW w:w="306" w:type="pct"/>
                  <w:tcBorders>
                    <w:tl2br w:val="nil"/>
                    <w:tr2bl w:val="nil"/>
                  </w:tcBorders>
                  <w:vAlign w:val="center"/>
                </w:tcPr>
                <w:p w14:paraId="79ABA1F3">
                  <w:pPr>
                    <w:pStyle w:val="83"/>
                    <w:rPr>
                      <w:rFonts w:hint="default"/>
                    </w:rPr>
                  </w:pPr>
                  <w:r>
                    <w:t>90</w:t>
                  </w:r>
                </w:p>
              </w:tc>
              <w:tc>
                <w:tcPr>
                  <w:tcW w:w="357" w:type="pct"/>
                  <w:vMerge w:val="continue"/>
                  <w:tcBorders>
                    <w:tl2br w:val="nil"/>
                    <w:tr2bl w:val="nil"/>
                  </w:tcBorders>
                  <w:vAlign w:val="center"/>
                </w:tcPr>
                <w:p w14:paraId="4870EA8D">
                  <w:pPr>
                    <w:pStyle w:val="83"/>
                    <w:rPr>
                      <w:rFonts w:hint="default"/>
                    </w:rPr>
                  </w:pPr>
                </w:p>
              </w:tc>
              <w:tc>
                <w:tcPr>
                  <w:tcW w:w="390" w:type="pct"/>
                  <w:tcBorders>
                    <w:tl2br w:val="nil"/>
                    <w:tr2bl w:val="nil"/>
                  </w:tcBorders>
                  <w:vAlign w:val="center"/>
                </w:tcPr>
                <w:p w14:paraId="2EE3060E">
                  <w:pPr>
                    <w:pStyle w:val="83"/>
                    <w:rPr>
                      <w:rFonts w:hint="default"/>
                    </w:rPr>
                  </w:pPr>
                  <w:r>
                    <w:t>20</w:t>
                  </w:r>
                </w:p>
              </w:tc>
              <w:tc>
                <w:tcPr>
                  <w:tcW w:w="310" w:type="pct"/>
                  <w:tcBorders>
                    <w:tl2br w:val="nil"/>
                    <w:tr2bl w:val="nil"/>
                  </w:tcBorders>
                  <w:vAlign w:val="center"/>
                </w:tcPr>
                <w:p w14:paraId="566C10F7">
                  <w:pPr>
                    <w:pStyle w:val="83"/>
                    <w:rPr>
                      <w:rFonts w:hint="default"/>
                    </w:rPr>
                  </w:pPr>
                  <w:r>
                    <w:t>/</w:t>
                  </w:r>
                </w:p>
              </w:tc>
            </w:tr>
            <w:tr w14:paraId="5CB2035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7646453E">
                  <w:pPr>
                    <w:pStyle w:val="83"/>
                    <w:rPr>
                      <w:rFonts w:hint="default"/>
                    </w:rPr>
                  </w:pPr>
                  <w:r>
                    <w:t>实验室烟气净化系统</w:t>
                  </w:r>
                </w:p>
              </w:tc>
              <w:tc>
                <w:tcPr>
                  <w:tcW w:w="319" w:type="pct"/>
                  <w:vMerge w:val="restart"/>
                  <w:tcBorders>
                    <w:tl2br w:val="nil"/>
                    <w:tr2bl w:val="nil"/>
                  </w:tcBorders>
                  <w:vAlign w:val="center"/>
                </w:tcPr>
                <w:p w14:paraId="00DB4D0B">
                  <w:pPr>
                    <w:pStyle w:val="83"/>
                    <w:rPr>
                      <w:rFonts w:hint="default"/>
                    </w:rPr>
                  </w:pPr>
                  <w:r>
                    <w:t>生产废水</w:t>
                  </w:r>
                </w:p>
              </w:tc>
              <w:tc>
                <w:tcPr>
                  <w:tcW w:w="981" w:type="pct"/>
                  <w:vMerge w:val="restart"/>
                  <w:tcBorders>
                    <w:tl2br w:val="nil"/>
                    <w:tr2bl w:val="nil"/>
                  </w:tcBorders>
                  <w:vAlign w:val="center"/>
                </w:tcPr>
                <w:p w14:paraId="782759A9">
                  <w:pPr>
                    <w:pStyle w:val="83"/>
                    <w:rPr>
                      <w:rFonts w:hint="default"/>
                    </w:rPr>
                  </w:pPr>
                  <w:r>
                    <w:t>水解酸化池+IEPI高效厌氧塔+A/O池+MBR膜生物反应系统+RO反渗透系统</w:t>
                  </w:r>
                </w:p>
              </w:tc>
              <w:tc>
                <w:tcPr>
                  <w:tcW w:w="320" w:type="pct"/>
                  <w:tcBorders>
                    <w:tl2br w:val="nil"/>
                    <w:tr2bl w:val="nil"/>
                  </w:tcBorders>
                  <w:vAlign w:val="center"/>
                </w:tcPr>
                <w:p w14:paraId="18A7B138">
                  <w:pPr>
                    <w:pStyle w:val="83"/>
                    <w:rPr>
                      <w:rFonts w:hint="default"/>
                    </w:rPr>
                  </w:pPr>
                  <w:r>
                    <w:t>COD</w:t>
                  </w:r>
                </w:p>
              </w:tc>
              <w:tc>
                <w:tcPr>
                  <w:tcW w:w="267" w:type="pct"/>
                  <w:vMerge w:val="restart"/>
                  <w:tcBorders>
                    <w:tl2br w:val="nil"/>
                    <w:tr2bl w:val="nil"/>
                  </w:tcBorders>
                  <w:vAlign w:val="center"/>
                </w:tcPr>
                <w:p w14:paraId="744663EB">
                  <w:pPr>
                    <w:pStyle w:val="83"/>
                    <w:rPr>
                      <w:rFonts w:hint="default"/>
                    </w:rPr>
                  </w:pPr>
                  <w:r>
                    <w:t>类比法</w:t>
                  </w:r>
                </w:p>
              </w:tc>
              <w:tc>
                <w:tcPr>
                  <w:tcW w:w="308" w:type="pct"/>
                  <w:vMerge w:val="restart"/>
                  <w:tcBorders>
                    <w:tl2br w:val="nil"/>
                    <w:tr2bl w:val="nil"/>
                  </w:tcBorders>
                  <w:vAlign w:val="center"/>
                </w:tcPr>
                <w:p w14:paraId="4B741F83">
                  <w:pPr>
                    <w:pStyle w:val="83"/>
                    <w:rPr>
                      <w:rFonts w:hint="default"/>
                    </w:rPr>
                  </w:pPr>
                  <w:r>
                    <w:t>87.6</w:t>
                  </w:r>
                </w:p>
              </w:tc>
              <w:tc>
                <w:tcPr>
                  <w:tcW w:w="383" w:type="pct"/>
                  <w:tcBorders>
                    <w:tl2br w:val="nil"/>
                    <w:tr2bl w:val="nil"/>
                  </w:tcBorders>
                  <w:vAlign w:val="center"/>
                </w:tcPr>
                <w:p w14:paraId="40E9C938">
                  <w:pPr>
                    <w:pStyle w:val="83"/>
                    <w:rPr>
                      <w:rFonts w:hint="default"/>
                    </w:rPr>
                  </w:pPr>
                  <w:r>
                    <w:t>500</w:t>
                  </w:r>
                </w:p>
              </w:tc>
              <w:tc>
                <w:tcPr>
                  <w:tcW w:w="323" w:type="pct"/>
                  <w:tcBorders>
                    <w:tl2br w:val="nil"/>
                    <w:tr2bl w:val="nil"/>
                  </w:tcBorders>
                  <w:vAlign w:val="center"/>
                </w:tcPr>
                <w:p w14:paraId="63D94102">
                  <w:pPr>
                    <w:pStyle w:val="83"/>
                    <w:rPr>
                      <w:rFonts w:hint="default"/>
                    </w:rPr>
                  </w:pPr>
                  <w:r>
                    <w:t>0.044</w:t>
                  </w:r>
                </w:p>
              </w:tc>
              <w:tc>
                <w:tcPr>
                  <w:tcW w:w="437" w:type="pct"/>
                  <w:vMerge w:val="restart"/>
                  <w:tcBorders>
                    <w:tl2br w:val="nil"/>
                    <w:tr2bl w:val="nil"/>
                  </w:tcBorders>
                  <w:vAlign w:val="center"/>
                </w:tcPr>
                <w:p w14:paraId="209FD780">
                  <w:pPr>
                    <w:pStyle w:val="83"/>
                    <w:rPr>
                      <w:rFonts w:hint="default"/>
                    </w:rPr>
                  </w:pPr>
                  <w:r>
                    <w:t>水解酸化+高效厌氧+厌氧好氧+MBR+RO</w:t>
                  </w:r>
                </w:p>
              </w:tc>
              <w:tc>
                <w:tcPr>
                  <w:tcW w:w="306" w:type="pct"/>
                  <w:tcBorders>
                    <w:tl2br w:val="nil"/>
                    <w:tr2bl w:val="nil"/>
                  </w:tcBorders>
                  <w:vAlign w:val="center"/>
                </w:tcPr>
                <w:p w14:paraId="2F1B00F3">
                  <w:pPr>
                    <w:pStyle w:val="83"/>
                    <w:rPr>
                      <w:rFonts w:hint="default"/>
                    </w:rPr>
                  </w:pPr>
                  <w:r>
                    <w:t>99</w:t>
                  </w:r>
                </w:p>
              </w:tc>
              <w:tc>
                <w:tcPr>
                  <w:tcW w:w="357" w:type="pct"/>
                  <w:vMerge w:val="restart"/>
                  <w:tcBorders>
                    <w:tl2br w:val="nil"/>
                    <w:tr2bl w:val="nil"/>
                  </w:tcBorders>
                  <w:vAlign w:val="center"/>
                </w:tcPr>
                <w:p w14:paraId="3A002DA3">
                  <w:pPr>
                    <w:pStyle w:val="83"/>
                    <w:rPr>
                      <w:rFonts w:hint="default"/>
                    </w:rPr>
                  </w:pPr>
                  <w:r>
                    <w:t>/</w:t>
                  </w:r>
                </w:p>
              </w:tc>
              <w:tc>
                <w:tcPr>
                  <w:tcW w:w="390" w:type="pct"/>
                  <w:tcBorders>
                    <w:tl2br w:val="nil"/>
                    <w:tr2bl w:val="nil"/>
                  </w:tcBorders>
                  <w:vAlign w:val="center"/>
                </w:tcPr>
                <w:p w14:paraId="33E3AB5E">
                  <w:pPr>
                    <w:pStyle w:val="83"/>
                    <w:rPr>
                      <w:rFonts w:hint="default"/>
                    </w:rPr>
                  </w:pPr>
                  <w:r>
                    <w:t>5</w:t>
                  </w:r>
                </w:p>
              </w:tc>
              <w:tc>
                <w:tcPr>
                  <w:tcW w:w="310" w:type="pct"/>
                  <w:tcBorders>
                    <w:tl2br w:val="nil"/>
                    <w:tr2bl w:val="nil"/>
                  </w:tcBorders>
                  <w:vAlign w:val="center"/>
                </w:tcPr>
                <w:p w14:paraId="4032173B">
                  <w:pPr>
                    <w:pStyle w:val="83"/>
                    <w:rPr>
                      <w:rFonts w:hint="default"/>
                    </w:rPr>
                  </w:pPr>
                  <w:r>
                    <w:t>/</w:t>
                  </w:r>
                </w:p>
              </w:tc>
            </w:tr>
            <w:tr w14:paraId="5D653A9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34379A7E">
                  <w:pPr>
                    <w:pStyle w:val="83"/>
                    <w:rPr>
                      <w:rFonts w:hint="default"/>
                    </w:rPr>
                  </w:pPr>
                </w:p>
              </w:tc>
              <w:tc>
                <w:tcPr>
                  <w:tcW w:w="319" w:type="pct"/>
                  <w:vMerge w:val="continue"/>
                  <w:tcBorders>
                    <w:tl2br w:val="nil"/>
                    <w:tr2bl w:val="nil"/>
                  </w:tcBorders>
                  <w:vAlign w:val="center"/>
                </w:tcPr>
                <w:p w14:paraId="542EA4D8">
                  <w:pPr>
                    <w:pStyle w:val="83"/>
                    <w:rPr>
                      <w:rFonts w:hint="default"/>
                    </w:rPr>
                  </w:pPr>
                </w:p>
              </w:tc>
              <w:tc>
                <w:tcPr>
                  <w:tcW w:w="981" w:type="pct"/>
                  <w:vMerge w:val="continue"/>
                  <w:tcBorders>
                    <w:tl2br w:val="nil"/>
                    <w:tr2bl w:val="nil"/>
                  </w:tcBorders>
                  <w:vAlign w:val="center"/>
                </w:tcPr>
                <w:p w14:paraId="1C76E0D7">
                  <w:pPr>
                    <w:pStyle w:val="83"/>
                    <w:rPr>
                      <w:rFonts w:hint="default"/>
                    </w:rPr>
                  </w:pPr>
                </w:p>
              </w:tc>
              <w:tc>
                <w:tcPr>
                  <w:tcW w:w="320" w:type="pct"/>
                  <w:tcBorders>
                    <w:tl2br w:val="nil"/>
                    <w:tr2bl w:val="nil"/>
                  </w:tcBorders>
                  <w:vAlign w:val="center"/>
                </w:tcPr>
                <w:p w14:paraId="179C60F0">
                  <w:pPr>
                    <w:pStyle w:val="83"/>
                    <w:rPr>
                      <w:rFonts w:hint="default"/>
                    </w:rPr>
                  </w:pPr>
                  <w:r>
                    <w:t>BOD</w:t>
                  </w:r>
                  <w:r>
                    <w:rPr>
                      <w:vertAlign w:val="subscript"/>
                    </w:rPr>
                    <w:t>5</w:t>
                  </w:r>
                </w:p>
              </w:tc>
              <w:tc>
                <w:tcPr>
                  <w:tcW w:w="267" w:type="pct"/>
                  <w:vMerge w:val="continue"/>
                  <w:tcBorders>
                    <w:tl2br w:val="nil"/>
                    <w:tr2bl w:val="nil"/>
                  </w:tcBorders>
                  <w:vAlign w:val="center"/>
                </w:tcPr>
                <w:p w14:paraId="653F9FF1">
                  <w:pPr>
                    <w:pStyle w:val="83"/>
                    <w:rPr>
                      <w:rFonts w:hint="default"/>
                    </w:rPr>
                  </w:pPr>
                </w:p>
              </w:tc>
              <w:tc>
                <w:tcPr>
                  <w:tcW w:w="308" w:type="pct"/>
                  <w:vMerge w:val="continue"/>
                  <w:tcBorders>
                    <w:tl2br w:val="nil"/>
                    <w:tr2bl w:val="nil"/>
                  </w:tcBorders>
                  <w:vAlign w:val="center"/>
                </w:tcPr>
                <w:p w14:paraId="54E7C8B3">
                  <w:pPr>
                    <w:pStyle w:val="83"/>
                    <w:rPr>
                      <w:rFonts w:hint="default"/>
                    </w:rPr>
                  </w:pPr>
                </w:p>
              </w:tc>
              <w:tc>
                <w:tcPr>
                  <w:tcW w:w="383" w:type="pct"/>
                  <w:tcBorders>
                    <w:tl2br w:val="nil"/>
                    <w:tr2bl w:val="nil"/>
                  </w:tcBorders>
                  <w:vAlign w:val="center"/>
                </w:tcPr>
                <w:p w14:paraId="5B0B674C">
                  <w:pPr>
                    <w:pStyle w:val="83"/>
                    <w:rPr>
                      <w:rFonts w:hint="default"/>
                    </w:rPr>
                  </w:pPr>
                  <w:r>
                    <w:t>250</w:t>
                  </w:r>
                </w:p>
              </w:tc>
              <w:tc>
                <w:tcPr>
                  <w:tcW w:w="323" w:type="pct"/>
                  <w:tcBorders>
                    <w:tl2br w:val="nil"/>
                    <w:tr2bl w:val="nil"/>
                  </w:tcBorders>
                  <w:vAlign w:val="center"/>
                </w:tcPr>
                <w:p w14:paraId="5F86BA81">
                  <w:pPr>
                    <w:pStyle w:val="83"/>
                    <w:rPr>
                      <w:rFonts w:hint="default"/>
                    </w:rPr>
                  </w:pPr>
                  <w:r>
                    <w:t>0.022</w:t>
                  </w:r>
                </w:p>
              </w:tc>
              <w:tc>
                <w:tcPr>
                  <w:tcW w:w="437" w:type="pct"/>
                  <w:vMerge w:val="continue"/>
                  <w:tcBorders>
                    <w:tl2br w:val="nil"/>
                    <w:tr2bl w:val="nil"/>
                  </w:tcBorders>
                  <w:vAlign w:val="center"/>
                </w:tcPr>
                <w:p w14:paraId="4EADD648">
                  <w:pPr>
                    <w:pStyle w:val="83"/>
                    <w:rPr>
                      <w:rFonts w:hint="default"/>
                    </w:rPr>
                  </w:pPr>
                </w:p>
              </w:tc>
              <w:tc>
                <w:tcPr>
                  <w:tcW w:w="306" w:type="pct"/>
                  <w:tcBorders>
                    <w:tl2br w:val="nil"/>
                    <w:tr2bl w:val="nil"/>
                  </w:tcBorders>
                  <w:vAlign w:val="center"/>
                </w:tcPr>
                <w:p w14:paraId="7E0265D0">
                  <w:pPr>
                    <w:pStyle w:val="83"/>
                    <w:rPr>
                      <w:rFonts w:hint="default"/>
                    </w:rPr>
                  </w:pPr>
                  <w:r>
                    <w:t>99.5</w:t>
                  </w:r>
                </w:p>
              </w:tc>
              <w:tc>
                <w:tcPr>
                  <w:tcW w:w="357" w:type="pct"/>
                  <w:vMerge w:val="continue"/>
                  <w:tcBorders>
                    <w:tl2br w:val="nil"/>
                    <w:tr2bl w:val="nil"/>
                  </w:tcBorders>
                  <w:vAlign w:val="center"/>
                </w:tcPr>
                <w:p w14:paraId="3D08DEB7">
                  <w:pPr>
                    <w:pStyle w:val="83"/>
                    <w:rPr>
                      <w:rFonts w:hint="default"/>
                    </w:rPr>
                  </w:pPr>
                </w:p>
              </w:tc>
              <w:tc>
                <w:tcPr>
                  <w:tcW w:w="390" w:type="pct"/>
                  <w:tcBorders>
                    <w:tl2br w:val="nil"/>
                    <w:tr2bl w:val="nil"/>
                  </w:tcBorders>
                  <w:vAlign w:val="center"/>
                </w:tcPr>
                <w:p w14:paraId="1854D997">
                  <w:pPr>
                    <w:pStyle w:val="83"/>
                    <w:rPr>
                      <w:rFonts w:hint="default"/>
                    </w:rPr>
                  </w:pPr>
                  <w:r>
                    <w:t>1.25</w:t>
                  </w:r>
                </w:p>
              </w:tc>
              <w:tc>
                <w:tcPr>
                  <w:tcW w:w="310" w:type="pct"/>
                  <w:tcBorders>
                    <w:tl2br w:val="nil"/>
                    <w:tr2bl w:val="nil"/>
                  </w:tcBorders>
                  <w:vAlign w:val="center"/>
                </w:tcPr>
                <w:p w14:paraId="0A2C37CC">
                  <w:pPr>
                    <w:pStyle w:val="83"/>
                    <w:rPr>
                      <w:rFonts w:hint="default"/>
                    </w:rPr>
                  </w:pPr>
                  <w:r>
                    <w:t>/</w:t>
                  </w:r>
                </w:p>
              </w:tc>
            </w:tr>
            <w:tr w14:paraId="3DA10DA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0F859683">
                  <w:pPr>
                    <w:pStyle w:val="83"/>
                    <w:rPr>
                      <w:rFonts w:hint="default"/>
                    </w:rPr>
                  </w:pPr>
                </w:p>
              </w:tc>
              <w:tc>
                <w:tcPr>
                  <w:tcW w:w="319" w:type="pct"/>
                  <w:vMerge w:val="continue"/>
                  <w:tcBorders>
                    <w:tl2br w:val="nil"/>
                    <w:tr2bl w:val="nil"/>
                  </w:tcBorders>
                  <w:vAlign w:val="center"/>
                </w:tcPr>
                <w:p w14:paraId="12EBE966">
                  <w:pPr>
                    <w:pStyle w:val="83"/>
                    <w:rPr>
                      <w:rFonts w:hint="default"/>
                    </w:rPr>
                  </w:pPr>
                </w:p>
              </w:tc>
              <w:tc>
                <w:tcPr>
                  <w:tcW w:w="981" w:type="pct"/>
                  <w:vMerge w:val="continue"/>
                  <w:tcBorders>
                    <w:tl2br w:val="nil"/>
                    <w:tr2bl w:val="nil"/>
                  </w:tcBorders>
                  <w:vAlign w:val="center"/>
                </w:tcPr>
                <w:p w14:paraId="7F659E4E">
                  <w:pPr>
                    <w:pStyle w:val="83"/>
                    <w:rPr>
                      <w:rFonts w:hint="default"/>
                    </w:rPr>
                  </w:pPr>
                </w:p>
              </w:tc>
              <w:tc>
                <w:tcPr>
                  <w:tcW w:w="320" w:type="pct"/>
                  <w:tcBorders>
                    <w:tl2br w:val="nil"/>
                    <w:tr2bl w:val="nil"/>
                  </w:tcBorders>
                  <w:vAlign w:val="center"/>
                </w:tcPr>
                <w:p w14:paraId="787715A3">
                  <w:pPr>
                    <w:pStyle w:val="83"/>
                    <w:rPr>
                      <w:rFonts w:hint="default"/>
                    </w:rPr>
                  </w:pPr>
                  <w:r>
                    <w:t>SS</w:t>
                  </w:r>
                </w:p>
              </w:tc>
              <w:tc>
                <w:tcPr>
                  <w:tcW w:w="267" w:type="pct"/>
                  <w:vMerge w:val="continue"/>
                  <w:tcBorders>
                    <w:tl2br w:val="nil"/>
                    <w:tr2bl w:val="nil"/>
                  </w:tcBorders>
                  <w:vAlign w:val="center"/>
                </w:tcPr>
                <w:p w14:paraId="0B85FF6F">
                  <w:pPr>
                    <w:pStyle w:val="83"/>
                    <w:rPr>
                      <w:rFonts w:hint="default"/>
                    </w:rPr>
                  </w:pPr>
                </w:p>
              </w:tc>
              <w:tc>
                <w:tcPr>
                  <w:tcW w:w="308" w:type="pct"/>
                  <w:vMerge w:val="continue"/>
                  <w:tcBorders>
                    <w:tl2br w:val="nil"/>
                    <w:tr2bl w:val="nil"/>
                  </w:tcBorders>
                  <w:vAlign w:val="center"/>
                </w:tcPr>
                <w:p w14:paraId="2EA50A7C">
                  <w:pPr>
                    <w:pStyle w:val="83"/>
                    <w:rPr>
                      <w:rFonts w:hint="default"/>
                    </w:rPr>
                  </w:pPr>
                </w:p>
              </w:tc>
              <w:tc>
                <w:tcPr>
                  <w:tcW w:w="383" w:type="pct"/>
                  <w:tcBorders>
                    <w:tl2br w:val="nil"/>
                    <w:tr2bl w:val="nil"/>
                  </w:tcBorders>
                  <w:vAlign w:val="center"/>
                </w:tcPr>
                <w:p w14:paraId="0C9003A1">
                  <w:pPr>
                    <w:pStyle w:val="83"/>
                    <w:rPr>
                      <w:rFonts w:hint="default"/>
                    </w:rPr>
                  </w:pPr>
                  <w:r>
                    <w:t>200</w:t>
                  </w:r>
                </w:p>
              </w:tc>
              <w:tc>
                <w:tcPr>
                  <w:tcW w:w="323" w:type="pct"/>
                  <w:tcBorders>
                    <w:tl2br w:val="nil"/>
                    <w:tr2bl w:val="nil"/>
                  </w:tcBorders>
                  <w:vAlign w:val="center"/>
                </w:tcPr>
                <w:p w14:paraId="0BE7DD08">
                  <w:pPr>
                    <w:pStyle w:val="83"/>
                    <w:rPr>
                      <w:rFonts w:hint="default"/>
                    </w:rPr>
                  </w:pPr>
                  <w:r>
                    <w:t>0.018</w:t>
                  </w:r>
                </w:p>
              </w:tc>
              <w:tc>
                <w:tcPr>
                  <w:tcW w:w="437" w:type="pct"/>
                  <w:vMerge w:val="continue"/>
                  <w:tcBorders>
                    <w:tl2br w:val="nil"/>
                    <w:tr2bl w:val="nil"/>
                  </w:tcBorders>
                  <w:vAlign w:val="center"/>
                </w:tcPr>
                <w:p w14:paraId="59172F75">
                  <w:pPr>
                    <w:pStyle w:val="83"/>
                    <w:rPr>
                      <w:rFonts w:hint="default"/>
                    </w:rPr>
                  </w:pPr>
                </w:p>
              </w:tc>
              <w:tc>
                <w:tcPr>
                  <w:tcW w:w="306" w:type="pct"/>
                  <w:tcBorders>
                    <w:tl2br w:val="nil"/>
                    <w:tr2bl w:val="nil"/>
                  </w:tcBorders>
                  <w:vAlign w:val="center"/>
                </w:tcPr>
                <w:p w14:paraId="69847424">
                  <w:pPr>
                    <w:pStyle w:val="83"/>
                    <w:rPr>
                      <w:rFonts w:hint="default"/>
                    </w:rPr>
                  </w:pPr>
                  <w:r>
                    <w:t>96</w:t>
                  </w:r>
                </w:p>
              </w:tc>
              <w:tc>
                <w:tcPr>
                  <w:tcW w:w="357" w:type="pct"/>
                  <w:vMerge w:val="continue"/>
                  <w:tcBorders>
                    <w:tl2br w:val="nil"/>
                    <w:tr2bl w:val="nil"/>
                  </w:tcBorders>
                  <w:vAlign w:val="center"/>
                </w:tcPr>
                <w:p w14:paraId="196884B6">
                  <w:pPr>
                    <w:pStyle w:val="83"/>
                    <w:rPr>
                      <w:rFonts w:hint="default"/>
                    </w:rPr>
                  </w:pPr>
                </w:p>
              </w:tc>
              <w:tc>
                <w:tcPr>
                  <w:tcW w:w="390" w:type="pct"/>
                  <w:tcBorders>
                    <w:tl2br w:val="nil"/>
                    <w:tr2bl w:val="nil"/>
                  </w:tcBorders>
                  <w:vAlign w:val="center"/>
                </w:tcPr>
                <w:p w14:paraId="59B808B7">
                  <w:pPr>
                    <w:pStyle w:val="83"/>
                    <w:rPr>
                      <w:rFonts w:hint="default"/>
                    </w:rPr>
                  </w:pPr>
                  <w:r>
                    <w:t>8</w:t>
                  </w:r>
                </w:p>
              </w:tc>
              <w:tc>
                <w:tcPr>
                  <w:tcW w:w="310" w:type="pct"/>
                  <w:tcBorders>
                    <w:tl2br w:val="nil"/>
                    <w:tr2bl w:val="nil"/>
                  </w:tcBorders>
                  <w:vAlign w:val="center"/>
                </w:tcPr>
                <w:p w14:paraId="04334314">
                  <w:pPr>
                    <w:pStyle w:val="83"/>
                    <w:rPr>
                      <w:rFonts w:hint="default"/>
                    </w:rPr>
                  </w:pPr>
                  <w:r>
                    <w:t>/</w:t>
                  </w:r>
                </w:p>
              </w:tc>
            </w:tr>
            <w:tr w14:paraId="6E73246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669508F8">
                  <w:pPr>
                    <w:pStyle w:val="83"/>
                    <w:rPr>
                      <w:rFonts w:hint="default"/>
                    </w:rPr>
                  </w:pPr>
                </w:p>
              </w:tc>
              <w:tc>
                <w:tcPr>
                  <w:tcW w:w="319" w:type="pct"/>
                  <w:vMerge w:val="continue"/>
                  <w:tcBorders>
                    <w:tl2br w:val="nil"/>
                    <w:tr2bl w:val="nil"/>
                  </w:tcBorders>
                  <w:vAlign w:val="center"/>
                </w:tcPr>
                <w:p w14:paraId="7E85FB5D">
                  <w:pPr>
                    <w:pStyle w:val="83"/>
                    <w:rPr>
                      <w:rFonts w:hint="default"/>
                    </w:rPr>
                  </w:pPr>
                </w:p>
              </w:tc>
              <w:tc>
                <w:tcPr>
                  <w:tcW w:w="981" w:type="pct"/>
                  <w:vMerge w:val="continue"/>
                  <w:tcBorders>
                    <w:tl2br w:val="nil"/>
                    <w:tr2bl w:val="nil"/>
                  </w:tcBorders>
                  <w:vAlign w:val="center"/>
                </w:tcPr>
                <w:p w14:paraId="750926DA">
                  <w:pPr>
                    <w:pStyle w:val="83"/>
                    <w:rPr>
                      <w:rFonts w:hint="default"/>
                    </w:rPr>
                  </w:pPr>
                </w:p>
              </w:tc>
              <w:tc>
                <w:tcPr>
                  <w:tcW w:w="320" w:type="pct"/>
                  <w:tcBorders>
                    <w:tl2br w:val="nil"/>
                    <w:tr2bl w:val="nil"/>
                  </w:tcBorders>
                  <w:vAlign w:val="center"/>
                </w:tcPr>
                <w:p w14:paraId="7B247400">
                  <w:pPr>
                    <w:pStyle w:val="83"/>
                    <w:rPr>
                      <w:rFonts w:hint="default"/>
                    </w:rPr>
                  </w:pPr>
                  <w:r>
                    <w:t>氨氮</w:t>
                  </w:r>
                </w:p>
              </w:tc>
              <w:tc>
                <w:tcPr>
                  <w:tcW w:w="267" w:type="pct"/>
                  <w:vMerge w:val="continue"/>
                  <w:tcBorders>
                    <w:tl2br w:val="nil"/>
                    <w:tr2bl w:val="nil"/>
                  </w:tcBorders>
                  <w:vAlign w:val="center"/>
                </w:tcPr>
                <w:p w14:paraId="4083191D">
                  <w:pPr>
                    <w:pStyle w:val="83"/>
                    <w:rPr>
                      <w:rFonts w:hint="default"/>
                    </w:rPr>
                  </w:pPr>
                </w:p>
              </w:tc>
              <w:tc>
                <w:tcPr>
                  <w:tcW w:w="308" w:type="pct"/>
                  <w:vMerge w:val="continue"/>
                  <w:tcBorders>
                    <w:tl2br w:val="nil"/>
                    <w:tr2bl w:val="nil"/>
                  </w:tcBorders>
                  <w:vAlign w:val="center"/>
                </w:tcPr>
                <w:p w14:paraId="006743C8">
                  <w:pPr>
                    <w:pStyle w:val="83"/>
                    <w:rPr>
                      <w:rFonts w:hint="default"/>
                    </w:rPr>
                  </w:pPr>
                </w:p>
              </w:tc>
              <w:tc>
                <w:tcPr>
                  <w:tcW w:w="383" w:type="pct"/>
                  <w:tcBorders>
                    <w:tl2br w:val="nil"/>
                    <w:tr2bl w:val="nil"/>
                  </w:tcBorders>
                  <w:vAlign w:val="center"/>
                </w:tcPr>
                <w:p w14:paraId="14A005C2">
                  <w:pPr>
                    <w:pStyle w:val="83"/>
                    <w:rPr>
                      <w:rFonts w:hint="default"/>
                    </w:rPr>
                  </w:pPr>
                  <w:r>
                    <w:t>35</w:t>
                  </w:r>
                </w:p>
              </w:tc>
              <w:tc>
                <w:tcPr>
                  <w:tcW w:w="323" w:type="pct"/>
                  <w:tcBorders>
                    <w:tl2br w:val="nil"/>
                    <w:tr2bl w:val="nil"/>
                  </w:tcBorders>
                  <w:vAlign w:val="center"/>
                </w:tcPr>
                <w:p w14:paraId="5A099C7F">
                  <w:pPr>
                    <w:pStyle w:val="83"/>
                    <w:rPr>
                      <w:rFonts w:hint="default"/>
                    </w:rPr>
                  </w:pPr>
                  <w:r>
                    <w:t>0.003</w:t>
                  </w:r>
                </w:p>
              </w:tc>
              <w:tc>
                <w:tcPr>
                  <w:tcW w:w="437" w:type="pct"/>
                  <w:vMerge w:val="continue"/>
                  <w:tcBorders>
                    <w:tl2br w:val="nil"/>
                    <w:tr2bl w:val="nil"/>
                  </w:tcBorders>
                  <w:vAlign w:val="center"/>
                </w:tcPr>
                <w:p w14:paraId="3DC5A51C">
                  <w:pPr>
                    <w:pStyle w:val="83"/>
                    <w:rPr>
                      <w:rFonts w:hint="default"/>
                    </w:rPr>
                  </w:pPr>
                </w:p>
              </w:tc>
              <w:tc>
                <w:tcPr>
                  <w:tcW w:w="306" w:type="pct"/>
                  <w:tcBorders>
                    <w:tl2br w:val="nil"/>
                    <w:tr2bl w:val="nil"/>
                  </w:tcBorders>
                  <w:vAlign w:val="center"/>
                </w:tcPr>
                <w:p w14:paraId="625C0194">
                  <w:pPr>
                    <w:pStyle w:val="83"/>
                    <w:rPr>
                      <w:rFonts w:hint="default"/>
                    </w:rPr>
                  </w:pPr>
                  <w:r>
                    <w:t>99.5</w:t>
                  </w:r>
                </w:p>
              </w:tc>
              <w:tc>
                <w:tcPr>
                  <w:tcW w:w="357" w:type="pct"/>
                  <w:vMerge w:val="continue"/>
                  <w:tcBorders>
                    <w:tl2br w:val="nil"/>
                    <w:tr2bl w:val="nil"/>
                  </w:tcBorders>
                  <w:vAlign w:val="center"/>
                </w:tcPr>
                <w:p w14:paraId="7EB585DF">
                  <w:pPr>
                    <w:pStyle w:val="83"/>
                    <w:rPr>
                      <w:rFonts w:hint="default"/>
                    </w:rPr>
                  </w:pPr>
                </w:p>
              </w:tc>
              <w:tc>
                <w:tcPr>
                  <w:tcW w:w="390" w:type="pct"/>
                  <w:tcBorders>
                    <w:tl2br w:val="nil"/>
                    <w:tr2bl w:val="nil"/>
                  </w:tcBorders>
                  <w:vAlign w:val="center"/>
                </w:tcPr>
                <w:p w14:paraId="14DDA690">
                  <w:pPr>
                    <w:pStyle w:val="83"/>
                    <w:rPr>
                      <w:rFonts w:hint="default"/>
                    </w:rPr>
                  </w:pPr>
                  <w:r>
                    <w:t>0.175</w:t>
                  </w:r>
                </w:p>
              </w:tc>
              <w:tc>
                <w:tcPr>
                  <w:tcW w:w="310" w:type="pct"/>
                  <w:tcBorders>
                    <w:tl2br w:val="nil"/>
                    <w:tr2bl w:val="nil"/>
                  </w:tcBorders>
                  <w:vAlign w:val="center"/>
                </w:tcPr>
                <w:p w14:paraId="164BA12E">
                  <w:pPr>
                    <w:pStyle w:val="83"/>
                    <w:rPr>
                      <w:rFonts w:hint="default"/>
                    </w:rPr>
                  </w:pPr>
                  <w:r>
                    <w:t>/</w:t>
                  </w:r>
                </w:p>
              </w:tc>
            </w:tr>
            <w:tr w14:paraId="3F68DF4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524829DB">
                  <w:pPr>
                    <w:pStyle w:val="83"/>
                    <w:rPr>
                      <w:rFonts w:hint="default"/>
                    </w:rPr>
                  </w:pPr>
                </w:p>
              </w:tc>
              <w:tc>
                <w:tcPr>
                  <w:tcW w:w="319" w:type="pct"/>
                  <w:vMerge w:val="continue"/>
                  <w:tcBorders>
                    <w:tl2br w:val="nil"/>
                    <w:tr2bl w:val="nil"/>
                  </w:tcBorders>
                  <w:vAlign w:val="center"/>
                </w:tcPr>
                <w:p w14:paraId="357A9771">
                  <w:pPr>
                    <w:pStyle w:val="83"/>
                    <w:rPr>
                      <w:rFonts w:hint="default"/>
                    </w:rPr>
                  </w:pPr>
                </w:p>
              </w:tc>
              <w:tc>
                <w:tcPr>
                  <w:tcW w:w="981" w:type="pct"/>
                  <w:vMerge w:val="continue"/>
                  <w:tcBorders>
                    <w:tl2br w:val="nil"/>
                    <w:tr2bl w:val="nil"/>
                  </w:tcBorders>
                  <w:vAlign w:val="center"/>
                </w:tcPr>
                <w:p w14:paraId="3B109E92">
                  <w:pPr>
                    <w:pStyle w:val="83"/>
                    <w:rPr>
                      <w:rFonts w:hint="default"/>
                    </w:rPr>
                  </w:pPr>
                </w:p>
              </w:tc>
              <w:tc>
                <w:tcPr>
                  <w:tcW w:w="320" w:type="pct"/>
                  <w:tcBorders>
                    <w:tl2br w:val="nil"/>
                    <w:tr2bl w:val="nil"/>
                  </w:tcBorders>
                  <w:vAlign w:val="center"/>
                </w:tcPr>
                <w:p w14:paraId="07A01CB0">
                  <w:pPr>
                    <w:pStyle w:val="83"/>
                    <w:rPr>
                      <w:rFonts w:hint="default"/>
                    </w:rPr>
                  </w:pPr>
                  <w:r>
                    <w:t>总有机碳</w:t>
                  </w:r>
                </w:p>
              </w:tc>
              <w:tc>
                <w:tcPr>
                  <w:tcW w:w="267" w:type="pct"/>
                  <w:vMerge w:val="continue"/>
                  <w:tcBorders>
                    <w:tl2br w:val="nil"/>
                    <w:tr2bl w:val="nil"/>
                  </w:tcBorders>
                  <w:vAlign w:val="center"/>
                </w:tcPr>
                <w:p w14:paraId="247930A8">
                  <w:pPr>
                    <w:pStyle w:val="83"/>
                    <w:rPr>
                      <w:rFonts w:hint="default"/>
                    </w:rPr>
                  </w:pPr>
                </w:p>
              </w:tc>
              <w:tc>
                <w:tcPr>
                  <w:tcW w:w="308" w:type="pct"/>
                  <w:vMerge w:val="continue"/>
                  <w:tcBorders>
                    <w:tl2br w:val="nil"/>
                    <w:tr2bl w:val="nil"/>
                  </w:tcBorders>
                  <w:vAlign w:val="center"/>
                </w:tcPr>
                <w:p w14:paraId="584C50A8">
                  <w:pPr>
                    <w:pStyle w:val="83"/>
                    <w:rPr>
                      <w:rFonts w:hint="default"/>
                    </w:rPr>
                  </w:pPr>
                </w:p>
              </w:tc>
              <w:tc>
                <w:tcPr>
                  <w:tcW w:w="383" w:type="pct"/>
                  <w:tcBorders>
                    <w:tl2br w:val="nil"/>
                    <w:tr2bl w:val="nil"/>
                  </w:tcBorders>
                  <w:vAlign w:val="center"/>
                </w:tcPr>
                <w:p w14:paraId="02BF1CA5">
                  <w:pPr>
                    <w:pStyle w:val="83"/>
                    <w:rPr>
                      <w:rFonts w:hint="default"/>
                    </w:rPr>
                  </w:pPr>
                  <w:r>
                    <w:t>200</w:t>
                  </w:r>
                </w:p>
              </w:tc>
              <w:tc>
                <w:tcPr>
                  <w:tcW w:w="323" w:type="pct"/>
                  <w:tcBorders>
                    <w:tl2br w:val="nil"/>
                    <w:tr2bl w:val="nil"/>
                  </w:tcBorders>
                  <w:vAlign w:val="center"/>
                </w:tcPr>
                <w:p w14:paraId="78BA90B9">
                  <w:pPr>
                    <w:pStyle w:val="83"/>
                    <w:rPr>
                      <w:rFonts w:hint="default"/>
                    </w:rPr>
                  </w:pPr>
                  <w:r>
                    <w:t>0.018</w:t>
                  </w:r>
                </w:p>
              </w:tc>
              <w:tc>
                <w:tcPr>
                  <w:tcW w:w="437" w:type="pct"/>
                  <w:vMerge w:val="continue"/>
                  <w:tcBorders>
                    <w:tl2br w:val="nil"/>
                    <w:tr2bl w:val="nil"/>
                  </w:tcBorders>
                  <w:vAlign w:val="center"/>
                </w:tcPr>
                <w:p w14:paraId="284EFE8D">
                  <w:pPr>
                    <w:pStyle w:val="83"/>
                    <w:rPr>
                      <w:rFonts w:hint="default"/>
                    </w:rPr>
                  </w:pPr>
                </w:p>
              </w:tc>
              <w:tc>
                <w:tcPr>
                  <w:tcW w:w="306" w:type="pct"/>
                  <w:tcBorders>
                    <w:tl2br w:val="nil"/>
                    <w:tr2bl w:val="nil"/>
                  </w:tcBorders>
                  <w:vAlign w:val="center"/>
                </w:tcPr>
                <w:p w14:paraId="79881CA5">
                  <w:pPr>
                    <w:pStyle w:val="83"/>
                    <w:rPr>
                      <w:rFonts w:hint="default"/>
                    </w:rPr>
                  </w:pPr>
                  <w:r>
                    <w:t>90</w:t>
                  </w:r>
                </w:p>
              </w:tc>
              <w:tc>
                <w:tcPr>
                  <w:tcW w:w="357" w:type="pct"/>
                  <w:vMerge w:val="continue"/>
                  <w:tcBorders>
                    <w:tl2br w:val="nil"/>
                    <w:tr2bl w:val="nil"/>
                  </w:tcBorders>
                  <w:vAlign w:val="center"/>
                </w:tcPr>
                <w:p w14:paraId="75BFD355">
                  <w:pPr>
                    <w:pStyle w:val="83"/>
                    <w:rPr>
                      <w:rFonts w:hint="default"/>
                    </w:rPr>
                  </w:pPr>
                </w:p>
              </w:tc>
              <w:tc>
                <w:tcPr>
                  <w:tcW w:w="390" w:type="pct"/>
                  <w:tcBorders>
                    <w:tl2br w:val="nil"/>
                    <w:tr2bl w:val="nil"/>
                  </w:tcBorders>
                  <w:vAlign w:val="center"/>
                </w:tcPr>
                <w:p w14:paraId="5B1B6B93">
                  <w:pPr>
                    <w:pStyle w:val="83"/>
                    <w:rPr>
                      <w:rFonts w:hint="default"/>
                    </w:rPr>
                  </w:pPr>
                  <w:r>
                    <w:t>20</w:t>
                  </w:r>
                </w:p>
              </w:tc>
              <w:tc>
                <w:tcPr>
                  <w:tcW w:w="310" w:type="pct"/>
                  <w:tcBorders>
                    <w:tl2br w:val="nil"/>
                    <w:tr2bl w:val="nil"/>
                  </w:tcBorders>
                  <w:vAlign w:val="center"/>
                </w:tcPr>
                <w:p w14:paraId="45FABE71">
                  <w:pPr>
                    <w:pStyle w:val="83"/>
                    <w:rPr>
                      <w:rFonts w:hint="default"/>
                    </w:rPr>
                  </w:pPr>
                  <w:r>
                    <w:t>/</w:t>
                  </w:r>
                </w:p>
              </w:tc>
            </w:tr>
            <w:tr w14:paraId="67B6A17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354B562E">
                  <w:pPr>
                    <w:pStyle w:val="83"/>
                    <w:rPr>
                      <w:rFonts w:hint="default"/>
                    </w:rPr>
                  </w:pPr>
                  <w:r>
                    <w:t>车间冲洗</w:t>
                  </w:r>
                </w:p>
              </w:tc>
              <w:tc>
                <w:tcPr>
                  <w:tcW w:w="319" w:type="pct"/>
                  <w:vMerge w:val="restart"/>
                  <w:tcBorders>
                    <w:tl2br w:val="nil"/>
                    <w:tr2bl w:val="nil"/>
                  </w:tcBorders>
                  <w:vAlign w:val="center"/>
                </w:tcPr>
                <w:p w14:paraId="2635E7F2">
                  <w:pPr>
                    <w:pStyle w:val="83"/>
                    <w:rPr>
                      <w:rFonts w:hint="default"/>
                    </w:rPr>
                  </w:pPr>
                  <w:r>
                    <w:t>生产废水</w:t>
                  </w:r>
                </w:p>
              </w:tc>
              <w:tc>
                <w:tcPr>
                  <w:tcW w:w="981" w:type="pct"/>
                  <w:vMerge w:val="restart"/>
                  <w:tcBorders>
                    <w:tl2br w:val="nil"/>
                    <w:tr2bl w:val="nil"/>
                  </w:tcBorders>
                  <w:vAlign w:val="center"/>
                </w:tcPr>
                <w:p w14:paraId="7D100275">
                  <w:pPr>
                    <w:pStyle w:val="83"/>
                    <w:rPr>
                      <w:rFonts w:hint="default"/>
                    </w:rPr>
                  </w:pPr>
                  <w:r>
                    <w:t>水解酸化池+IEPI高效厌氧塔+A/O池+MBR膜生物反应系统+RO反渗透系统</w:t>
                  </w:r>
                </w:p>
              </w:tc>
              <w:tc>
                <w:tcPr>
                  <w:tcW w:w="320" w:type="pct"/>
                  <w:tcBorders>
                    <w:tl2br w:val="nil"/>
                    <w:tr2bl w:val="nil"/>
                  </w:tcBorders>
                  <w:vAlign w:val="center"/>
                </w:tcPr>
                <w:p w14:paraId="6A3B30A5">
                  <w:pPr>
                    <w:pStyle w:val="83"/>
                    <w:rPr>
                      <w:rFonts w:hint="default"/>
                    </w:rPr>
                  </w:pPr>
                  <w:r>
                    <w:t>COD</w:t>
                  </w:r>
                </w:p>
              </w:tc>
              <w:tc>
                <w:tcPr>
                  <w:tcW w:w="267" w:type="pct"/>
                  <w:vMerge w:val="restart"/>
                  <w:tcBorders>
                    <w:tl2br w:val="nil"/>
                    <w:tr2bl w:val="nil"/>
                  </w:tcBorders>
                  <w:vAlign w:val="center"/>
                </w:tcPr>
                <w:p w14:paraId="7BC62ABD">
                  <w:pPr>
                    <w:pStyle w:val="83"/>
                    <w:rPr>
                      <w:rFonts w:hint="default"/>
                    </w:rPr>
                  </w:pPr>
                  <w:r>
                    <w:t>类比法</w:t>
                  </w:r>
                </w:p>
              </w:tc>
              <w:tc>
                <w:tcPr>
                  <w:tcW w:w="308" w:type="pct"/>
                  <w:vMerge w:val="restart"/>
                  <w:tcBorders>
                    <w:tl2br w:val="nil"/>
                    <w:tr2bl w:val="nil"/>
                  </w:tcBorders>
                  <w:vAlign w:val="center"/>
                </w:tcPr>
                <w:p w14:paraId="7C629E13">
                  <w:pPr>
                    <w:pStyle w:val="83"/>
                    <w:rPr>
                      <w:rFonts w:hint="default"/>
                    </w:rPr>
                  </w:pPr>
                  <w:r>
                    <w:t>734.4</w:t>
                  </w:r>
                </w:p>
              </w:tc>
              <w:tc>
                <w:tcPr>
                  <w:tcW w:w="383" w:type="pct"/>
                  <w:tcBorders>
                    <w:tl2br w:val="nil"/>
                    <w:tr2bl w:val="nil"/>
                  </w:tcBorders>
                  <w:vAlign w:val="center"/>
                </w:tcPr>
                <w:p w14:paraId="6E574433">
                  <w:pPr>
                    <w:pStyle w:val="83"/>
                    <w:rPr>
                      <w:rFonts w:hint="default"/>
                    </w:rPr>
                  </w:pPr>
                  <w:r>
                    <w:t>500</w:t>
                  </w:r>
                </w:p>
              </w:tc>
              <w:tc>
                <w:tcPr>
                  <w:tcW w:w="323" w:type="pct"/>
                  <w:tcBorders>
                    <w:tl2br w:val="nil"/>
                    <w:tr2bl w:val="nil"/>
                  </w:tcBorders>
                  <w:vAlign w:val="center"/>
                </w:tcPr>
                <w:p w14:paraId="24E037C3">
                  <w:pPr>
                    <w:pStyle w:val="83"/>
                    <w:rPr>
                      <w:rFonts w:hint="default"/>
                    </w:rPr>
                  </w:pPr>
                  <w:r>
                    <w:t>0.367</w:t>
                  </w:r>
                </w:p>
              </w:tc>
              <w:tc>
                <w:tcPr>
                  <w:tcW w:w="437" w:type="pct"/>
                  <w:vMerge w:val="restart"/>
                  <w:tcBorders>
                    <w:tl2br w:val="nil"/>
                    <w:tr2bl w:val="nil"/>
                  </w:tcBorders>
                  <w:vAlign w:val="center"/>
                </w:tcPr>
                <w:p w14:paraId="48C80895">
                  <w:pPr>
                    <w:pStyle w:val="83"/>
                    <w:rPr>
                      <w:rFonts w:hint="default"/>
                    </w:rPr>
                  </w:pPr>
                  <w:r>
                    <w:t>水解酸化+高效厌氧+厌氧好氧+MBR+RO</w:t>
                  </w:r>
                </w:p>
              </w:tc>
              <w:tc>
                <w:tcPr>
                  <w:tcW w:w="306" w:type="pct"/>
                  <w:tcBorders>
                    <w:tl2br w:val="nil"/>
                    <w:tr2bl w:val="nil"/>
                  </w:tcBorders>
                  <w:vAlign w:val="center"/>
                </w:tcPr>
                <w:p w14:paraId="3CFE26AD">
                  <w:pPr>
                    <w:pStyle w:val="83"/>
                    <w:rPr>
                      <w:rFonts w:hint="default"/>
                    </w:rPr>
                  </w:pPr>
                  <w:r>
                    <w:t>99</w:t>
                  </w:r>
                </w:p>
              </w:tc>
              <w:tc>
                <w:tcPr>
                  <w:tcW w:w="357" w:type="pct"/>
                  <w:vMerge w:val="restart"/>
                  <w:tcBorders>
                    <w:tl2br w:val="nil"/>
                    <w:tr2bl w:val="nil"/>
                  </w:tcBorders>
                  <w:vAlign w:val="center"/>
                </w:tcPr>
                <w:p w14:paraId="7D1E9FEC">
                  <w:pPr>
                    <w:pStyle w:val="83"/>
                    <w:rPr>
                      <w:rFonts w:hint="default"/>
                    </w:rPr>
                  </w:pPr>
                  <w:r>
                    <w:t>/</w:t>
                  </w:r>
                </w:p>
              </w:tc>
              <w:tc>
                <w:tcPr>
                  <w:tcW w:w="390" w:type="pct"/>
                  <w:tcBorders>
                    <w:tl2br w:val="nil"/>
                    <w:tr2bl w:val="nil"/>
                  </w:tcBorders>
                  <w:vAlign w:val="center"/>
                </w:tcPr>
                <w:p w14:paraId="1AEA2237">
                  <w:pPr>
                    <w:pStyle w:val="83"/>
                    <w:rPr>
                      <w:rFonts w:hint="default"/>
                    </w:rPr>
                  </w:pPr>
                  <w:r>
                    <w:t>5</w:t>
                  </w:r>
                </w:p>
              </w:tc>
              <w:tc>
                <w:tcPr>
                  <w:tcW w:w="310" w:type="pct"/>
                  <w:tcBorders>
                    <w:tl2br w:val="nil"/>
                    <w:tr2bl w:val="nil"/>
                  </w:tcBorders>
                  <w:vAlign w:val="center"/>
                </w:tcPr>
                <w:p w14:paraId="232F46AA">
                  <w:pPr>
                    <w:pStyle w:val="83"/>
                    <w:rPr>
                      <w:rFonts w:hint="default"/>
                    </w:rPr>
                  </w:pPr>
                  <w:r>
                    <w:t>/</w:t>
                  </w:r>
                </w:p>
              </w:tc>
            </w:tr>
            <w:tr w14:paraId="42F27C8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645CB3BC">
                  <w:pPr>
                    <w:pStyle w:val="83"/>
                    <w:rPr>
                      <w:rFonts w:hint="default"/>
                    </w:rPr>
                  </w:pPr>
                </w:p>
              </w:tc>
              <w:tc>
                <w:tcPr>
                  <w:tcW w:w="319" w:type="pct"/>
                  <w:vMerge w:val="continue"/>
                  <w:tcBorders>
                    <w:tl2br w:val="nil"/>
                    <w:tr2bl w:val="nil"/>
                  </w:tcBorders>
                  <w:vAlign w:val="center"/>
                </w:tcPr>
                <w:p w14:paraId="53680FE8">
                  <w:pPr>
                    <w:pStyle w:val="83"/>
                    <w:rPr>
                      <w:rFonts w:hint="default"/>
                    </w:rPr>
                  </w:pPr>
                </w:p>
              </w:tc>
              <w:tc>
                <w:tcPr>
                  <w:tcW w:w="981" w:type="pct"/>
                  <w:vMerge w:val="continue"/>
                  <w:tcBorders>
                    <w:tl2br w:val="nil"/>
                    <w:tr2bl w:val="nil"/>
                  </w:tcBorders>
                  <w:vAlign w:val="center"/>
                </w:tcPr>
                <w:p w14:paraId="5A37249A">
                  <w:pPr>
                    <w:pStyle w:val="83"/>
                    <w:rPr>
                      <w:rFonts w:hint="default"/>
                    </w:rPr>
                  </w:pPr>
                </w:p>
              </w:tc>
              <w:tc>
                <w:tcPr>
                  <w:tcW w:w="320" w:type="pct"/>
                  <w:tcBorders>
                    <w:tl2br w:val="nil"/>
                    <w:tr2bl w:val="nil"/>
                  </w:tcBorders>
                  <w:vAlign w:val="center"/>
                </w:tcPr>
                <w:p w14:paraId="10840250">
                  <w:pPr>
                    <w:pStyle w:val="83"/>
                    <w:rPr>
                      <w:rFonts w:hint="default"/>
                    </w:rPr>
                  </w:pPr>
                  <w:r>
                    <w:t>BOD</w:t>
                  </w:r>
                  <w:r>
                    <w:rPr>
                      <w:vertAlign w:val="subscript"/>
                    </w:rPr>
                    <w:t>5</w:t>
                  </w:r>
                </w:p>
              </w:tc>
              <w:tc>
                <w:tcPr>
                  <w:tcW w:w="267" w:type="pct"/>
                  <w:vMerge w:val="continue"/>
                  <w:tcBorders>
                    <w:tl2br w:val="nil"/>
                    <w:tr2bl w:val="nil"/>
                  </w:tcBorders>
                  <w:vAlign w:val="center"/>
                </w:tcPr>
                <w:p w14:paraId="33596CCA">
                  <w:pPr>
                    <w:pStyle w:val="83"/>
                    <w:rPr>
                      <w:rFonts w:hint="default"/>
                    </w:rPr>
                  </w:pPr>
                </w:p>
              </w:tc>
              <w:tc>
                <w:tcPr>
                  <w:tcW w:w="308" w:type="pct"/>
                  <w:vMerge w:val="continue"/>
                  <w:tcBorders>
                    <w:tl2br w:val="nil"/>
                    <w:tr2bl w:val="nil"/>
                  </w:tcBorders>
                  <w:vAlign w:val="center"/>
                </w:tcPr>
                <w:p w14:paraId="08AF3DEE">
                  <w:pPr>
                    <w:pStyle w:val="83"/>
                    <w:rPr>
                      <w:rFonts w:hint="default"/>
                    </w:rPr>
                  </w:pPr>
                </w:p>
              </w:tc>
              <w:tc>
                <w:tcPr>
                  <w:tcW w:w="383" w:type="pct"/>
                  <w:tcBorders>
                    <w:tl2br w:val="nil"/>
                    <w:tr2bl w:val="nil"/>
                  </w:tcBorders>
                  <w:vAlign w:val="center"/>
                </w:tcPr>
                <w:p w14:paraId="45E77DF2">
                  <w:pPr>
                    <w:pStyle w:val="83"/>
                    <w:rPr>
                      <w:rFonts w:hint="default"/>
                    </w:rPr>
                  </w:pPr>
                  <w:r>
                    <w:t>300</w:t>
                  </w:r>
                </w:p>
              </w:tc>
              <w:tc>
                <w:tcPr>
                  <w:tcW w:w="323" w:type="pct"/>
                  <w:tcBorders>
                    <w:tl2br w:val="nil"/>
                    <w:tr2bl w:val="nil"/>
                  </w:tcBorders>
                  <w:vAlign w:val="center"/>
                </w:tcPr>
                <w:p w14:paraId="5CD78661">
                  <w:pPr>
                    <w:pStyle w:val="83"/>
                    <w:rPr>
                      <w:rFonts w:hint="default"/>
                    </w:rPr>
                  </w:pPr>
                  <w:r>
                    <w:t>0.22</w:t>
                  </w:r>
                </w:p>
              </w:tc>
              <w:tc>
                <w:tcPr>
                  <w:tcW w:w="437" w:type="pct"/>
                  <w:vMerge w:val="continue"/>
                  <w:tcBorders>
                    <w:tl2br w:val="nil"/>
                    <w:tr2bl w:val="nil"/>
                  </w:tcBorders>
                  <w:vAlign w:val="center"/>
                </w:tcPr>
                <w:p w14:paraId="534B0C6E">
                  <w:pPr>
                    <w:pStyle w:val="83"/>
                    <w:rPr>
                      <w:rFonts w:hint="default"/>
                    </w:rPr>
                  </w:pPr>
                </w:p>
              </w:tc>
              <w:tc>
                <w:tcPr>
                  <w:tcW w:w="306" w:type="pct"/>
                  <w:tcBorders>
                    <w:tl2br w:val="nil"/>
                    <w:tr2bl w:val="nil"/>
                  </w:tcBorders>
                  <w:vAlign w:val="center"/>
                </w:tcPr>
                <w:p w14:paraId="0128C5F6">
                  <w:pPr>
                    <w:pStyle w:val="83"/>
                    <w:rPr>
                      <w:rFonts w:hint="default"/>
                    </w:rPr>
                  </w:pPr>
                  <w:r>
                    <w:t>99.5</w:t>
                  </w:r>
                </w:p>
              </w:tc>
              <w:tc>
                <w:tcPr>
                  <w:tcW w:w="357" w:type="pct"/>
                  <w:vMerge w:val="continue"/>
                  <w:tcBorders>
                    <w:tl2br w:val="nil"/>
                    <w:tr2bl w:val="nil"/>
                  </w:tcBorders>
                  <w:vAlign w:val="center"/>
                </w:tcPr>
                <w:p w14:paraId="143F145C">
                  <w:pPr>
                    <w:pStyle w:val="83"/>
                    <w:rPr>
                      <w:rFonts w:hint="default"/>
                    </w:rPr>
                  </w:pPr>
                </w:p>
              </w:tc>
              <w:tc>
                <w:tcPr>
                  <w:tcW w:w="390" w:type="pct"/>
                  <w:tcBorders>
                    <w:tl2br w:val="nil"/>
                    <w:tr2bl w:val="nil"/>
                  </w:tcBorders>
                  <w:vAlign w:val="center"/>
                </w:tcPr>
                <w:p w14:paraId="52FCC46B">
                  <w:pPr>
                    <w:pStyle w:val="83"/>
                    <w:rPr>
                      <w:rFonts w:hint="default"/>
                    </w:rPr>
                  </w:pPr>
                  <w:r>
                    <w:t>1.5</w:t>
                  </w:r>
                </w:p>
              </w:tc>
              <w:tc>
                <w:tcPr>
                  <w:tcW w:w="310" w:type="pct"/>
                  <w:tcBorders>
                    <w:tl2br w:val="nil"/>
                    <w:tr2bl w:val="nil"/>
                  </w:tcBorders>
                  <w:vAlign w:val="center"/>
                </w:tcPr>
                <w:p w14:paraId="46082EA6">
                  <w:pPr>
                    <w:pStyle w:val="83"/>
                    <w:rPr>
                      <w:rFonts w:hint="default"/>
                    </w:rPr>
                  </w:pPr>
                  <w:r>
                    <w:t>/</w:t>
                  </w:r>
                </w:p>
              </w:tc>
            </w:tr>
            <w:tr w14:paraId="131D990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6B9F57C6">
                  <w:pPr>
                    <w:pStyle w:val="83"/>
                    <w:rPr>
                      <w:rFonts w:hint="default"/>
                    </w:rPr>
                  </w:pPr>
                </w:p>
              </w:tc>
              <w:tc>
                <w:tcPr>
                  <w:tcW w:w="319" w:type="pct"/>
                  <w:vMerge w:val="continue"/>
                  <w:tcBorders>
                    <w:tl2br w:val="nil"/>
                    <w:tr2bl w:val="nil"/>
                  </w:tcBorders>
                  <w:vAlign w:val="center"/>
                </w:tcPr>
                <w:p w14:paraId="5AF72AE2">
                  <w:pPr>
                    <w:pStyle w:val="83"/>
                    <w:rPr>
                      <w:rFonts w:hint="default"/>
                    </w:rPr>
                  </w:pPr>
                </w:p>
              </w:tc>
              <w:tc>
                <w:tcPr>
                  <w:tcW w:w="981" w:type="pct"/>
                  <w:vMerge w:val="continue"/>
                  <w:tcBorders>
                    <w:tl2br w:val="nil"/>
                    <w:tr2bl w:val="nil"/>
                  </w:tcBorders>
                  <w:vAlign w:val="center"/>
                </w:tcPr>
                <w:p w14:paraId="573505EE">
                  <w:pPr>
                    <w:pStyle w:val="83"/>
                    <w:rPr>
                      <w:rFonts w:hint="default"/>
                    </w:rPr>
                  </w:pPr>
                </w:p>
              </w:tc>
              <w:tc>
                <w:tcPr>
                  <w:tcW w:w="320" w:type="pct"/>
                  <w:tcBorders>
                    <w:tl2br w:val="nil"/>
                    <w:tr2bl w:val="nil"/>
                  </w:tcBorders>
                  <w:vAlign w:val="center"/>
                </w:tcPr>
                <w:p w14:paraId="28314F88">
                  <w:pPr>
                    <w:pStyle w:val="83"/>
                    <w:rPr>
                      <w:rFonts w:hint="default"/>
                    </w:rPr>
                  </w:pPr>
                  <w:r>
                    <w:t>SS</w:t>
                  </w:r>
                </w:p>
              </w:tc>
              <w:tc>
                <w:tcPr>
                  <w:tcW w:w="267" w:type="pct"/>
                  <w:vMerge w:val="continue"/>
                  <w:tcBorders>
                    <w:tl2br w:val="nil"/>
                    <w:tr2bl w:val="nil"/>
                  </w:tcBorders>
                  <w:vAlign w:val="center"/>
                </w:tcPr>
                <w:p w14:paraId="06C4E69B">
                  <w:pPr>
                    <w:pStyle w:val="83"/>
                    <w:rPr>
                      <w:rFonts w:hint="default"/>
                    </w:rPr>
                  </w:pPr>
                </w:p>
              </w:tc>
              <w:tc>
                <w:tcPr>
                  <w:tcW w:w="308" w:type="pct"/>
                  <w:vMerge w:val="continue"/>
                  <w:tcBorders>
                    <w:tl2br w:val="nil"/>
                    <w:tr2bl w:val="nil"/>
                  </w:tcBorders>
                  <w:vAlign w:val="center"/>
                </w:tcPr>
                <w:p w14:paraId="4ACF85C0">
                  <w:pPr>
                    <w:pStyle w:val="83"/>
                    <w:rPr>
                      <w:rFonts w:hint="default"/>
                    </w:rPr>
                  </w:pPr>
                </w:p>
              </w:tc>
              <w:tc>
                <w:tcPr>
                  <w:tcW w:w="383" w:type="pct"/>
                  <w:tcBorders>
                    <w:tl2br w:val="nil"/>
                    <w:tr2bl w:val="nil"/>
                  </w:tcBorders>
                  <w:vAlign w:val="center"/>
                </w:tcPr>
                <w:p w14:paraId="164AEE7E">
                  <w:pPr>
                    <w:pStyle w:val="83"/>
                    <w:rPr>
                      <w:rFonts w:hint="default"/>
                    </w:rPr>
                  </w:pPr>
                  <w:r>
                    <w:t>300</w:t>
                  </w:r>
                </w:p>
              </w:tc>
              <w:tc>
                <w:tcPr>
                  <w:tcW w:w="323" w:type="pct"/>
                  <w:tcBorders>
                    <w:tl2br w:val="nil"/>
                    <w:tr2bl w:val="nil"/>
                  </w:tcBorders>
                  <w:vAlign w:val="center"/>
                </w:tcPr>
                <w:p w14:paraId="53AC2626">
                  <w:pPr>
                    <w:pStyle w:val="83"/>
                    <w:rPr>
                      <w:rFonts w:hint="default"/>
                    </w:rPr>
                  </w:pPr>
                  <w:r>
                    <w:t>0.22</w:t>
                  </w:r>
                </w:p>
              </w:tc>
              <w:tc>
                <w:tcPr>
                  <w:tcW w:w="437" w:type="pct"/>
                  <w:vMerge w:val="continue"/>
                  <w:tcBorders>
                    <w:tl2br w:val="nil"/>
                    <w:tr2bl w:val="nil"/>
                  </w:tcBorders>
                  <w:vAlign w:val="center"/>
                </w:tcPr>
                <w:p w14:paraId="0E40597F">
                  <w:pPr>
                    <w:pStyle w:val="83"/>
                    <w:rPr>
                      <w:rFonts w:hint="default"/>
                    </w:rPr>
                  </w:pPr>
                </w:p>
              </w:tc>
              <w:tc>
                <w:tcPr>
                  <w:tcW w:w="306" w:type="pct"/>
                  <w:tcBorders>
                    <w:tl2br w:val="nil"/>
                    <w:tr2bl w:val="nil"/>
                  </w:tcBorders>
                  <w:vAlign w:val="center"/>
                </w:tcPr>
                <w:p w14:paraId="55B620DF">
                  <w:pPr>
                    <w:pStyle w:val="83"/>
                    <w:rPr>
                      <w:rFonts w:hint="default"/>
                    </w:rPr>
                  </w:pPr>
                  <w:r>
                    <w:t>96</w:t>
                  </w:r>
                </w:p>
              </w:tc>
              <w:tc>
                <w:tcPr>
                  <w:tcW w:w="357" w:type="pct"/>
                  <w:vMerge w:val="continue"/>
                  <w:tcBorders>
                    <w:tl2br w:val="nil"/>
                    <w:tr2bl w:val="nil"/>
                  </w:tcBorders>
                  <w:vAlign w:val="center"/>
                </w:tcPr>
                <w:p w14:paraId="4717ECA5">
                  <w:pPr>
                    <w:pStyle w:val="83"/>
                    <w:rPr>
                      <w:rFonts w:hint="default"/>
                    </w:rPr>
                  </w:pPr>
                </w:p>
              </w:tc>
              <w:tc>
                <w:tcPr>
                  <w:tcW w:w="390" w:type="pct"/>
                  <w:tcBorders>
                    <w:tl2br w:val="nil"/>
                    <w:tr2bl w:val="nil"/>
                  </w:tcBorders>
                  <w:vAlign w:val="center"/>
                </w:tcPr>
                <w:p w14:paraId="7BDE436A">
                  <w:pPr>
                    <w:pStyle w:val="83"/>
                    <w:rPr>
                      <w:rFonts w:hint="default"/>
                    </w:rPr>
                  </w:pPr>
                  <w:r>
                    <w:t>12</w:t>
                  </w:r>
                </w:p>
              </w:tc>
              <w:tc>
                <w:tcPr>
                  <w:tcW w:w="310" w:type="pct"/>
                  <w:tcBorders>
                    <w:tl2br w:val="nil"/>
                    <w:tr2bl w:val="nil"/>
                  </w:tcBorders>
                  <w:vAlign w:val="center"/>
                </w:tcPr>
                <w:p w14:paraId="18CD32AB">
                  <w:pPr>
                    <w:pStyle w:val="83"/>
                    <w:rPr>
                      <w:rFonts w:hint="default"/>
                    </w:rPr>
                  </w:pPr>
                  <w:r>
                    <w:t>/</w:t>
                  </w:r>
                </w:p>
              </w:tc>
            </w:tr>
            <w:tr w14:paraId="315DEF1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18438EB">
                  <w:pPr>
                    <w:pStyle w:val="83"/>
                    <w:rPr>
                      <w:rFonts w:hint="default"/>
                    </w:rPr>
                  </w:pPr>
                </w:p>
              </w:tc>
              <w:tc>
                <w:tcPr>
                  <w:tcW w:w="319" w:type="pct"/>
                  <w:vMerge w:val="continue"/>
                  <w:tcBorders>
                    <w:tl2br w:val="nil"/>
                    <w:tr2bl w:val="nil"/>
                  </w:tcBorders>
                  <w:vAlign w:val="center"/>
                </w:tcPr>
                <w:p w14:paraId="788882FB">
                  <w:pPr>
                    <w:pStyle w:val="83"/>
                    <w:rPr>
                      <w:rFonts w:hint="default"/>
                    </w:rPr>
                  </w:pPr>
                </w:p>
              </w:tc>
              <w:tc>
                <w:tcPr>
                  <w:tcW w:w="981" w:type="pct"/>
                  <w:vMerge w:val="continue"/>
                  <w:tcBorders>
                    <w:tl2br w:val="nil"/>
                    <w:tr2bl w:val="nil"/>
                  </w:tcBorders>
                  <w:vAlign w:val="center"/>
                </w:tcPr>
                <w:p w14:paraId="2815E1E1">
                  <w:pPr>
                    <w:pStyle w:val="83"/>
                    <w:rPr>
                      <w:rFonts w:hint="default"/>
                    </w:rPr>
                  </w:pPr>
                </w:p>
              </w:tc>
              <w:tc>
                <w:tcPr>
                  <w:tcW w:w="320" w:type="pct"/>
                  <w:tcBorders>
                    <w:tl2br w:val="nil"/>
                    <w:tr2bl w:val="nil"/>
                  </w:tcBorders>
                  <w:vAlign w:val="center"/>
                </w:tcPr>
                <w:p w14:paraId="6A87309B">
                  <w:pPr>
                    <w:pStyle w:val="83"/>
                    <w:rPr>
                      <w:rFonts w:hint="default"/>
                    </w:rPr>
                  </w:pPr>
                  <w:r>
                    <w:t>氨氮</w:t>
                  </w:r>
                </w:p>
              </w:tc>
              <w:tc>
                <w:tcPr>
                  <w:tcW w:w="267" w:type="pct"/>
                  <w:vMerge w:val="continue"/>
                  <w:tcBorders>
                    <w:tl2br w:val="nil"/>
                    <w:tr2bl w:val="nil"/>
                  </w:tcBorders>
                  <w:vAlign w:val="center"/>
                </w:tcPr>
                <w:p w14:paraId="5F60892B">
                  <w:pPr>
                    <w:pStyle w:val="83"/>
                    <w:rPr>
                      <w:rFonts w:hint="default"/>
                    </w:rPr>
                  </w:pPr>
                </w:p>
              </w:tc>
              <w:tc>
                <w:tcPr>
                  <w:tcW w:w="308" w:type="pct"/>
                  <w:vMerge w:val="continue"/>
                  <w:tcBorders>
                    <w:tl2br w:val="nil"/>
                    <w:tr2bl w:val="nil"/>
                  </w:tcBorders>
                  <w:vAlign w:val="center"/>
                </w:tcPr>
                <w:p w14:paraId="157B0ED1">
                  <w:pPr>
                    <w:pStyle w:val="83"/>
                    <w:rPr>
                      <w:rFonts w:hint="default"/>
                    </w:rPr>
                  </w:pPr>
                </w:p>
              </w:tc>
              <w:tc>
                <w:tcPr>
                  <w:tcW w:w="383" w:type="pct"/>
                  <w:tcBorders>
                    <w:tl2br w:val="nil"/>
                    <w:tr2bl w:val="nil"/>
                  </w:tcBorders>
                  <w:vAlign w:val="center"/>
                </w:tcPr>
                <w:p w14:paraId="2CF41363">
                  <w:pPr>
                    <w:pStyle w:val="83"/>
                    <w:rPr>
                      <w:rFonts w:hint="default"/>
                    </w:rPr>
                  </w:pPr>
                  <w:r>
                    <w:t>35</w:t>
                  </w:r>
                </w:p>
              </w:tc>
              <w:tc>
                <w:tcPr>
                  <w:tcW w:w="323" w:type="pct"/>
                  <w:tcBorders>
                    <w:tl2br w:val="nil"/>
                    <w:tr2bl w:val="nil"/>
                  </w:tcBorders>
                  <w:vAlign w:val="center"/>
                </w:tcPr>
                <w:p w14:paraId="2A987DEE">
                  <w:pPr>
                    <w:pStyle w:val="83"/>
                    <w:rPr>
                      <w:rFonts w:hint="default"/>
                    </w:rPr>
                  </w:pPr>
                  <w:r>
                    <w:t>0.026</w:t>
                  </w:r>
                </w:p>
              </w:tc>
              <w:tc>
                <w:tcPr>
                  <w:tcW w:w="437" w:type="pct"/>
                  <w:vMerge w:val="continue"/>
                  <w:tcBorders>
                    <w:tl2br w:val="nil"/>
                    <w:tr2bl w:val="nil"/>
                  </w:tcBorders>
                  <w:vAlign w:val="center"/>
                </w:tcPr>
                <w:p w14:paraId="3723D972">
                  <w:pPr>
                    <w:pStyle w:val="83"/>
                    <w:rPr>
                      <w:rFonts w:hint="default"/>
                    </w:rPr>
                  </w:pPr>
                </w:p>
              </w:tc>
              <w:tc>
                <w:tcPr>
                  <w:tcW w:w="306" w:type="pct"/>
                  <w:tcBorders>
                    <w:tl2br w:val="nil"/>
                    <w:tr2bl w:val="nil"/>
                  </w:tcBorders>
                  <w:vAlign w:val="center"/>
                </w:tcPr>
                <w:p w14:paraId="7559B6EA">
                  <w:pPr>
                    <w:pStyle w:val="83"/>
                    <w:rPr>
                      <w:rFonts w:hint="default"/>
                    </w:rPr>
                  </w:pPr>
                  <w:r>
                    <w:t>99.5</w:t>
                  </w:r>
                </w:p>
              </w:tc>
              <w:tc>
                <w:tcPr>
                  <w:tcW w:w="357" w:type="pct"/>
                  <w:vMerge w:val="continue"/>
                  <w:tcBorders>
                    <w:tl2br w:val="nil"/>
                    <w:tr2bl w:val="nil"/>
                  </w:tcBorders>
                  <w:vAlign w:val="center"/>
                </w:tcPr>
                <w:p w14:paraId="0DCB1A4F">
                  <w:pPr>
                    <w:pStyle w:val="83"/>
                    <w:rPr>
                      <w:rFonts w:hint="default"/>
                    </w:rPr>
                  </w:pPr>
                </w:p>
              </w:tc>
              <w:tc>
                <w:tcPr>
                  <w:tcW w:w="390" w:type="pct"/>
                  <w:tcBorders>
                    <w:tl2br w:val="nil"/>
                    <w:tr2bl w:val="nil"/>
                  </w:tcBorders>
                  <w:vAlign w:val="center"/>
                </w:tcPr>
                <w:p w14:paraId="43BD005F">
                  <w:pPr>
                    <w:pStyle w:val="83"/>
                    <w:rPr>
                      <w:rFonts w:hint="default"/>
                    </w:rPr>
                  </w:pPr>
                  <w:r>
                    <w:t>0.175</w:t>
                  </w:r>
                </w:p>
              </w:tc>
              <w:tc>
                <w:tcPr>
                  <w:tcW w:w="310" w:type="pct"/>
                  <w:tcBorders>
                    <w:tl2br w:val="nil"/>
                    <w:tr2bl w:val="nil"/>
                  </w:tcBorders>
                  <w:vAlign w:val="center"/>
                </w:tcPr>
                <w:p w14:paraId="44C414C7">
                  <w:pPr>
                    <w:pStyle w:val="83"/>
                    <w:rPr>
                      <w:rFonts w:hint="default"/>
                    </w:rPr>
                  </w:pPr>
                  <w:r>
                    <w:t>/</w:t>
                  </w:r>
                </w:p>
              </w:tc>
            </w:tr>
            <w:tr w14:paraId="0A2A63F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BA9DBD5">
                  <w:pPr>
                    <w:pStyle w:val="83"/>
                    <w:rPr>
                      <w:rFonts w:hint="default"/>
                    </w:rPr>
                  </w:pPr>
                </w:p>
              </w:tc>
              <w:tc>
                <w:tcPr>
                  <w:tcW w:w="319" w:type="pct"/>
                  <w:vMerge w:val="continue"/>
                  <w:tcBorders>
                    <w:tl2br w:val="nil"/>
                    <w:tr2bl w:val="nil"/>
                  </w:tcBorders>
                  <w:vAlign w:val="center"/>
                </w:tcPr>
                <w:p w14:paraId="3E63671A">
                  <w:pPr>
                    <w:pStyle w:val="83"/>
                    <w:rPr>
                      <w:rFonts w:hint="default"/>
                    </w:rPr>
                  </w:pPr>
                </w:p>
              </w:tc>
              <w:tc>
                <w:tcPr>
                  <w:tcW w:w="981" w:type="pct"/>
                  <w:vMerge w:val="continue"/>
                  <w:tcBorders>
                    <w:tl2br w:val="nil"/>
                    <w:tr2bl w:val="nil"/>
                  </w:tcBorders>
                  <w:vAlign w:val="center"/>
                </w:tcPr>
                <w:p w14:paraId="06771981">
                  <w:pPr>
                    <w:pStyle w:val="83"/>
                    <w:rPr>
                      <w:rFonts w:hint="default"/>
                    </w:rPr>
                  </w:pPr>
                </w:p>
              </w:tc>
              <w:tc>
                <w:tcPr>
                  <w:tcW w:w="320" w:type="pct"/>
                  <w:tcBorders>
                    <w:tl2br w:val="nil"/>
                    <w:tr2bl w:val="nil"/>
                  </w:tcBorders>
                  <w:vAlign w:val="center"/>
                </w:tcPr>
                <w:p w14:paraId="221A212A">
                  <w:pPr>
                    <w:pStyle w:val="83"/>
                    <w:rPr>
                      <w:rFonts w:hint="default"/>
                    </w:rPr>
                  </w:pPr>
                  <w:r>
                    <w:t>石油类</w:t>
                  </w:r>
                </w:p>
              </w:tc>
              <w:tc>
                <w:tcPr>
                  <w:tcW w:w="267" w:type="pct"/>
                  <w:vMerge w:val="continue"/>
                  <w:tcBorders>
                    <w:tl2br w:val="nil"/>
                    <w:tr2bl w:val="nil"/>
                  </w:tcBorders>
                  <w:vAlign w:val="center"/>
                </w:tcPr>
                <w:p w14:paraId="5F76FDAE">
                  <w:pPr>
                    <w:pStyle w:val="83"/>
                    <w:rPr>
                      <w:rFonts w:hint="default"/>
                    </w:rPr>
                  </w:pPr>
                </w:p>
              </w:tc>
              <w:tc>
                <w:tcPr>
                  <w:tcW w:w="308" w:type="pct"/>
                  <w:vMerge w:val="continue"/>
                  <w:tcBorders>
                    <w:tl2br w:val="nil"/>
                    <w:tr2bl w:val="nil"/>
                  </w:tcBorders>
                  <w:vAlign w:val="center"/>
                </w:tcPr>
                <w:p w14:paraId="72EEE99A">
                  <w:pPr>
                    <w:pStyle w:val="83"/>
                    <w:rPr>
                      <w:rFonts w:hint="default"/>
                    </w:rPr>
                  </w:pPr>
                </w:p>
              </w:tc>
              <w:tc>
                <w:tcPr>
                  <w:tcW w:w="383" w:type="pct"/>
                  <w:tcBorders>
                    <w:tl2br w:val="nil"/>
                    <w:tr2bl w:val="nil"/>
                  </w:tcBorders>
                  <w:vAlign w:val="center"/>
                </w:tcPr>
                <w:p w14:paraId="5284C0A4">
                  <w:pPr>
                    <w:pStyle w:val="83"/>
                    <w:rPr>
                      <w:rFonts w:hint="default"/>
                    </w:rPr>
                  </w:pPr>
                  <w:r>
                    <w:t>20</w:t>
                  </w:r>
                </w:p>
              </w:tc>
              <w:tc>
                <w:tcPr>
                  <w:tcW w:w="323" w:type="pct"/>
                  <w:tcBorders>
                    <w:tl2br w:val="nil"/>
                    <w:tr2bl w:val="nil"/>
                  </w:tcBorders>
                  <w:vAlign w:val="center"/>
                </w:tcPr>
                <w:p w14:paraId="49DF2B9E">
                  <w:pPr>
                    <w:pStyle w:val="83"/>
                    <w:rPr>
                      <w:rFonts w:hint="default"/>
                    </w:rPr>
                  </w:pPr>
                  <w:r>
                    <w:t>0.015</w:t>
                  </w:r>
                </w:p>
              </w:tc>
              <w:tc>
                <w:tcPr>
                  <w:tcW w:w="437" w:type="pct"/>
                  <w:vMerge w:val="continue"/>
                  <w:tcBorders>
                    <w:tl2br w:val="nil"/>
                    <w:tr2bl w:val="nil"/>
                  </w:tcBorders>
                  <w:vAlign w:val="center"/>
                </w:tcPr>
                <w:p w14:paraId="119936A6">
                  <w:pPr>
                    <w:pStyle w:val="83"/>
                    <w:rPr>
                      <w:rFonts w:hint="default"/>
                    </w:rPr>
                  </w:pPr>
                </w:p>
              </w:tc>
              <w:tc>
                <w:tcPr>
                  <w:tcW w:w="306" w:type="pct"/>
                  <w:tcBorders>
                    <w:tl2br w:val="nil"/>
                    <w:tr2bl w:val="nil"/>
                  </w:tcBorders>
                  <w:vAlign w:val="center"/>
                </w:tcPr>
                <w:p w14:paraId="3DD24783">
                  <w:pPr>
                    <w:pStyle w:val="83"/>
                    <w:rPr>
                      <w:rFonts w:hint="default"/>
                    </w:rPr>
                  </w:pPr>
                  <w:r>
                    <w:t>99</w:t>
                  </w:r>
                </w:p>
              </w:tc>
              <w:tc>
                <w:tcPr>
                  <w:tcW w:w="357" w:type="pct"/>
                  <w:vMerge w:val="continue"/>
                  <w:tcBorders>
                    <w:tl2br w:val="nil"/>
                    <w:tr2bl w:val="nil"/>
                  </w:tcBorders>
                  <w:vAlign w:val="center"/>
                </w:tcPr>
                <w:p w14:paraId="470E31D3">
                  <w:pPr>
                    <w:pStyle w:val="83"/>
                    <w:rPr>
                      <w:rFonts w:hint="default"/>
                    </w:rPr>
                  </w:pPr>
                </w:p>
              </w:tc>
              <w:tc>
                <w:tcPr>
                  <w:tcW w:w="390" w:type="pct"/>
                  <w:tcBorders>
                    <w:tl2br w:val="nil"/>
                    <w:tr2bl w:val="nil"/>
                  </w:tcBorders>
                  <w:vAlign w:val="center"/>
                </w:tcPr>
                <w:p w14:paraId="069A3F34">
                  <w:pPr>
                    <w:pStyle w:val="83"/>
                    <w:rPr>
                      <w:rFonts w:hint="default"/>
                    </w:rPr>
                  </w:pPr>
                  <w:r>
                    <w:t>0.2</w:t>
                  </w:r>
                </w:p>
              </w:tc>
              <w:tc>
                <w:tcPr>
                  <w:tcW w:w="310" w:type="pct"/>
                  <w:tcBorders>
                    <w:tl2br w:val="nil"/>
                    <w:tr2bl w:val="nil"/>
                  </w:tcBorders>
                  <w:vAlign w:val="center"/>
                </w:tcPr>
                <w:p w14:paraId="66774F4E">
                  <w:pPr>
                    <w:pStyle w:val="83"/>
                    <w:rPr>
                      <w:rFonts w:hint="default"/>
                    </w:rPr>
                  </w:pPr>
                  <w:r>
                    <w:t>/</w:t>
                  </w:r>
                </w:p>
              </w:tc>
            </w:tr>
            <w:tr w14:paraId="271ED8F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174AB608">
                  <w:pPr>
                    <w:pStyle w:val="83"/>
                    <w:rPr>
                      <w:rFonts w:hint="default"/>
                    </w:rPr>
                  </w:pPr>
                </w:p>
              </w:tc>
              <w:tc>
                <w:tcPr>
                  <w:tcW w:w="319" w:type="pct"/>
                  <w:vMerge w:val="continue"/>
                  <w:tcBorders>
                    <w:tl2br w:val="nil"/>
                    <w:tr2bl w:val="nil"/>
                  </w:tcBorders>
                  <w:vAlign w:val="center"/>
                </w:tcPr>
                <w:p w14:paraId="28361192">
                  <w:pPr>
                    <w:pStyle w:val="83"/>
                    <w:rPr>
                      <w:rFonts w:hint="default"/>
                    </w:rPr>
                  </w:pPr>
                </w:p>
              </w:tc>
              <w:tc>
                <w:tcPr>
                  <w:tcW w:w="981" w:type="pct"/>
                  <w:vMerge w:val="continue"/>
                  <w:tcBorders>
                    <w:tl2br w:val="nil"/>
                    <w:tr2bl w:val="nil"/>
                  </w:tcBorders>
                  <w:vAlign w:val="center"/>
                </w:tcPr>
                <w:p w14:paraId="3D4CDE83">
                  <w:pPr>
                    <w:pStyle w:val="83"/>
                    <w:rPr>
                      <w:rFonts w:hint="default"/>
                    </w:rPr>
                  </w:pPr>
                </w:p>
              </w:tc>
              <w:tc>
                <w:tcPr>
                  <w:tcW w:w="320" w:type="pct"/>
                  <w:tcBorders>
                    <w:tl2br w:val="nil"/>
                    <w:tr2bl w:val="nil"/>
                  </w:tcBorders>
                  <w:vAlign w:val="center"/>
                </w:tcPr>
                <w:p w14:paraId="49012493">
                  <w:pPr>
                    <w:pStyle w:val="83"/>
                    <w:rPr>
                      <w:rFonts w:hint="default"/>
                    </w:rPr>
                  </w:pPr>
                  <w:r>
                    <w:t>总有机碳</w:t>
                  </w:r>
                </w:p>
              </w:tc>
              <w:tc>
                <w:tcPr>
                  <w:tcW w:w="267" w:type="pct"/>
                  <w:vMerge w:val="continue"/>
                  <w:tcBorders>
                    <w:tl2br w:val="nil"/>
                    <w:tr2bl w:val="nil"/>
                  </w:tcBorders>
                  <w:vAlign w:val="center"/>
                </w:tcPr>
                <w:p w14:paraId="4BE50533">
                  <w:pPr>
                    <w:pStyle w:val="83"/>
                    <w:rPr>
                      <w:rFonts w:hint="default"/>
                    </w:rPr>
                  </w:pPr>
                </w:p>
              </w:tc>
              <w:tc>
                <w:tcPr>
                  <w:tcW w:w="308" w:type="pct"/>
                  <w:vMerge w:val="continue"/>
                  <w:tcBorders>
                    <w:tl2br w:val="nil"/>
                    <w:tr2bl w:val="nil"/>
                  </w:tcBorders>
                  <w:vAlign w:val="center"/>
                </w:tcPr>
                <w:p w14:paraId="2C0561A7">
                  <w:pPr>
                    <w:pStyle w:val="83"/>
                    <w:rPr>
                      <w:rFonts w:hint="default"/>
                    </w:rPr>
                  </w:pPr>
                </w:p>
              </w:tc>
              <w:tc>
                <w:tcPr>
                  <w:tcW w:w="383" w:type="pct"/>
                  <w:tcBorders>
                    <w:tl2br w:val="nil"/>
                    <w:tr2bl w:val="nil"/>
                  </w:tcBorders>
                  <w:vAlign w:val="center"/>
                </w:tcPr>
                <w:p w14:paraId="657FFB43">
                  <w:pPr>
                    <w:pStyle w:val="83"/>
                    <w:rPr>
                      <w:rFonts w:hint="default"/>
                    </w:rPr>
                  </w:pPr>
                  <w:r>
                    <w:t>400</w:t>
                  </w:r>
                </w:p>
              </w:tc>
              <w:tc>
                <w:tcPr>
                  <w:tcW w:w="323" w:type="pct"/>
                  <w:tcBorders>
                    <w:tl2br w:val="nil"/>
                    <w:tr2bl w:val="nil"/>
                  </w:tcBorders>
                  <w:vAlign w:val="center"/>
                </w:tcPr>
                <w:p w14:paraId="79D730FF">
                  <w:pPr>
                    <w:pStyle w:val="83"/>
                    <w:rPr>
                      <w:rFonts w:hint="default"/>
                    </w:rPr>
                  </w:pPr>
                  <w:r>
                    <w:t>0.294</w:t>
                  </w:r>
                </w:p>
              </w:tc>
              <w:tc>
                <w:tcPr>
                  <w:tcW w:w="437" w:type="pct"/>
                  <w:vMerge w:val="continue"/>
                  <w:tcBorders>
                    <w:tl2br w:val="nil"/>
                    <w:tr2bl w:val="nil"/>
                  </w:tcBorders>
                  <w:vAlign w:val="center"/>
                </w:tcPr>
                <w:p w14:paraId="4F7FA9E9">
                  <w:pPr>
                    <w:pStyle w:val="83"/>
                    <w:rPr>
                      <w:rFonts w:hint="default"/>
                    </w:rPr>
                  </w:pPr>
                </w:p>
              </w:tc>
              <w:tc>
                <w:tcPr>
                  <w:tcW w:w="306" w:type="pct"/>
                  <w:tcBorders>
                    <w:tl2br w:val="nil"/>
                    <w:tr2bl w:val="nil"/>
                  </w:tcBorders>
                  <w:vAlign w:val="center"/>
                </w:tcPr>
                <w:p w14:paraId="6FA63279">
                  <w:pPr>
                    <w:pStyle w:val="83"/>
                    <w:rPr>
                      <w:rFonts w:hint="default"/>
                    </w:rPr>
                  </w:pPr>
                  <w:r>
                    <w:t>90</w:t>
                  </w:r>
                </w:p>
              </w:tc>
              <w:tc>
                <w:tcPr>
                  <w:tcW w:w="357" w:type="pct"/>
                  <w:vMerge w:val="continue"/>
                  <w:tcBorders>
                    <w:tl2br w:val="nil"/>
                    <w:tr2bl w:val="nil"/>
                  </w:tcBorders>
                  <w:vAlign w:val="center"/>
                </w:tcPr>
                <w:p w14:paraId="55EB3C33">
                  <w:pPr>
                    <w:pStyle w:val="83"/>
                    <w:rPr>
                      <w:rFonts w:hint="default"/>
                    </w:rPr>
                  </w:pPr>
                </w:p>
              </w:tc>
              <w:tc>
                <w:tcPr>
                  <w:tcW w:w="390" w:type="pct"/>
                  <w:tcBorders>
                    <w:tl2br w:val="nil"/>
                    <w:tr2bl w:val="nil"/>
                  </w:tcBorders>
                  <w:vAlign w:val="center"/>
                </w:tcPr>
                <w:p w14:paraId="3C714E43">
                  <w:pPr>
                    <w:pStyle w:val="83"/>
                    <w:rPr>
                      <w:rFonts w:hint="default"/>
                    </w:rPr>
                  </w:pPr>
                  <w:r>
                    <w:t>40</w:t>
                  </w:r>
                </w:p>
              </w:tc>
              <w:tc>
                <w:tcPr>
                  <w:tcW w:w="310" w:type="pct"/>
                  <w:tcBorders>
                    <w:tl2br w:val="nil"/>
                    <w:tr2bl w:val="nil"/>
                  </w:tcBorders>
                  <w:vAlign w:val="center"/>
                </w:tcPr>
                <w:p w14:paraId="61D44318">
                  <w:pPr>
                    <w:pStyle w:val="83"/>
                    <w:rPr>
                      <w:rFonts w:hint="default"/>
                    </w:rPr>
                  </w:pPr>
                  <w:r>
                    <w:t>/</w:t>
                  </w:r>
                </w:p>
              </w:tc>
            </w:tr>
            <w:tr w14:paraId="7EBF266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657769FA">
                  <w:pPr>
                    <w:pStyle w:val="83"/>
                    <w:rPr>
                      <w:rFonts w:hint="default"/>
                    </w:rPr>
                  </w:pPr>
                  <w:r>
                    <w:t>反渗透浓水</w:t>
                  </w:r>
                </w:p>
              </w:tc>
              <w:tc>
                <w:tcPr>
                  <w:tcW w:w="319" w:type="pct"/>
                  <w:vMerge w:val="restart"/>
                  <w:tcBorders>
                    <w:tl2br w:val="nil"/>
                    <w:tr2bl w:val="nil"/>
                  </w:tcBorders>
                  <w:vAlign w:val="center"/>
                </w:tcPr>
                <w:p w14:paraId="312996A1">
                  <w:pPr>
                    <w:pStyle w:val="83"/>
                    <w:rPr>
                      <w:rFonts w:hint="default"/>
                    </w:rPr>
                  </w:pPr>
                  <w:r>
                    <w:t>生产废水</w:t>
                  </w:r>
                </w:p>
              </w:tc>
              <w:tc>
                <w:tcPr>
                  <w:tcW w:w="981" w:type="pct"/>
                  <w:vMerge w:val="restart"/>
                  <w:tcBorders>
                    <w:tl2br w:val="nil"/>
                    <w:tr2bl w:val="nil"/>
                  </w:tcBorders>
                  <w:vAlign w:val="center"/>
                </w:tcPr>
                <w:p w14:paraId="23846D2A">
                  <w:pPr>
                    <w:pStyle w:val="83"/>
                    <w:rPr>
                      <w:rFonts w:hint="default"/>
                    </w:rPr>
                  </w:pPr>
                  <w:r>
                    <w:t>/</w:t>
                  </w:r>
                </w:p>
              </w:tc>
              <w:tc>
                <w:tcPr>
                  <w:tcW w:w="320" w:type="pct"/>
                  <w:tcBorders>
                    <w:tl2br w:val="nil"/>
                    <w:tr2bl w:val="nil"/>
                  </w:tcBorders>
                  <w:vAlign w:val="center"/>
                </w:tcPr>
                <w:p w14:paraId="2A5CB375">
                  <w:pPr>
                    <w:pStyle w:val="83"/>
                    <w:rPr>
                      <w:rFonts w:hint="default"/>
                    </w:rPr>
                  </w:pPr>
                  <w:r>
                    <w:t>COD</w:t>
                  </w:r>
                </w:p>
              </w:tc>
              <w:tc>
                <w:tcPr>
                  <w:tcW w:w="267" w:type="pct"/>
                  <w:vMerge w:val="restart"/>
                  <w:tcBorders>
                    <w:tl2br w:val="nil"/>
                    <w:tr2bl w:val="nil"/>
                  </w:tcBorders>
                  <w:vAlign w:val="center"/>
                </w:tcPr>
                <w:p w14:paraId="415D691E">
                  <w:pPr>
                    <w:pStyle w:val="83"/>
                    <w:rPr>
                      <w:rFonts w:hint="default"/>
                    </w:rPr>
                  </w:pPr>
                  <w:r>
                    <w:t>类比法</w:t>
                  </w:r>
                </w:p>
              </w:tc>
              <w:tc>
                <w:tcPr>
                  <w:tcW w:w="308" w:type="pct"/>
                  <w:vMerge w:val="restart"/>
                  <w:tcBorders>
                    <w:tl2br w:val="nil"/>
                    <w:tr2bl w:val="nil"/>
                  </w:tcBorders>
                  <w:vAlign w:val="center"/>
                </w:tcPr>
                <w:p w14:paraId="37968708">
                  <w:pPr>
                    <w:pStyle w:val="83"/>
                    <w:rPr>
                      <w:rFonts w:hint="default"/>
                    </w:rPr>
                  </w:pPr>
                  <w:r>
                    <w:t>4504.1</w:t>
                  </w:r>
                </w:p>
              </w:tc>
              <w:tc>
                <w:tcPr>
                  <w:tcW w:w="383" w:type="pct"/>
                  <w:tcBorders>
                    <w:tl2br w:val="nil"/>
                    <w:tr2bl w:val="nil"/>
                  </w:tcBorders>
                  <w:vAlign w:val="center"/>
                </w:tcPr>
                <w:p w14:paraId="24C6FD4C">
                  <w:pPr>
                    <w:pStyle w:val="83"/>
                    <w:rPr>
                      <w:rFonts w:hint="default"/>
                    </w:rPr>
                  </w:pPr>
                  <w:r>
                    <w:t>70</w:t>
                  </w:r>
                </w:p>
              </w:tc>
              <w:tc>
                <w:tcPr>
                  <w:tcW w:w="323" w:type="pct"/>
                  <w:tcBorders>
                    <w:tl2br w:val="nil"/>
                    <w:tr2bl w:val="nil"/>
                  </w:tcBorders>
                  <w:vAlign w:val="center"/>
                </w:tcPr>
                <w:p w14:paraId="00F019B7">
                  <w:pPr>
                    <w:pStyle w:val="83"/>
                    <w:rPr>
                      <w:rFonts w:hint="default"/>
                    </w:rPr>
                  </w:pPr>
                  <w:r>
                    <w:t>0.3</w:t>
                  </w:r>
                </w:p>
              </w:tc>
              <w:tc>
                <w:tcPr>
                  <w:tcW w:w="437" w:type="pct"/>
                  <w:vMerge w:val="restart"/>
                  <w:tcBorders>
                    <w:tl2br w:val="nil"/>
                    <w:tr2bl w:val="nil"/>
                  </w:tcBorders>
                  <w:vAlign w:val="center"/>
                </w:tcPr>
                <w:p w14:paraId="16173170">
                  <w:pPr>
                    <w:pStyle w:val="83"/>
                    <w:rPr>
                      <w:rFonts w:hint="default"/>
                    </w:rPr>
                  </w:pPr>
                  <w:r>
                    <w:t>/</w:t>
                  </w:r>
                </w:p>
              </w:tc>
              <w:tc>
                <w:tcPr>
                  <w:tcW w:w="306" w:type="pct"/>
                  <w:tcBorders>
                    <w:tl2br w:val="nil"/>
                    <w:tr2bl w:val="nil"/>
                  </w:tcBorders>
                  <w:vAlign w:val="center"/>
                </w:tcPr>
                <w:p w14:paraId="12D052C2">
                  <w:pPr>
                    <w:pStyle w:val="83"/>
                    <w:rPr>
                      <w:rFonts w:hint="default"/>
                    </w:rPr>
                  </w:pPr>
                  <w:r>
                    <w:t>/</w:t>
                  </w:r>
                </w:p>
              </w:tc>
              <w:tc>
                <w:tcPr>
                  <w:tcW w:w="357" w:type="pct"/>
                  <w:vMerge w:val="restart"/>
                  <w:tcBorders>
                    <w:tl2br w:val="nil"/>
                    <w:tr2bl w:val="nil"/>
                  </w:tcBorders>
                  <w:vAlign w:val="center"/>
                </w:tcPr>
                <w:p w14:paraId="5D039CE0">
                  <w:pPr>
                    <w:pStyle w:val="83"/>
                    <w:rPr>
                      <w:rFonts w:hint="default"/>
                    </w:rPr>
                  </w:pPr>
                  <w:r>
                    <w:t>4504.1</w:t>
                  </w:r>
                </w:p>
              </w:tc>
              <w:tc>
                <w:tcPr>
                  <w:tcW w:w="390" w:type="pct"/>
                  <w:tcBorders>
                    <w:tl2br w:val="nil"/>
                    <w:tr2bl w:val="nil"/>
                  </w:tcBorders>
                  <w:vAlign w:val="center"/>
                </w:tcPr>
                <w:p w14:paraId="6EA62F00">
                  <w:pPr>
                    <w:pStyle w:val="83"/>
                    <w:rPr>
                      <w:rFonts w:hint="default"/>
                    </w:rPr>
                  </w:pPr>
                  <w:r>
                    <w:t>70</w:t>
                  </w:r>
                </w:p>
              </w:tc>
              <w:tc>
                <w:tcPr>
                  <w:tcW w:w="310" w:type="pct"/>
                  <w:tcBorders>
                    <w:tl2br w:val="nil"/>
                    <w:tr2bl w:val="nil"/>
                  </w:tcBorders>
                  <w:vAlign w:val="center"/>
                </w:tcPr>
                <w:p w14:paraId="786611A0">
                  <w:pPr>
                    <w:pStyle w:val="83"/>
                    <w:rPr>
                      <w:rFonts w:hint="default"/>
                    </w:rPr>
                  </w:pPr>
                  <w:r>
                    <w:t>0.3</w:t>
                  </w:r>
                </w:p>
              </w:tc>
            </w:tr>
            <w:tr w14:paraId="796D7BF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063214D1">
                  <w:pPr>
                    <w:pStyle w:val="83"/>
                    <w:rPr>
                      <w:rFonts w:hint="default"/>
                    </w:rPr>
                  </w:pPr>
                </w:p>
              </w:tc>
              <w:tc>
                <w:tcPr>
                  <w:tcW w:w="319" w:type="pct"/>
                  <w:vMerge w:val="continue"/>
                  <w:tcBorders>
                    <w:tl2br w:val="nil"/>
                    <w:tr2bl w:val="nil"/>
                  </w:tcBorders>
                  <w:vAlign w:val="center"/>
                </w:tcPr>
                <w:p w14:paraId="4A555B16">
                  <w:pPr>
                    <w:pStyle w:val="83"/>
                    <w:rPr>
                      <w:rFonts w:hint="default"/>
                    </w:rPr>
                  </w:pPr>
                </w:p>
              </w:tc>
              <w:tc>
                <w:tcPr>
                  <w:tcW w:w="981" w:type="pct"/>
                  <w:vMerge w:val="continue"/>
                  <w:tcBorders>
                    <w:tl2br w:val="nil"/>
                    <w:tr2bl w:val="nil"/>
                  </w:tcBorders>
                  <w:vAlign w:val="center"/>
                </w:tcPr>
                <w:p w14:paraId="47942792">
                  <w:pPr>
                    <w:pStyle w:val="83"/>
                    <w:rPr>
                      <w:rFonts w:hint="default"/>
                    </w:rPr>
                  </w:pPr>
                </w:p>
              </w:tc>
              <w:tc>
                <w:tcPr>
                  <w:tcW w:w="320" w:type="pct"/>
                  <w:tcBorders>
                    <w:tl2br w:val="nil"/>
                    <w:tr2bl w:val="nil"/>
                  </w:tcBorders>
                  <w:vAlign w:val="center"/>
                </w:tcPr>
                <w:p w14:paraId="19BED7F2">
                  <w:pPr>
                    <w:pStyle w:val="83"/>
                    <w:rPr>
                      <w:rFonts w:hint="default"/>
                    </w:rPr>
                  </w:pPr>
                  <w:r>
                    <w:t>BOD</w:t>
                  </w:r>
                  <w:r>
                    <w:rPr>
                      <w:vertAlign w:val="subscript"/>
                    </w:rPr>
                    <w:t>5</w:t>
                  </w:r>
                </w:p>
              </w:tc>
              <w:tc>
                <w:tcPr>
                  <w:tcW w:w="267" w:type="pct"/>
                  <w:vMerge w:val="continue"/>
                  <w:tcBorders>
                    <w:tl2br w:val="nil"/>
                    <w:tr2bl w:val="nil"/>
                  </w:tcBorders>
                  <w:vAlign w:val="center"/>
                </w:tcPr>
                <w:p w14:paraId="496F1277">
                  <w:pPr>
                    <w:pStyle w:val="83"/>
                    <w:rPr>
                      <w:rFonts w:hint="default"/>
                    </w:rPr>
                  </w:pPr>
                </w:p>
              </w:tc>
              <w:tc>
                <w:tcPr>
                  <w:tcW w:w="308" w:type="pct"/>
                  <w:vMerge w:val="continue"/>
                  <w:tcBorders>
                    <w:tl2br w:val="nil"/>
                    <w:tr2bl w:val="nil"/>
                  </w:tcBorders>
                  <w:vAlign w:val="center"/>
                </w:tcPr>
                <w:p w14:paraId="452437DF">
                  <w:pPr>
                    <w:pStyle w:val="83"/>
                    <w:rPr>
                      <w:rFonts w:hint="default"/>
                    </w:rPr>
                  </w:pPr>
                </w:p>
              </w:tc>
              <w:tc>
                <w:tcPr>
                  <w:tcW w:w="383" w:type="pct"/>
                  <w:tcBorders>
                    <w:tl2br w:val="nil"/>
                    <w:tr2bl w:val="nil"/>
                  </w:tcBorders>
                  <w:vAlign w:val="center"/>
                </w:tcPr>
                <w:p w14:paraId="19803B48">
                  <w:pPr>
                    <w:pStyle w:val="83"/>
                    <w:rPr>
                      <w:rFonts w:hint="default"/>
                    </w:rPr>
                  </w:pPr>
                  <w:r>
                    <w:t>35</w:t>
                  </w:r>
                </w:p>
              </w:tc>
              <w:tc>
                <w:tcPr>
                  <w:tcW w:w="323" w:type="pct"/>
                  <w:tcBorders>
                    <w:tl2br w:val="nil"/>
                    <w:tr2bl w:val="nil"/>
                  </w:tcBorders>
                  <w:vAlign w:val="center"/>
                </w:tcPr>
                <w:p w14:paraId="676F07C1">
                  <w:pPr>
                    <w:pStyle w:val="83"/>
                    <w:rPr>
                      <w:rFonts w:hint="default"/>
                    </w:rPr>
                  </w:pPr>
                  <w:r>
                    <w:t>0.158</w:t>
                  </w:r>
                </w:p>
              </w:tc>
              <w:tc>
                <w:tcPr>
                  <w:tcW w:w="437" w:type="pct"/>
                  <w:vMerge w:val="continue"/>
                  <w:tcBorders>
                    <w:tl2br w:val="nil"/>
                    <w:tr2bl w:val="nil"/>
                  </w:tcBorders>
                  <w:vAlign w:val="center"/>
                </w:tcPr>
                <w:p w14:paraId="298965B6">
                  <w:pPr>
                    <w:pStyle w:val="83"/>
                    <w:rPr>
                      <w:rFonts w:hint="default"/>
                    </w:rPr>
                  </w:pPr>
                </w:p>
              </w:tc>
              <w:tc>
                <w:tcPr>
                  <w:tcW w:w="306" w:type="pct"/>
                  <w:tcBorders>
                    <w:tl2br w:val="nil"/>
                    <w:tr2bl w:val="nil"/>
                  </w:tcBorders>
                  <w:vAlign w:val="center"/>
                </w:tcPr>
                <w:p w14:paraId="170FAE7E">
                  <w:pPr>
                    <w:pStyle w:val="83"/>
                    <w:rPr>
                      <w:rFonts w:hint="default"/>
                    </w:rPr>
                  </w:pPr>
                  <w:r>
                    <w:t>/</w:t>
                  </w:r>
                </w:p>
              </w:tc>
              <w:tc>
                <w:tcPr>
                  <w:tcW w:w="357" w:type="pct"/>
                  <w:vMerge w:val="continue"/>
                  <w:tcBorders>
                    <w:tl2br w:val="nil"/>
                    <w:tr2bl w:val="nil"/>
                  </w:tcBorders>
                  <w:vAlign w:val="center"/>
                </w:tcPr>
                <w:p w14:paraId="4FA5D42A">
                  <w:pPr>
                    <w:pStyle w:val="83"/>
                    <w:rPr>
                      <w:rFonts w:hint="default"/>
                    </w:rPr>
                  </w:pPr>
                </w:p>
              </w:tc>
              <w:tc>
                <w:tcPr>
                  <w:tcW w:w="390" w:type="pct"/>
                  <w:tcBorders>
                    <w:tl2br w:val="nil"/>
                    <w:tr2bl w:val="nil"/>
                  </w:tcBorders>
                  <w:vAlign w:val="center"/>
                </w:tcPr>
                <w:p w14:paraId="27C93889">
                  <w:pPr>
                    <w:pStyle w:val="83"/>
                    <w:rPr>
                      <w:rFonts w:hint="default"/>
                    </w:rPr>
                  </w:pPr>
                  <w:r>
                    <w:t>35</w:t>
                  </w:r>
                </w:p>
              </w:tc>
              <w:tc>
                <w:tcPr>
                  <w:tcW w:w="310" w:type="pct"/>
                  <w:tcBorders>
                    <w:tl2br w:val="nil"/>
                    <w:tr2bl w:val="nil"/>
                  </w:tcBorders>
                  <w:vAlign w:val="center"/>
                </w:tcPr>
                <w:p w14:paraId="6D8A9B1C">
                  <w:pPr>
                    <w:pStyle w:val="83"/>
                    <w:rPr>
                      <w:rFonts w:hint="default"/>
                    </w:rPr>
                  </w:pPr>
                  <w:r>
                    <w:t>0.158</w:t>
                  </w:r>
                </w:p>
              </w:tc>
            </w:tr>
            <w:tr w14:paraId="3D3F590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83A1AEE">
                  <w:pPr>
                    <w:pStyle w:val="83"/>
                    <w:rPr>
                      <w:rFonts w:hint="default"/>
                    </w:rPr>
                  </w:pPr>
                </w:p>
              </w:tc>
              <w:tc>
                <w:tcPr>
                  <w:tcW w:w="319" w:type="pct"/>
                  <w:vMerge w:val="continue"/>
                  <w:tcBorders>
                    <w:tl2br w:val="nil"/>
                    <w:tr2bl w:val="nil"/>
                  </w:tcBorders>
                  <w:vAlign w:val="center"/>
                </w:tcPr>
                <w:p w14:paraId="68281911">
                  <w:pPr>
                    <w:pStyle w:val="83"/>
                    <w:rPr>
                      <w:rFonts w:hint="default"/>
                    </w:rPr>
                  </w:pPr>
                </w:p>
              </w:tc>
              <w:tc>
                <w:tcPr>
                  <w:tcW w:w="981" w:type="pct"/>
                  <w:vMerge w:val="continue"/>
                  <w:tcBorders>
                    <w:tl2br w:val="nil"/>
                    <w:tr2bl w:val="nil"/>
                  </w:tcBorders>
                  <w:vAlign w:val="center"/>
                </w:tcPr>
                <w:p w14:paraId="65567DB6">
                  <w:pPr>
                    <w:pStyle w:val="83"/>
                    <w:rPr>
                      <w:rFonts w:hint="default"/>
                    </w:rPr>
                  </w:pPr>
                </w:p>
              </w:tc>
              <w:tc>
                <w:tcPr>
                  <w:tcW w:w="320" w:type="pct"/>
                  <w:tcBorders>
                    <w:tl2br w:val="nil"/>
                    <w:tr2bl w:val="nil"/>
                  </w:tcBorders>
                  <w:vAlign w:val="center"/>
                </w:tcPr>
                <w:p w14:paraId="42219578">
                  <w:pPr>
                    <w:pStyle w:val="83"/>
                    <w:rPr>
                      <w:rFonts w:hint="default"/>
                    </w:rPr>
                  </w:pPr>
                  <w:r>
                    <w:t>SS</w:t>
                  </w:r>
                </w:p>
              </w:tc>
              <w:tc>
                <w:tcPr>
                  <w:tcW w:w="267" w:type="pct"/>
                  <w:vMerge w:val="continue"/>
                  <w:tcBorders>
                    <w:tl2br w:val="nil"/>
                    <w:tr2bl w:val="nil"/>
                  </w:tcBorders>
                  <w:vAlign w:val="center"/>
                </w:tcPr>
                <w:p w14:paraId="1D6FFB15">
                  <w:pPr>
                    <w:pStyle w:val="83"/>
                    <w:rPr>
                      <w:rFonts w:hint="default"/>
                    </w:rPr>
                  </w:pPr>
                </w:p>
              </w:tc>
              <w:tc>
                <w:tcPr>
                  <w:tcW w:w="308" w:type="pct"/>
                  <w:vMerge w:val="continue"/>
                  <w:tcBorders>
                    <w:tl2br w:val="nil"/>
                    <w:tr2bl w:val="nil"/>
                  </w:tcBorders>
                  <w:vAlign w:val="center"/>
                </w:tcPr>
                <w:p w14:paraId="6C0009FA">
                  <w:pPr>
                    <w:pStyle w:val="83"/>
                    <w:rPr>
                      <w:rFonts w:hint="default"/>
                    </w:rPr>
                  </w:pPr>
                </w:p>
              </w:tc>
              <w:tc>
                <w:tcPr>
                  <w:tcW w:w="383" w:type="pct"/>
                  <w:tcBorders>
                    <w:tl2br w:val="nil"/>
                    <w:tr2bl w:val="nil"/>
                  </w:tcBorders>
                  <w:vAlign w:val="center"/>
                </w:tcPr>
                <w:p w14:paraId="588BA23F">
                  <w:pPr>
                    <w:pStyle w:val="83"/>
                    <w:rPr>
                      <w:rFonts w:hint="default"/>
                    </w:rPr>
                  </w:pPr>
                  <w:r>
                    <w:t>20</w:t>
                  </w:r>
                </w:p>
              </w:tc>
              <w:tc>
                <w:tcPr>
                  <w:tcW w:w="323" w:type="pct"/>
                  <w:tcBorders>
                    <w:tl2br w:val="nil"/>
                    <w:tr2bl w:val="nil"/>
                  </w:tcBorders>
                  <w:vAlign w:val="center"/>
                </w:tcPr>
                <w:p w14:paraId="7FDC3069">
                  <w:pPr>
                    <w:pStyle w:val="83"/>
                    <w:rPr>
                      <w:rFonts w:hint="default"/>
                    </w:rPr>
                  </w:pPr>
                  <w:r>
                    <w:t>0.09</w:t>
                  </w:r>
                </w:p>
              </w:tc>
              <w:tc>
                <w:tcPr>
                  <w:tcW w:w="437" w:type="pct"/>
                  <w:vMerge w:val="continue"/>
                  <w:tcBorders>
                    <w:tl2br w:val="nil"/>
                    <w:tr2bl w:val="nil"/>
                  </w:tcBorders>
                  <w:vAlign w:val="center"/>
                </w:tcPr>
                <w:p w14:paraId="3D3A3111">
                  <w:pPr>
                    <w:pStyle w:val="83"/>
                    <w:rPr>
                      <w:rFonts w:hint="default"/>
                    </w:rPr>
                  </w:pPr>
                </w:p>
              </w:tc>
              <w:tc>
                <w:tcPr>
                  <w:tcW w:w="306" w:type="pct"/>
                  <w:tcBorders>
                    <w:tl2br w:val="nil"/>
                    <w:tr2bl w:val="nil"/>
                  </w:tcBorders>
                  <w:vAlign w:val="center"/>
                </w:tcPr>
                <w:p w14:paraId="7C793C01">
                  <w:pPr>
                    <w:pStyle w:val="83"/>
                    <w:rPr>
                      <w:rFonts w:hint="default"/>
                    </w:rPr>
                  </w:pPr>
                  <w:r>
                    <w:t>/</w:t>
                  </w:r>
                </w:p>
              </w:tc>
              <w:tc>
                <w:tcPr>
                  <w:tcW w:w="357" w:type="pct"/>
                  <w:vMerge w:val="continue"/>
                  <w:tcBorders>
                    <w:tl2br w:val="nil"/>
                    <w:tr2bl w:val="nil"/>
                  </w:tcBorders>
                  <w:vAlign w:val="center"/>
                </w:tcPr>
                <w:p w14:paraId="51FFE29B">
                  <w:pPr>
                    <w:pStyle w:val="83"/>
                    <w:rPr>
                      <w:rFonts w:hint="default"/>
                    </w:rPr>
                  </w:pPr>
                </w:p>
              </w:tc>
              <w:tc>
                <w:tcPr>
                  <w:tcW w:w="390" w:type="pct"/>
                  <w:tcBorders>
                    <w:tl2br w:val="nil"/>
                    <w:tr2bl w:val="nil"/>
                  </w:tcBorders>
                  <w:vAlign w:val="center"/>
                </w:tcPr>
                <w:p w14:paraId="60A5320B">
                  <w:pPr>
                    <w:pStyle w:val="83"/>
                    <w:rPr>
                      <w:rFonts w:hint="default"/>
                    </w:rPr>
                  </w:pPr>
                  <w:r>
                    <w:t>20</w:t>
                  </w:r>
                </w:p>
              </w:tc>
              <w:tc>
                <w:tcPr>
                  <w:tcW w:w="310" w:type="pct"/>
                  <w:tcBorders>
                    <w:tl2br w:val="nil"/>
                    <w:tr2bl w:val="nil"/>
                  </w:tcBorders>
                  <w:vAlign w:val="center"/>
                </w:tcPr>
                <w:p w14:paraId="3C7DB2C1">
                  <w:pPr>
                    <w:pStyle w:val="83"/>
                    <w:rPr>
                      <w:rFonts w:hint="default"/>
                    </w:rPr>
                  </w:pPr>
                  <w:r>
                    <w:t>0.09</w:t>
                  </w:r>
                </w:p>
              </w:tc>
            </w:tr>
            <w:tr w14:paraId="5C342D3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42471CE3">
                  <w:pPr>
                    <w:pStyle w:val="83"/>
                    <w:rPr>
                      <w:rFonts w:hint="default"/>
                    </w:rPr>
                  </w:pPr>
                </w:p>
              </w:tc>
              <w:tc>
                <w:tcPr>
                  <w:tcW w:w="319" w:type="pct"/>
                  <w:vMerge w:val="continue"/>
                  <w:tcBorders>
                    <w:tl2br w:val="nil"/>
                    <w:tr2bl w:val="nil"/>
                  </w:tcBorders>
                  <w:vAlign w:val="center"/>
                </w:tcPr>
                <w:p w14:paraId="3D2C04E9">
                  <w:pPr>
                    <w:pStyle w:val="83"/>
                    <w:rPr>
                      <w:rFonts w:hint="default"/>
                    </w:rPr>
                  </w:pPr>
                </w:p>
              </w:tc>
              <w:tc>
                <w:tcPr>
                  <w:tcW w:w="981" w:type="pct"/>
                  <w:vMerge w:val="continue"/>
                  <w:tcBorders>
                    <w:tl2br w:val="nil"/>
                    <w:tr2bl w:val="nil"/>
                  </w:tcBorders>
                  <w:vAlign w:val="center"/>
                </w:tcPr>
                <w:p w14:paraId="5CC52D51">
                  <w:pPr>
                    <w:pStyle w:val="83"/>
                    <w:rPr>
                      <w:rFonts w:hint="default"/>
                    </w:rPr>
                  </w:pPr>
                </w:p>
              </w:tc>
              <w:tc>
                <w:tcPr>
                  <w:tcW w:w="320" w:type="pct"/>
                  <w:tcBorders>
                    <w:tl2br w:val="nil"/>
                    <w:tr2bl w:val="nil"/>
                  </w:tcBorders>
                  <w:vAlign w:val="center"/>
                </w:tcPr>
                <w:p w14:paraId="136871FE">
                  <w:pPr>
                    <w:pStyle w:val="83"/>
                    <w:rPr>
                      <w:rFonts w:hint="default"/>
                    </w:rPr>
                  </w:pPr>
                  <w:r>
                    <w:t>氨氮</w:t>
                  </w:r>
                </w:p>
              </w:tc>
              <w:tc>
                <w:tcPr>
                  <w:tcW w:w="267" w:type="pct"/>
                  <w:vMerge w:val="continue"/>
                  <w:tcBorders>
                    <w:tl2br w:val="nil"/>
                    <w:tr2bl w:val="nil"/>
                  </w:tcBorders>
                  <w:vAlign w:val="center"/>
                </w:tcPr>
                <w:p w14:paraId="28E9D087">
                  <w:pPr>
                    <w:pStyle w:val="83"/>
                    <w:rPr>
                      <w:rFonts w:hint="default"/>
                    </w:rPr>
                  </w:pPr>
                </w:p>
              </w:tc>
              <w:tc>
                <w:tcPr>
                  <w:tcW w:w="308" w:type="pct"/>
                  <w:vMerge w:val="continue"/>
                  <w:tcBorders>
                    <w:tl2br w:val="nil"/>
                    <w:tr2bl w:val="nil"/>
                  </w:tcBorders>
                  <w:vAlign w:val="center"/>
                </w:tcPr>
                <w:p w14:paraId="2CF187D0">
                  <w:pPr>
                    <w:pStyle w:val="83"/>
                    <w:rPr>
                      <w:rFonts w:hint="default"/>
                    </w:rPr>
                  </w:pPr>
                </w:p>
              </w:tc>
              <w:tc>
                <w:tcPr>
                  <w:tcW w:w="383" w:type="pct"/>
                  <w:tcBorders>
                    <w:tl2br w:val="nil"/>
                    <w:tr2bl w:val="nil"/>
                  </w:tcBorders>
                  <w:vAlign w:val="center"/>
                </w:tcPr>
                <w:p w14:paraId="48F3F5F4">
                  <w:pPr>
                    <w:pStyle w:val="83"/>
                    <w:rPr>
                      <w:rFonts w:hint="default"/>
                    </w:rPr>
                  </w:pPr>
                  <w:r>
                    <w:t>10</w:t>
                  </w:r>
                </w:p>
              </w:tc>
              <w:tc>
                <w:tcPr>
                  <w:tcW w:w="323" w:type="pct"/>
                  <w:tcBorders>
                    <w:tl2br w:val="nil"/>
                    <w:tr2bl w:val="nil"/>
                  </w:tcBorders>
                  <w:vAlign w:val="center"/>
                </w:tcPr>
                <w:p w14:paraId="522F5EBE">
                  <w:pPr>
                    <w:pStyle w:val="83"/>
                    <w:rPr>
                      <w:rFonts w:hint="default"/>
                    </w:rPr>
                  </w:pPr>
                  <w:r>
                    <w:t>0.045</w:t>
                  </w:r>
                </w:p>
              </w:tc>
              <w:tc>
                <w:tcPr>
                  <w:tcW w:w="437" w:type="pct"/>
                  <w:vMerge w:val="continue"/>
                  <w:tcBorders>
                    <w:tl2br w:val="nil"/>
                    <w:tr2bl w:val="nil"/>
                  </w:tcBorders>
                  <w:vAlign w:val="center"/>
                </w:tcPr>
                <w:p w14:paraId="7E527556">
                  <w:pPr>
                    <w:pStyle w:val="83"/>
                    <w:rPr>
                      <w:rFonts w:hint="default"/>
                    </w:rPr>
                  </w:pPr>
                </w:p>
              </w:tc>
              <w:tc>
                <w:tcPr>
                  <w:tcW w:w="306" w:type="pct"/>
                  <w:tcBorders>
                    <w:tl2br w:val="nil"/>
                    <w:tr2bl w:val="nil"/>
                  </w:tcBorders>
                  <w:vAlign w:val="center"/>
                </w:tcPr>
                <w:p w14:paraId="3C6C6E09">
                  <w:pPr>
                    <w:pStyle w:val="83"/>
                    <w:rPr>
                      <w:rFonts w:hint="default"/>
                    </w:rPr>
                  </w:pPr>
                  <w:r>
                    <w:t>/</w:t>
                  </w:r>
                </w:p>
              </w:tc>
              <w:tc>
                <w:tcPr>
                  <w:tcW w:w="357" w:type="pct"/>
                  <w:vMerge w:val="continue"/>
                  <w:tcBorders>
                    <w:tl2br w:val="nil"/>
                    <w:tr2bl w:val="nil"/>
                  </w:tcBorders>
                  <w:vAlign w:val="center"/>
                </w:tcPr>
                <w:p w14:paraId="26C62A9C">
                  <w:pPr>
                    <w:pStyle w:val="83"/>
                    <w:rPr>
                      <w:rFonts w:hint="default"/>
                    </w:rPr>
                  </w:pPr>
                </w:p>
              </w:tc>
              <w:tc>
                <w:tcPr>
                  <w:tcW w:w="390" w:type="pct"/>
                  <w:tcBorders>
                    <w:tl2br w:val="nil"/>
                    <w:tr2bl w:val="nil"/>
                  </w:tcBorders>
                  <w:vAlign w:val="center"/>
                </w:tcPr>
                <w:p w14:paraId="1B5D6642">
                  <w:pPr>
                    <w:pStyle w:val="83"/>
                    <w:rPr>
                      <w:rFonts w:hint="default"/>
                    </w:rPr>
                  </w:pPr>
                  <w:r>
                    <w:t>10</w:t>
                  </w:r>
                </w:p>
              </w:tc>
              <w:tc>
                <w:tcPr>
                  <w:tcW w:w="310" w:type="pct"/>
                  <w:tcBorders>
                    <w:tl2br w:val="nil"/>
                    <w:tr2bl w:val="nil"/>
                  </w:tcBorders>
                  <w:vAlign w:val="center"/>
                </w:tcPr>
                <w:p w14:paraId="6928C5AB">
                  <w:pPr>
                    <w:pStyle w:val="83"/>
                    <w:rPr>
                      <w:rFonts w:hint="default"/>
                    </w:rPr>
                  </w:pPr>
                  <w:r>
                    <w:t>0.045</w:t>
                  </w:r>
                </w:p>
              </w:tc>
            </w:tr>
            <w:tr w14:paraId="7B5E89A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58B6F5F0">
                  <w:pPr>
                    <w:pStyle w:val="83"/>
                    <w:rPr>
                      <w:rFonts w:hint="default"/>
                    </w:rPr>
                  </w:pPr>
                </w:p>
              </w:tc>
              <w:tc>
                <w:tcPr>
                  <w:tcW w:w="319" w:type="pct"/>
                  <w:vMerge w:val="continue"/>
                  <w:tcBorders>
                    <w:tl2br w:val="nil"/>
                    <w:tr2bl w:val="nil"/>
                  </w:tcBorders>
                  <w:vAlign w:val="center"/>
                </w:tcPr>
                <w:p w14:paraId="7E05CE0D">
                  <w:pPr>
                    <w:pStyle w:val="83"/>
                    <w:rPr>
                      <w:rFonts w:hint="default"/>
                    </w:rPr>
                  </w:pPr>
                </w:p>
              </w:tc>
              <w:tc>
                <w:tcPr>
                  <w:tcW w:w="981" w:type="pct"/>
                  <w:vMerge w:val="continue"/>
                  <w:tcBorders>
                    <w:tl2br w:val="nil"/>
                    <w:tr2bl w:val="nil"/>
                  </w:tcBorders>
                  <w:vAlign w:val="center"/>
                </w:tcPr>
                <w:p w14:paraId="3FBECF12">
                  <w:pPr>
                    <w:pStyle w:val="83"/>
                    <w:rPr>
                      <w:rFonts w:hint="default"/>
                    </w:rPr>
                  </w:pPr>
                </w:p>
              </w:tc>
              <w:tc>
                <w:tcPr>
                  <w:tcW w:w="320" w:type="pct"/>
                  <w:tcBorders>
                    <w:tl2br w:val="nil"/>
                    <w:tr2bl w:val="nil"/>
                  </w:tcBorders>
                  <w:vAlign w:val="center"/>
                </w:tcPr>
                <w:p w14:paraId="161AB33E">
                  <w:pPr>
                    <w:pStyle w:val="83"/>
                    <w:rPr>
                      <w:rFonts w:hint="default"/>
                    </w:rPr>
                  </w:pPr>
                  <w:r>
                    <w:t>石油类</w:t>
                  </w:r>
                </w:p>
              </w:tc>
              <w:tc>
                <w:tcPr>
                  <w:tcW w:w="267" w:type="pct"/>
                  <w:vMerge w:val="continue"/>
                  <w:tcBorders>
                    <w:tl2br w:val="nil"/>
                    <w:tr2bl w:val="nil"/>
                  </w:tcBorders>
                  <w:vAlign w:val="center"/>
                </w:tcPr>
                <w:p w14:paraId="195B12DD">
                  <w:pPr>
                    <w:pStyle w:val="83"/>
                    <w:rPr>
                      <w:rFonts w:hint="default"/>
                    </w:rPr>
                  </w:pPr>
                </w:p>
              </w:tc>
              <w:tc>
                <w:tcPr>
                  <w:tcW w:w="308" w:type="pct"/>
                  <w:vMerge w:val="continue"/>
                  <w:tcBorders>
                    <w:tl2br w:val="nil"/>
                    <w:tr2bl w:val="nil"/>
                  </w:tcBorders>
                  <w:vAlign w:val="center"/>
                </w:tcPr>
                <w:p w14:paraId="55EF6ABF">
                  <w:pPr>
                    <w:pStyle w:val="83"/>
                    <w:rPr>
                      <w:rFonts w:hint="default"/>
                    </w:rPr>
                  </w:pPr>
                </w:p>
              </w:tc>
              <w:tc>
                <w:tcPr>
                  <w:tcW w:w="383" w:type="pct"/>
                  <w:tcBorders>
                    <w:tl2br w:val="nil"/>
                    <w:tr2bl w:val="nil"/>
                  </w:tcBorders>
                  <w:vAlign w:val="center"/>
                </w:tcPr>
                <w:p w14:paraId="5CDEFFA5">
                  <w:pPr>
                    <w:pStyle w:val="83"/>
                    <w:rPr>
                      <w:rFonts w:hint="default"/>
                    </w:rPr>
                  </w:pPr>
                  <w:r>
                    <w:t>0.1</w:t>
                  </w:r>
                </w:p>
              </w:tc>
              <w:tc>
                <w:tcPr>
                  <w:tcW w:w="323" w:type="pct"/>
                  <w:tcBorders>
                    <w:tl2br w:val="nil"/>
                    <w:tr2bl w:val="nil"/>
                  </w:tcBorders>
                  <w:vAlign w:val="center"/>
                </w:tcPr>
                <w:p w14:paraId="72024A1C">
                  <w:pPr>
                    <w:pStyle w:val="83"/>
                    <w:rPr>
                      <w:rFonts w:hint="default"/>
                    </w:rPr>
                  </w:pPr>
                  <w:r>
                    <w:t>0.0005</w:t>
                  </w:r>
                </w:p>
              </w:tc>
              <w:tc>
                <w:tcPr>
                  <w:tcW w:w="437" w:type="pct"/>
                  <w:vMerge w:val="continue"/>
                  <w:tcBorders>
                    <w:tl2br w:val="nil"/>
                    <w:tr2bl w:val="nil"/>
                  </w:tcBorders>
                  <w:vAlign w:val="center"/>
                </w:tcPr>
                <w:p w14:paraId="5CE206F6">
                  <w:pPr>
                    <w:pStyle w:val="83"/>
                    <w:rPr>
                      <w:rFonts w:hint="default"/>
                    </w:rPr>
                  </w:pPr>
                </w:p>
              </w:tc>
              <w:tc>
                <w:tcPr>
                  <w:tcW w:w="306" w:type="pct"/>
                  <w:tcBorders>
                    <w:tl2br w:val="nil"/>
                    <w:tr2bl w:val="nil"/>
                  </w:tcBorders>
                  <w:vAlign w:val="center"/>
                </w:tcPr>
                <w:p w14:paraId="6631EFB2">
                  <w:pPr>
                    <w:pStyle w:val="83"/>
                    <w:rPr>
                      <w:rFonts w:hint="default"/>
                    </w:rPr>
                  </w:pPr>
                  <w:r>
                    <w:t>/</w:t>
                  </w:r>
                </w:p>
              </w:tc>
              <w:tc>
                <w:tcPr>
                  <w:tcW w:w="357" w:type="pct"/>
                  <w:vMerge w:val="continue"/>
                  <w:tcBorders>
                    <w:tl2br w:val="nil"/>
                    <w:tr2bl w:val="nil"/>
                  </w:tcBorders>
                  <w:vAlign w:val="center"/>
                </w:tcPr>
                <w:p w14:paraId="24C561D2">
                  <w:pPr>
                    <w:pStyle w:val="83"/>
                    <w:rPr>
                      <w:rFonts w:hint="default"/>
                    </w:rPr>
                  </w:pPr>
                </w:p>
              </w:tc>
              <w:tc>
                <w:tcPr>
                  <w:tcW w:w="390" w:type="pct"/>
                  <w:tcBorders>
                    <w:tl2br w:val="nil"/>
                    <w:tr2bl w:val="nil"/>
                  </w:tcBorders>
                  <w:vAlign w:val="center"/>
                </w:tcPr>
                <w:p w14:paraId="43468D2E">
                  <w:pPr>
                    <w:pStyle w:val="83"/>
                    <w:rPr>
                      <w:rFonts w:hint="default"/>
                    </w:rPr>
                  </w:pPr>
                  <w:r>
                    <w:t>0.1</w:t>
                  </w:r>
                </w:p>
              </w:tc>
              <w:tc>
                <w:tcPr>
                  <w:tcW w:w="310" w:type="pct"/>
                  <w:tcBorders>
                    <w:tl2br w:val="nil"/>
                    <w:tr2bl w:val="nil"/>
                  </w:tcBorders>
                  <w:vAlign w:val="center"/>
                </w:tcPr>
                <w:p w14:paraId="04A2FA07">
                  <w:pPr>
                    <w:pStyle w:val="83"/>
                    <w:rPr>
                      <w:rFonts w:hint="default"/>
                    </w:rPr>
                  </w:pPr>
                  <w:r>
                    <w:t>0.0005</w:t>
                  </w:r>
                </w:p>
              </w:tc>
            </w:tr>
            <w:tr w14:paraId="140B096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74D2A9F8">
                  <w:pPr>
                    <w:pStyle w:val="83"/>
                    <w:rPr>
                      <w:rFonts w:hint="default"/>
                    </w:rPr>
                  </w:pPr>
                </w:p>
              </w:tc>
              <w:tc>
                <w:tcPr>
                  <w:tcW w:w="319" w:type="pct"/>
                  <w:vMerge w:val="continue"/>
                  <w:tcBorders>
                    <w:tl2br w:val="nil"/>
                    <w:tr2bl w:val="nil"/>
                  </w:tcBorders>
                  <w:vAlign w:val="center"/>
                </w:tcPr>
                <w:p w14:paraId="50CF9032">
                  <w:pPr>
                    <w:pStyle w:val="83"/>
                    <w:rPr>
                      <w:rFonts w:hint="default"/>
                    </w:rPr>
                  </w:pPr>
                </w:p>
              </w:tc>
              <w:tc>
                <w:tcPr>
                  <w:tcW w:w="981" w:type="pct"/>
                  <w:vMerge w:val="continue"/>
                  <w:tcBorders>
                    <w:tl2br w:val="nil"/>
                    <w:tr2bl w:val="nil"/>
                  </w:tcBorders>
                  <w:vAlign w:val="center"/>
                </w:tcPr>
                <w:p w14:paraId="45DBA6CE">
                  <w:pPr>
                    <w:pStyle w:val="83"/>
                    <w:rPr>
                      <w:rFonts w:hint="default"/>
                    </w:rPr>
                  </w:pPr>
                </w:p>
              </w:tc>
              <w:tc>
                <w:tcPr>
                  <w:tcW w:w="320" w:type="pct"/>
                  <w:tcBorders>
                    <w:tl2br w:val="nil"/>
                    <w:tr2bl w:val="nil"/>
                  </w:tcBorders>
                  <w:vAlign w:val="center"/>
                </w:tcPr>
                <w:p w14:paraId="169B021B">
                  <w:pPr>
                    <w:pStyle w:val="83"/>
                    <w:rPr>
                      <w:rFonts w:hint="default"/>
                    </w:rPr>
                  </w:pPr>
                  <w:r>
                    <w:t>总有机碳</w:t>
                  </w:r>
                </w:p>
              </w:tc>
              <w:tc>
                <w:tcPr>
                  <w:tcW w:w="267" w:type="pct"/>
                  <w:vMerge w:val="continue"/>
                  <w:tcBorders>
                    <w:tl2br w:val="nil"/>
                    <w:tr2bl w:val="nil"/>
                  </w:tcBorders>
                  <w:vAlign w:val="center"/>
                </w:tcPr>
                <w:p w14:paraId="53AC9468">
                  <w:pPr>
                    <w:pStyle w:val="83"/>
                    <w:rPr>
                      <w:rFonts w:hint="default"/>
                    </w:rPr>
                  </w:pPr>
                </w:p>
              </w:tc>
              <w:tc>
                <w:tcPr>
                  <w:tcW w:w="308" w:type="pct"/>
                  <w:vMerge w:val="continue"/>
                  <w:tcBorders>
                    <w:tl2br w:val="nil"/>
                    <w:tr2bl w:val="nil"/>
                  </w:tcBorders>
                  <w:vAlign w:val="center"/>
                </w:tcPr>
                <w:p w14:paraId="1EC64861">
                  <w:pPr>
                    <w:pStyle w:val="83"/>
                    <w:rPr>
                      <w:rFonts w:hint="default"/>
                    </w:rPr>
                  </w:pPr>
                </w:p>
              </w:tc>
              <w:tc>
                <w:tcPr>
                  <w:tcW w:w="383" w:type="pct"/>
                  <w:tcBorders>
                    <w:tl2br w:val="nil"/>
                    <w:tr2bl w:val="nil"/>
                  </w:tcBorders>
                  <w:vAlign w:val="center"/>
                </w:tcPr>
                <w:p w14:paraId="37D3689C">
                  <w:pPr>
                    <w:pStyle w:val="83"/>
                    <w:rPr>
                      <w:rFonts w:hint="default"/>
                    </w:rPr>
                  </w:pPr>
                  <w:r>
                    <w:t>25</w:t>
                  </w:r>
                </w:p>
              </w:tc>
              <w:tc>
                <w:tcPr>
                  <w:tcW w:w="323" w:type="pct"/>
                  <w:tcBorders>
                    <w:tl2br w:val="nil"/>
                    <w:tr2bl w:val="nil"/>
                  </w:tcBorders>
                  <w:vAlign w:val="center"/>
                </w:tcPr>
                <w:p w14:paraId="44610B6D">
                  <w:pPr>
                    <w:pStyle w:val="83"/>
                    <w:rPr>
                      <w:rFonts w:hint="default"/>
                    </w:rPr>
                  </w:pPr>
                  <w:r>
                    <w:t>0.11</w:t>
                  </w:r>
                </w:p>
              </w:tc>
              <w:tc>
                <w:tcPr>
                  <w:tcW w:w="437" w:type="pct"/>
                  <w:vMerge w:val="continue"/>
                  <w:tcBorders>
                    <w:tl2br w:val="nil"/>
                    <w:tr2bl w:val="nil"/>
                  </w:tcBorders>
                  <w:vAlign w:val="center"/>
                </w:tcPr>
                <w:p w14:paraId="5A003DDF">
                  <w:pPr>
                    <w:pStyle w:val="83"/>
                    <w:rPr>
                      <w:rFonts w:hint="default"/>
                    </w:rPr>
                  </w:pPr>
                </w:p>
              </w:tc>
              <w:tc>
                <w:tcPr>
                  <w:tcW w:w="306" w:type="pct"/>
                  <w:tcBorders>
                    <w:tl2br w:val="nil"/>
                    <w:tr2bl w:val="nil"/>
                  </w:tcBorders>
                  <w:vAlign w:val="center"/>
                </w:tcPr>
                <w:p w14:paraId="565275B8">
                  <w:pPr>
                    <w:pStyle w:val="83"/>
                    <w:rPr>
                      <w:rFonts w:hint="default"/>
                    </w:rPr>
                  </w:pPr>
                  <w:r>
                    <w:t>/</w:t>
                  </w:r>
                </w:p>
              </w:tc>
              <w:tc>
                <w:tcPr>
                  <w:tcW w:w="357" w:type="pct"/>
                  <w:vMerge w:val="continue"/>
                  <w:tcBorders>
                    <w:tl2br w:val="nil"/>
                    <w:tr2bl w:val="nil"/>
                  </w:tcBorders>
                  <w:vAlign w:val="center"/>
                </w:tcPr>
                <w:p w14:paraId="347AE84A">
                  <w:pPr>
                    <w:pStyle w:val="83"/>
                    <w:rPr>
                      <w:rFonts w:hint="default"/>
                    </w:rPr>
                  </w:pPr>
                </w:p>
              </w:tc>
              <w:tc>
                <w:tcPr>
                  <w:tcW w:w="390" w:type="pct"/>
                  <w:tcBorders>
                    <w:tl2br w:val="nil"/>
                    <w:tr2bl w:val="nil"/>
                  </w:tcBorders>
                  <w:vAlign w:val="center"/>
                </w:tcPr>
                <w:p w14:paraId="6A2E2D8E">
                  <w:pPr>
                    <w:pStyle w:val="83"/>
                    <w:rPr>
                      <w:rFonts w:hint="default"/>
                    </w:rPr>
                  </w:pPr>
                  <w:r>
                    <w:t>25</w:t>
                  </w:r>
                </w:p>
              </w:tc>
              <w:tc>
                <w:tcPr>
                  <w:tcW w:w="310" w:type="pct"/>
                  <w:tcBorders>
                    <w:tl2br w:val="nil"/>
                    <w:tr2bl w:val="nil"/>
                  </w:tcBorders>
                  <w:vAlign w:val="center"/>
                </w:tcPr>
                <w:p w14:paraId="08969627">
                  <w:pPr>
                    <w:pStyle w:val="83"/>
                    <w:rPr>
                      <w:rFonts w:hint="default"/>
                    </w:rPr>
                  </w:pPr>
                  <w:r>
                    <w:t>0.11</w:t>
                  </w:r>
                </w:p>
              </w:tc>
            </w:tr>
            <w:tr w14:paraId="5CFBFE1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14:paraId="06753101">
                  <w:pPr>
                    <w:pStyle w:val="83"/>
                    <w:rPr>
                      <w:rFonts w:hint="default"/>
                    </w:rPr>
                  </w:pPr>
                  <w:r>
                    <w:t>生活办公</w:t>
                  </w:r>
                </w:p>
              </w:tc>
              <w:tc>
                <w:tcPr>
                  <w:tcW w:w="319" w:type="pct"/>
                  <w:vMerge w:val="restart"/>
                  <w:tcBorders>
                    <w:tl2br w:val="nil"/>
                    <w:tr2bl w:val="nil"/>
                  </w:tcBorders>
                  <w:vAlign w:val="center"/>
                </w:tcPr>
                <w:p w14:paraId="58E5B2C0">
                  <w:pPr>
                    <w:pStyle w:val="83"/>
                    <w:rPr>
                      <w:rFonts w:hint="default"/>
                    </w:rPr>
                  </w:pPr>
                  <w:r>
                    <w:t>生活污水</w:t>
                  </w:r>
                </w:p>
              </w:tc>
              <w:tc>
                <w:tcPr>
                  <w:tcW w:w="981" w:type="pct"/>
                  <w:vMerge w:val="restart"/>
                  <w:tcBorders>
                    <w:tl2br w:val="nil"/>
                    <w:tr2bl w:val="nil"/>
                  </w:tcBorders>
                  <w:vAlign w:val="center"/>
                </w:tcPr>
                <w:p w14:paraId="7F076336">
                  <w:pPr>
                    <w:pStyle w:val="83"/>
                    <w:rPr>
                      <w:rFonts w:hint="default"/>
                    </w:rPr>
                  </w:pPr>
                  <w:r>
                    <w:t>化粪池</w:t>
                  </w:r>
                </w:p>
              </w:tc>
              <w:tc>
                <w:tcPr>
                  <w:tcW w:w="320" w:type="pct"/>
                  <w:tcBorders>
                    <w:tl2br w:val="nil"/>
                    <w:tr2bl w:val="nil"/>
                  </w:tcBorders>
                  <w:vAlign w:val="center"/>
                </w:tcPr>
                <w:p w14:paraId="59760B4C">
                  <w:pPr>
                    <w:pStyle w:val="83"/>
                    <w:rPr>
                      <w:rFonts w:hint="default"/>
                    </w:rPr>
                  </w:pPr>
                  <w:r>
                    <w:t>COD</w:t>
                  </w:r>
                </w:p>
              </w:tc>
              <w:tc>
                <w:tcPr>
                  <w:tcW w:w="267" w:type="pct"/>
                  <w:vMerge w:val="restart"/>
                  <w:tcBorders>
                    <w:tl2br w:val="nil"/>
                    <w:tr2bl w:val="nil"/>
                  </w:tcBorders>
                  <w:vAlign w:val="center"/>
                </w:tcPr>
                <w:p w14:paraId="209C460B">
                  <w:pPr>
                    <w:pStyle w:val="83"/>
                    <w:rPr>
                      <w:rFonts w:hint="default"/>
                    </w:rPr>
                  </w:pPr>
                  <w:r>
                    <w:t>类比法</w:t>
                  </w:r>
                </w:p>
              </w:tc>
              <w:tc>
                <w:tcPr>
                  <w:tcW w:w="308" w:type="pct"/>
                  <w:vMerge w:val="restart"/>
                  <w:tcBorders>
                    <w:tl2br w:val="nil"/>
                    <w:tr2bl w:val="nil"/>
                  </w:tcBorders>
                  <w:vAlign w:val="center"/>
                </w:tcPr>
                <w:p w14:paraId="2637C8E6">
                  <w:pPr>
                    <w:pStyle w:val="83"/>
                    <w:rPr>
                      <w:rFonts w:hint="default"/>
                    </w:rPr>
                  </w:pPr>
                  <w:r>
                    <w:t>2394.4</w:t>
                  </w:r>
                </w:p>
              </w:tc>
              <w:tc>
                <w:tcPr>
                  <w:tcW w:w="383" w:type="pct"/>
                  <w:tcBorders>
                    <w:tl2br w:val="nil"/>
                    <w:tr2bl w:val="nil"/>
                  </w:tcBorders>
                  <w:vAlign w:val="center"/>
                </w:tcPr>
                <w:p w14:paraId="4522DC2C">
                  <w:pPr>
                    <w:pStyle w:val="83"/>
                    <w:rPr>
                      <w:rFonts w:hint="default"/>
                    </w:rPr>
                  </w:pPr>
                  <w:r>
                    <w:t>400</w:t>
                  </w:r>
                </w:p>
              </w:tc>
              <w:tc>
                <w:tcPr>
                  <w:tcW w:w="323" w:type="pct"/>
                  <w:tcBorders>
                    <w:tl2br w:val="nil"/>
                    <w:tr2bl w:val="nil"/>
                  </w:tcBorders>
                  <w:vAlign w:val="center"/>
                </w:tcPr>
                <w:p w14:paraId="65655BCC">
                  <w:pPr>
                    <w:pStyle w:val="83"/>
                    <w:rPr>
                      <w:rFonts w:hint="default"/>
                    </w:rPr>
                  </w:pPr>
                  <w:r>
                    <w:t>0.96</w:t>
                  </w:r>
                </w:p>
              </w:tc>
              <w:tc>
                <w:tcPr>
                  <w:tcW w:w="437" w:type="pct"/>
                  <w:vMerge w:val="restart"/>
                  <w:tcBorders>
                    <w:tl2br w:val="nil"/>
                    <w:tr2bl w:val="nil"/>
                  </w:tcBorders>
                  <w:vAlign w:val="center"/>
                </w:tcPr>
                <w:p w14:paraId="7C7F9CD0">
                  <w:pPr>
                    <w:pStyle w:val="83"/>
                    <w:rPr>
                      <w:rFonts w:hint="default"/>
                    </w:rPr>
                  </w:pPr>
                  <w:r>
                    <w:t>沉淀+厌氧发酵</w:t>
                  </w:r>
                </w:p>
              </w:tc>
              <w:tc>
                <w:tcPr>
                  <w:tcW w:w="306" w:type="pct"/>
                  <w:tcBorders>
                    <w:tl2br w:val="nil"/>
                    <w:tr2bl w:val="nil"/>
                  </w:tcBorders>
                  <w:vAlign w:val="center"/>
                </w:tcPr>
                <w:p w14:paraId="46AFD37E">
                  <w:pPr>
                    <w:pStyle w:val="83"/>
                    <w:rPr>
                      <w:rFonts w:hint="default"/>
                    </w:rPr>
                  </w:pPr>
                  <w:r>
                    <w:t>25</w:t>
                  </w:r>
                </w:p>
              </w:tc>
              <w:tc>
                <w:tcPr>
                  <w:tcW w:w="357" w:type="pct"/>
                  <w:vMerge w:val="restart"/>
                  <w:tcBorders>
                    <w:tl2br w:val="nil"/>
                    <w:tr2bl w:val="nil"/>
                  </w:tcBorders>
                  <w:vAlign w:val="center"/>
                </w:tcPr>
                <w:p w14:paraId="62517365">
                  <w:pPr>
                    <w:pStyle w:val="83"/>
                    <w:rPr>
                      <w:rFonts w:hint="default"/>
                    </w:rPr>
                  </w:pPr>
                  <w:r>
                    <w:t>2394.4</w:t>
                  </w:r>
                </w:p>
              </w:tc>
              <w:tc>
                <w:tcPr>
                  <w:tcW w:w="390" w:type="pct"/>
                  <w:tcBorders>
                    <w:tl2br w:val="nil"/>
                    <w:tr2bl w:val="nil"/>
                  </w:tcBorders>
                  <w:vAlign w:val="center"/>
                </w:tcPr>
                <w:p w14:paraId="69C4D5BC">
                  <w:pPr>
                    <w:pStyle w:val="83"/>
                    <w:rPr>
                      <w:rFonts w:hint="default"/>
                    </w:rPr>
                  </w:pPr>
                  <w:r>
                    <w:t>300</w:t>
                  </w:r>
                </w:p>
              </w:tc>
              <w:tc>
                <w:tcPr>
                  <w:tcW w:w="310" w:type="pct"/>
                  <w:tcBorders>
                    <w:tl2br w:val="nil"/>
                    <w:tr2bl w:val="nil"/>
                  </w:tcBorders>
                  <w:vAlign w:val="center"/>
                </w:tcPr>
                <w:p w14:paraId="3F488AA7">
                  <w:pPr>
                    <w:pStyle w:val="83"/>
                    <w:rPr>
                      <w:rFonts w:hint="default"/>
                    </w:rPr>
                  </w:pPr>
                  <w:r>
                    <w:t>0.72</w:t>
                  </w:r>
                </w:p>
              </w:tc>
            </w:tr>
            <w:tr w14:paraId="069D43A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4A4F6E87">
                  <w:pPr>
                    <w:pStyle w:val="83"/>
                    <w:rPr>
                      <w:rFonts w:hint="default"/>
                    </w:rPr>
                  </w:pPr>
                </w:p>
              </w:tc>
              <w:tc>
                <w:tcPr>
                  <w:tcW w:w="319" w:type="pct"/>
                  <w:vMerge w:val="continue"/>
                  <w:tcBorders>
                    <w:tl2br w:val="nil"/>
                    <w:tr2bl w:val="nil"/>
                  </w:tcBorders>
                  <w:vAlign w:val="center"/>
                </w:tcPr>
                <w:p w14:paraId="64501765">
                  <w:pPr>
                    <w:pStyle w:val="83"/>
                    <w:rPr>
                      <w:rFonts w:hint="default"/>
                    </w:rPr>
                  </w:pPr>
                </w:p>
              </w:tc>
              <w:tc>
                <w:tcPr>
                  <w:tcW w:w="981" w:type="pct"/>
                  <w:vMerge w:val="continue"/>
                  <w:tcBorders>
                    <w:tl2br w:val="nil"/>
                    <w:tr2bl w:val="nil"/>
                  </w:tcBorders>
                  <w:vAlign w:val="center"/>
                </w:tcPr>
                <w:p w14:paraId="6F9E5C2C">
                  <w:pPr>
                    <w:pStyle w:val="83"/>
                    <w:rPr>
                      <w:rFonts w:hint="default"/>
                    </w:rPr>
                  </w:pPr>
                </w:p>
              </w:tc>
              <w:tc>
                <w:tcPr>
                  <w:tcW w:w="320" w:type="pct"/>
                  <w:tcBorders>
                    <w:tl2br w:val="nil"/>
                    <w:tr2bl w:val="nil"/>
                  </w:tcBorders>
                  <w:vAlign w:val="center"/>
                </w:tcPr>
                <w:p w14:paraId="29430610">
                  <w:pPr>
                    <w:pStyle w:val="83"/>
                    <w:rPr>
                      <w:rFonts w:hint="default"/>
                    </w:rPr>
                  </w:pPr>
                  <w:r>
                    <w:t>BOD</w:t>
                  </w:r>
                  <w:r>
                    <w:rPr>
                      <w:vertAlign w:val="subscript"/>
                    </w:rPr>
                    <w:t>5</w:t>
                  </w:r>
                </w:p>
              </w:tc>
              <w:tc>
                <w:tcPr>
                  <w:tcW w:w="267" w:type="pct"/>
                  <w:vMerge w:val="continue"/>
                  <w:tcBorders>
                    <w:tl2br w:val="nil"/>
                    <w:tr2bl w:val="nil"/>
                  </w:tcBorders>
                  <w:vAlign w:val="center"/>
                </w:tcPr>
                <w:p w14:paraId="0B4C53E1">
                  <w:pPr>
                    <w:pStyle w:val="83"/>
                    <w:rPr>
                      <w:rFonts w:hint="default"/>
                    </w:rPr>
                  </w:pPr>
                </w:p>
              </w:tc>
              <w:tc>
                <w:tcPr>
                  <w:tcW w:w="308" w:type="pct"/>
                  <w:vMerge w:val="continue"/>
                  <w:tcBorders>
                    <w:tl2br w:val="nil"/>
                    <w:tr2bl w:val="nil"/>
                  </w:tcBorders>
                  <w:vAlign w:val="center"/>
                </w:tcPr>
                <w:p w14:paraId="0A3A9DD5">
                  <w:pPr>
                    <w:pStyle w:val="83"/>
                    <w:rPr>
                      <w:rFonts w:hint="default"/>
                    </w:rPr>
                  </w:pPr>
                </w:p>
              </w:tc>
              <w:tc>
                <w:tcPr>
                  <w:tcW w:w="383" w:type="pct"/>
                  <w:tcBorders>
                    <w:tl2br w:val="nil"/>
                    <w:tr2bl w:val="nil"/>
                  </w:tcBorders>
                  <w:vAlign w:val="center"/>
                </w:tcPr>
                <w:p w14:paraId="05C5A59C">
                  <w:pPr>
                    <w:pStyle w:val="83"/>
                    <w:rPr>
                      <w:rFonts w:hint="default"/>
                    </w:rPr>
                  </w:pPr>
                  <w:r>
                    <w:t>200</w:t>
                  </w:r>
                </w:p>
              </w:tc>
              <w:tc>
                <w:tcPr>
                  <w:tcW w:w="323" w:type="pct"/>
                  <w:tcBorders>
                    <w:tl2br w:val="nil"/>
                    <w:tr2bl w:val="nil"/>
                  </w:tcBorders>
                  <w:vAlign w:val="center"/>
                </w:tcPr>
                <w:p w14:paraId="0A6F121D">
                  <w:pPr>
                    <w:pStyle w:val="83"/>
                    <w:rPr>
                      <w:rFonts w:hint="default"/>
                    </w:rPr>
                  </w:pPr>
                  <w:r>
                    <w:t>0.48</w:t>
                  </w:r>
                </w:p>
              </w:tc>
              <w:tc>
                <w:tcPr>
                  <w:tcW w:w="437" w:type="pct"/>
                  <w:vMerge w:val="continue"/>
                  <w:tcBorders>
                    <w:tl2br w:val="nil"/>
                    <w:tr2bl w:val="nil"/>
                  </w:tcBorders>
                  <w:vAlign w:val="center"/>
                </w:tcPr>
                <w:p w14:paraId="62169E1A">
                  <w:pPr>
                    <w:pStyle w:val="83"/>
                    <w:rPr>
                      <w:rFonts w:hint="default"/>
                    </w:rPr>
                  </w:pPr>
                </w:p>
              </w:tc>
              <w:tc>
                <w:tcPr>
                  <w:tcW w:w="306" w:type="pct"/>
                  <w:tcBorders>
                    <w:tl2br w:val="nil"/>
                    <w:tr2bl w:val="nil"/>
                  </w:tcBorders>
                  <w:vAlign w:val="center"/>
                </w:tcPr>
                <w:p w14:paraId="18BC34CC">
                  <w:pPr>
                    <w:pStyle w:val="83"/>
                    <w:rPr>
                      <w:rFonts w:hint="default"/>
                    </w:rPr>
                  </w:pPr>
                  <w:r>
                    <w:t>15</w:t>
                  </w:r>
                </w:p>
              </w:tc>
              <w:tc>
                <w:tcPr>
                  <w:tcW w:w="357" w:type="pct"/>
                  <w:vMerge w:val="continue"/>
                  <w:tcBorders>
                    <w:tl2br w:val="nil"/>
                    <w:tr2bl w:val="nil"/>
                  </w:tcBorders>
                  <w:vAlign w:val="center"/>
                </w:tcPr>
                <w:p w14:paraId="0742386D">
                  <w:pPr>
                    <w:pStyle w:val="83"/>
                    <w:rPr>
                      <w:rFonts w:hint="default"/>
                    </w:rPr>
                  </w:pPr>
                </w:p>
              </w:tc>
              <w:tc>
                <w:tcPr>
                  <w:tcW w:w="390" w:type="pct"/>
                  <w:tcBorders>
                    <w:tl2br w:val="nil"/>
                    <w:tr2bl w:val="nil"/>
                  </w:tcBorders>
                  <w:vAlign w:val="center"/>
                </w:tcPr>
                <w:p w14:paraId="127B5790">
                  <w:pPr>
                    <w:pStyle w:val="83"/>
                    <w:rPr>
                      <w:rFonts w:hint="default"/>
                    </w:rPr>
                  </w:pPr>
                  <w:r>
                    <w:t>170</w:t>
                  </w:r>
                </w:p>
              </w:tc>
              <w:tc>
                <w:tcPr>
                  <w:tcW w:w="310" w:type="pct"/>
                  <w:tcBorders>
                    <w:tl2br w:val="nil"/>
                    <w:tr2bl w:val="nil"/>
                  </w:tcBorders>
                  <w:vAlign w:val="center"/>
                </w:tcPr>
                <w:p w14:paraId="20DAD800">
                  <w:pPr>
                    <w:pStyle w:val="83"/>
                    <w:rPr>
                      <w:rFonts w:hint="default"/>
                    </w:rPr>
                  </w:pPr>
                  <w:r>
                    <w:t>0.41</w:t>
                  </w:r>
                </w:p>
              </w:tc>
            </w:tr>
            <w:tr w14:paraId="56CF5E9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5A3A2F38">
                  <w:pPr>
                    <w:pStyle w:val="83"/>
                    <w:rPr>
                      <w:rFonts w:hint="default"/>
                    </w:rPr>
                  </w:pPr>
                </w:p>
              </w:tc>
              <w:tc>
                <w:tcPr>
                  <w:tcW w:w="319" w:type="pct"/>
                  <w:vMerge w:val="continue"/>
                  <w:tcBorders>
                    <w:tl2br w:val="nil"/>
                    <w:tr2bl w:val="nil"/>
                  </w:tcBorders>
                  <w:vAlign w:val="center"/>
                </w:tcPr>
                <w:p w14:paraId="05325C5A">
                  <w:pPr>
                    <w:pStyle w:val="83"/>
                    <w:rPr>
                      <w:rFonts w:hint="default"/>
                    </w:rPr>
                  </w:pPr>
                </w:p>
              </w:tc>
              <w:tc>
                <w:tcPr>
                  <w:tcW w:w="981" w:type="pct"/>
                  <w:vMerge w:val="continue"/>
                  <w:tcBorders>
                    <w:tl2br w:val="nil"/>
                    <w:tr2bl w:val="nil"/>
                  </w:tcBorders>
                  <w:vAlign w:val="center"/>
                </w:tcPr>
                <w:p w14:paraId="780D9679">
                  <w:pPr>
                    <w:pStyle w:val="83"/>
                    <w:rPr>
                      <w:rFonts w:hint="default"/>
                    </w:rPr>
                  </w:pPr>
                </w:p>
              </w:tc>
              <w:tc>
                <w:tcPr>
                  <w:tcW w:w="320" w:type="pct"/>
                  <w:tcBorders>
                    <w:tl2br w:val="nil"/>
                    <w:tr2bl w:val="nil"/>
                  </w:tcBorders>
                  <w:vAlign w:val="center"/>
                </w:tcPr>
                <w:p w14:paraId="3C529F7C">
                  <w:pPr>
                    <w:pStyle w:val="83"/>
                    <w:rPr>
                      <w:rFonts w:hint="default"/>
                    </w:rPr>
                  </w:pPr>
                  <w:r>
                    <w:t>SS</w:t>
                  </w:r>
                </w:p>
              </w:tc>
              <w:tc>
                <w:tcPr>
                  <w:tcW w:w="267" w:type="pct"/>
                  <w:vMerge w:val="continue"/>
                  <w:tcBorders>
                    <w:tl2br w:val="nil"/>
                    <w:tr2bl w:val="nil"/>
                  </w:tcBorders>
                  <w:vAlign w:val="center"/>
                </w:tcPr>
                <w:p w14:paraId="48BD37E1">
                  <w:pPr>
                    <w:pStyle w:val="83"/>
                    <w:rPr>
                      <w:rFonts w:hint="default"/>
                    </w:rPr>
                  </w:pPr>
                </w:p>
              </w:tc>
              <w:tc>
                <w:tcPr>
                  <w:tcW w:w="308" w:type="pct"/>
                  <w:vMerge w:val="continue"/>
                  <w:tcBorders>
                    <w:tl2br w:val="nil"/>
                    <w:tr2bl w:val="nil"/>
                  </w:tcBorders>
                  <w:vAlign w:val="center"/>
                </w:tcPr>
                <w:p w14:paraId="1E1598CB">
                  <w:pPr>
                    <w:pStyle w:val="83"/>
                    <w:rPr>
                      <w:rFonts w:hint="default"/>
                    </w:rPr>
                  </w:pPr>
                </w:p>
              </w:tc>
              <w:tc>
                <w:tcPr>
                  <w:tcW w:w="383" w:type="pct"/>
                  <w:tcBorders>
                    <w:tl2br w:val="nil"/>
                    <w:tr2bl w:val="nil"/>
                  </w:tcBorders>
                  <w:vAlign w:val="center"/>
                </w:tcPr>
                <w:p w14:paraId="3D93665C">
                  <w:pPr>
                    <w:pStyle w:val="83"/>
                    <w:rPr>
                      <w:rFonts w:hint="default"/>
                    </w:rPr>
                  </w:pPr>
                  <w:r>
                    <w:t>220</w:t>
                  </w:r>
                </w:p>
              </w:tc>
              <w:tc>
                <w:tcPr>
                  <w:tcW w:w="323" w:type="pct"/>
                  <w:tcBorders>
                    <w:tl2br w:val="nil"/>
                    <w:tr2bl w:val="nil"/>
                  </w:tcBorders>
                  <w:vAlign w:val="center"/>
                </w:tcPr>
                <w:p w14:paraId="5ACA9D41">
                  <w:pPr>
                    <w:pStyle w:val="83"/>
                    <w:rPr>
                      <w:rFonts w:hint="default"/>
                    </w:rPr>
                  </w:pPr>
                  <w:r>
                    <w:t>0.53</w:t>
                  </w:r>
                </w:p>
              </w:tc>
              <w:tc>
                <w:tcPr>
                  <w:tcW w:w="437" w:type="pct"/>
                  <w:vMerge w:val="continue"/>
                  <w:tcBorders>
                    <w:tl2br w:val="nil"/>
                    <w:tr2bl w:val="nil"/>
                  </w:tcBorders>
                  <w:vAlign w:val="center"/>
                </w:tcPr>
                <w:p w14:paraId="29FFAB8B">
                  <w:pPr>
                    <w:pStyle w:val="83"/>
                    <w:rPr>
                      <w:rFonts w:hint="default"/>
                    </w:rPr>
                  </w:pPr>
                </w:p>
              </w:tc>
              <w:tc>
                <w:tcPr>
                  <w:tcW w:w="306" w:type="pct"/>
                  <w:tcBorders>
                    <w:tl2br w:val="nil"/>
                    <w:tr2bl w:val="nil"/>
                  </w:tcBorders>
                  <w:vAlign w:val="center"/>
                </w:tcPr>
                <w:p w14:paraId="5064C0AC">
                  <w:pPr>
                    <w:pStyle w:val="83"/>
                    <w:rPr>
                      <w:rFonts w:hint="default"/>
                    </w:rPr>
                  </w:pPr>
                  <w:r>
                    <w:t>30</w:t>
                  </w:r>
                </w:p>
              </w:tc>
              <w:tc>
                <w:tcPr>
                  <w:tcW w:w="357" w:type="pct"/>
                  <w:vMerge w:val="continue"/>
                  <w:tcBorders>
                    <w:tl2br w:val="nil"/>
                    <w:tr2bl w:val="nil"/>
                  </w:tcBorders>
                  <w:vAlign w:val="center"/>
                </w:tcPr>
                <w:p w14:paraId="444063C5">
                  <w:pPr>
                    <w:pStyle w:val="83"/>
                    <w:rPr>
                      <w:rFonts w:hint="default"/>
                    </w:rPr>
                  </w:pPr>
                </w:p>
              </w:tc>
              <w:tc>
                <w:tcPr>
                  <w:tcW w:w="390" w:type="pct"/>
                  <w:tcBorders>
                    <w:tl2br w:val="nil"/>
                    <w:tr2bl w:val="nil"/>
                  </w:tcBorders>
                  <w:vAlign w:val="center"/>
                </w:tcPr>
                <w:p w14:paraId="75405BDF">
                  <w:pPr>
                    <w:pStyle w:val="83"/>
                    <w:rPr>
                      <w:rFonts w:hint="default"/>
                    </w:rPr>
                  </w:pPr>
                  <w:r>
                    <w:t>154</w:t>
                  </w:r>
                </w:p>
              </w:tc>
              <w:tc>
                <w:tcPr>
                  <w:tcW w:w="310" w:type="pct"/>
                  <w:tcBorders>
                    <w:tl2br w:val="nil"/>
                    <w:tr2bl w:val="nil"/>
                  </w:tcBorders>
                  <w:vAlign w:val="center"/>
                </w:tcPr>
                <w:p w14:paraId="41117C03">
                  <w:pPr>
                    <w:pStyle w:val="83"/>
                    <w:rPr>
                      <w:rFonts w:hint="default"/>
                    </w:rPr>
                  </w:pPr>
                  <w:r>
                    <w:t>0.37</w:t>
                  </w:r>
                </w:p>
              </w:tc>
            </w:tr>
            <w:tr w14:paraId="0BE49FB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14:paraId="6C6DEA4D">
                  <w:pPr>
                    <w:pStyle w:val="83"/>
                    <w:rPr>
                      <w:rFonts w:hint="default"/>
                    </w:rPr>
                  </w:pPr>
                </w:p>
              </w:tc>
              <w:tc>
                <w:tcPr>
                  <w:tcW w:w="319" w:type="pct"/>
                  <w:vMerge w:val="continue"/>
                  <w:tcBorders>
                    <w:tl2br w:val="nil"/>
                    <w:tr2bl w:val="nil"/>
                  </w:tcBorders>
                  <w:vAlign w:val="center"/>
                </w:tcPr>
                <w:p w14:paraId="4FC2856E">
                  <w:pPr>
                    <w:pStyle w:val="83"/>
                    <w:rPr>
                      <w:rFonts w:hint="default"/>
                    </w:rPr>
                  </w:pPr>
                </w:p>
              </w:tc>
              <w:tc>
                <w:tcPr>
                  <w:tcW w:w="981" w:type="pct"/>
                  <w:vMerge w:val="continue"/>
                  <w:tcBorders>
                    <w:tl2br w:val="nil"/>
                    <w:tr2bl w:val="nil"/>
                  </w:tcBorders>
                  <w:vAlign w:val="center"/>
                </w:tcPr>
                <w:p w14:paraId="7485B7BB">
                  <w:pPr>
                    <w:pStyle w:val="83"/>
                    <w:rPr>
                      <w:rFonts w:hint="default"/>
                    </w:rPr>
                  </w:pPr>
                </w:p>
              </w:tc>
              <w:tc>
                <w:tcPr>
                  <w:tcW w:w="320" w:type="pct"/>
                  <w:tcBorders>
                    <w:tl2br w:val="nil"/>
                    <w:tr2bl w:val="nil"/>
                  </w:tcBorders>
                  <w:vAlign w:val="center"/>
                </w:tcPr>
                <w:p w14:paraId="48E67AEB">
                  <w:pPr>
                    <w:pStyle w:val="83"/>
                    <w:rPr>
                      <w:rFonts w:hint="default"/>
                    </w:rPr>
                  </w:pPr>
                  <w:r>
                    <w:t>氨氮</w:t>
                  </w:r>
                </w:p>
              </w:tc>
              <w:tc>
                <w:tcPr>
                  <w:tcW w:w="267" w:type="pct"/>
                  <w:vMerge w:val="continue"/>
                  <w:tcBorders>
                    <w:tl2br w:val="nil"/>
                    <w:tr2bl w:val="nil"/>
                  </w:tcBorders>
                  <w:vAlign w:val="center"/>
                </w:tcPr>
                <w:p w14:paraId="4D06581F">
                  <w:pPr>
                    <w:pStyle w:val="83"/>
                    <w:rPr>
                      <w:rFonts w:hint="default"/>
                    </w:rPr>
                  </w:pPr>
                </w:p>
              </w:tc>
              <w:tc>
                <w:tcPr>
                  <w:tcW w:w="308" w:type="pct"/>
                  <w:vMerge w:val="continue"/>
                  <w:tcBorders>
                    <w:tl2br w:val="nil"/>
                    <w:tr2bl w:val="nil"/>
                  </w:tcBorders>
                  <w:vAlign w:val="center"/>
                </w:tcPr>
                <w:p w14:paraId="076F736F">
                  <w:pPr>
                    <w:pStyle w:val="83"/>
                    <w:rPr>
                      <w:rFonts w:hint="default"/>
                    </w:rPr>
                  </w:pPr>
                </w:p>
              </w:tc>
              <w:tc>
                <w:tcPr>
                  <w:tcW w:w="383" w:type="pct"/>
                  <w:tcBorders>
                    <w:tl2br w:val="nil"/>
                    <w:tr2bl w:val="nil"/>
                  </w:tcBorders>
                  <w:vAlign w:val="center"/>
                </w:tcPr>
                <w:p w14:paraId="59AC1874">
                  <w:pPr>
                    <w:pStyle w:val="83"/>
                    <w:rPr>
                      <w:rFonts w:hint="default"/>
                    </w:rPr>
                  </w:pPr>
                  <w:r>
                    <w:t>35</w:t>
                  </w:r>
                </w:p>
              </w:tc>
              <w:tc>
                <w:tcPr>
                  <w:tcW w:w="323" w:type="pct"/>
                  <w:tcBorders>
                    <w:tl2br w:val="nil"/>
                    <w:tr2bl w:val="nil"/>
                  </w:tcBorders>
                  <w:vAlign w:val="center"/>
                </w:tcPr>
                <w:p w14:paraId="3A32FDA5">
                  <w:pPr>
                    <w:pStyle w:val="83"/>
                    <w:rPr>
                      <w:rFonts w:hint="default"/>
                    </w:rPr>
                  </w:pPr>
                  <w:r>
                    <w:t>0.084</w:t>
                  </w:r>
                </w:p>
              </w:tc>
              <w:tc>
                <w:tcPr>
                  <w:tcW w:w="437" w:type="pct"/>
                  <w:vMerge w:val="continue"/>
                  <w:tcBorders>
                    <w:tl2br w:val="nil"/>
                    <w:tr2bl w:val="nil"/>
                  </w:tcBorders>
                  <w:vAlign w:val="center"/>
                </w:tcPr>
                <w:p w14:paraId="5139852C">
                  <w:pPr>
                    <w:pStyle w:val="83"/>
                    <w:rPr>
                      <w:rFonts w:hint="default"/>
                    </w:rPr>
                  </w:pPr>
                </w:p>
              </w:tc>
              <w:tc>
                <w:tcPr>
                  <w:tcW w:w="306" w:type="pct"/>
                  <w:tcBorders>
                    <w:tl2br w:val="nil"/>
                    <w:tr2bl w:val="nil"/>
                  </w:tcBorders>
                  <w:vAlign w:val="center"/>
                </w:tcPr>
                <w:p w14:paraId="26B6C7D8">
                  <w:pPr>
                    <w:pStyle w:val="83"/>
                    <w:rPr>
                      <w:rFonts w:hint="default"/>
                    </w:rPr>
                  </w:pPr>
                  <w:r>
                    <w:t>3</w:t>
                  </w:r>
                </w:p>
              </w:tc>
              <w:tc>
                <w:tcPr>
                  <w:tcW w:w="357" w:type="pct"/>
                  <w:vMerge w:val="continue"/>
                  <w:tcBorders>
                    <w:tl2br w:val="nil"/>
                    <w:tr2bl w:val="nil"/>
                  </w:tcBorders>
                  <w:vAlign w:val="center"/>
                </w:tcPr>
                <w:p w14:paraId="4D1D81A9">
                  <w:pPr>
                    <w:pStyle w:val="83"/>
                    <w:rPr>
                      <w:rFonts w:hint="default"/>
                    </w:rPr>
                  </w:pPr>
                </w:p>
              </w:tc>
              <w:tc>
                <w:tcPr>
                  <w:tcW w:w="390" w:type="pct"/>
                  <w:tcBorders>
                    <w:tl2br w:val="nil"/>
                    <w:tr2bl w:val="nil"/>
                  </w:tcBorders>
                  <w:vAlign w:val="center"/>
                </w:tcPr>
                <w:p w14:paraId="00040238">
                  <w:pPr>
                    <w:pStyle w:val="83"/>
                    <w:rPr>
                      <w:rFonts w:hint="default"/>
                    </w:rPr>
                  </w:pPr>
                  <w:r>
                    <w:t>33.95</w:t>
                  </w:r>
                </w:p>
              </w:tc>
              <w:tc>
                <w:tcPr>
                  <w:tcW w:w="310" w:type="pct"/>
                  <w:tcBorders>
                    <w:tl2br w:val="nil"/>
                    <w:tr2bl w:val="nil"/>
                  </w:tcBorders>
                  <w:vAlign w:val="center"/>
                </w:tcPr>
                <w:p w14:paraId="34D5DF4F">
                  <w:pPr>
                    <w:pStyle w:val="83"/>
                    <w:rPr>
                      <w:rFonts w:hint="default"/>
                    </w:rPr>
                  </w:pPr>
                  <w:r>
                    <w:t>0.08</w:t>
                  </w:r>
                </w:p>
              </w:tc>
            </w:tr>
            <w:tr w14:paraId="37A0A7F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14" w:type="pct"/>
                  <w:gridSpan w:val="2"/>
                  <w:vMerge w:val="restart"/>
                  <w:tcBorders>
                    <w:tl2br w:val="nil"/>
                    <w:tr2bl w:val="nil"/>
                  </w:tcBorders>
                  <w:vAlign w:val="center"/>
                </w:tcPr>
                <w:p w14:paraId="5CCED6E6">
                  <w:pPr>
                    <w:pStyle w:val="83"/>
                    <w:rPr>
                      <w:rFonts w:hint="default"/>
                    </w:rPr>
                  </w:pPr>
                  <w:r>
                    <w:t>综合废水</w:t>
                  </w:r>
                </w:p>
              </w:tc>
              <w:tc>
                <w:tcPr>
                  <w:tcW w:w="981" w:type="pct"/>
                  <w:vMerge w:val="restart"/>
                  <w:tcBorders>
                    <w:tl2br w:val="nil"/>
                    <w:tr2bl w:val="nil"/>
                  </w:tcBorders>
                  <w:vAlign w:val="center"/>
                </w:tcPr>
                <w:p w14:paraId="06172158">
                  <w:pPr>
                    <w:pStyle w:val="83"/>
                    <w:rPr>
                      <w:rFonts w:hint="default"/>
                    </w:rPr>
                  </w:pPr>
                  <w:r>
                    <w:t>化粪池</w:t>
                  </w:r>
                </w:p>
                <w:p w14:paraId="4066D86D">
                  <w:pPr>
                    <w:pStyle w:val="83"/>
                    <w:rPr>
                      <w:rFonts w:hint="default"/>
                    </w:rPr>
                  </w:pPr>
                  <w:r>
                    <w:t>水解酸化池+IEPI高效厌氧塔+A/O池+MBR膜生物反应系统+RO反渗透系统</w:t>
                  </w:r>
                </w:p>
              </w:tc>
              <w:tc>
                <w:tcPr>
                  <w:tcW w:w="320" w:type="pct"/>
                  <w:tcBorders>
                    <w:tl2br w:val="nil"/>
                    <w:tr2bl w:val="nil"/>
                  </w:tcBorders>
                  <w:vAlign w:val="center"/>
                </w:tcPr>
                <w:p w14:paraId="4489B4EC">
                  <w:pPr>
                    <w:pStyle w:val="83"/>
                    <w:rPr>
                      <w:rFonts w:hint="default"/>
                    </w:rPr>
                  </w:pPr>
                  <w:r>
                    <w:t>COD</w:t>
                  </w:r>
                </w:p>
              </w:tc>
              <w:tc>
                <w:tcPr>
                  <w:tcW w:w="267" w:type="pct"/>
                  <w:vMerge w:val="restart"/>
                  <w:tcBorders>
                    <w:tl2br w:val="nil"/>
                    <w:tr2bl w:val="nil"/>
                  </w:tcBorders>
                  <w:vAlign w:val="center"/>
                </w:tcPr>
                <w:p w14:paraId="71EEAE14">
                  <w:pPr>
                    <w:pStyle w:val="83"/>
                    <w:rPr>
                      <w:rFonts w:hint="default"/>
                    </w:rPr>
                  </w:pPr>
                  <w:r>
                    <w:t>/</w:t>
                  </w:r>
                </w:p>
              </w:tc>
              <w:tc>
                <w:tcPr>
                  <w:tcW w:w="308" w:type="pct"/>
                  <w:vMerge w:val="restart"/>
                  <w:tcBorders>
                    <w:tl2br w:val="nil"/>
                    <w:tr2bl w:val="nil"/>
                  </w:tcBorders>
                  <w:vAlign w:val="center"/>
                </w:tcPr>
                <w:p w14:paraId="6C992821">
                  <w:pPr>
                    <w:pStyle w:val="83"/>
                    <w:rPr>
                      <w:rFonts w:hint="default"/>
                    </w:rPr>
                  </w:pPr>
                  <w:r>
                    <w:t>14228.45</w:t>
                  </w:r>
                </w:p>
              </w:tc>
              <w:tc>
                <w:tcPr>
                  <w:tcW w:w="383" w:type="pct"/>
                  <w:tcBorders>
                    <w:tl2br w:val="nil"/>
                    <w:tr2bl w:val="nil"/>
                  </w:tcBorders>
                  <w:vAlign w:val="center"/>
                </w:tcPr>
                <w:p w14:paraId="4AA5655C">
                  <w:pPr>
                    <w:pStyle w:val="83"/>
                    <w:rPr>
                      <w:rFonts w:hint="default"/>
                    </w:rPr>
                  </w:pPr>
                  <w:r>
                    <w:t>145.22</w:t>
                  </w:r>
                </w:p>
              </w:tc>
              <w:tc>
                <w:tcPr>
                  <w:tcW w:w="323" w:type="pct"/>
                  <w:tcBorders>
                    <w:tl2br w:val="nil"/>
                    <w:tr2bl w:val="nil"/>
                  </w:tcBorders>
                  <w:vAlign w:val="center"/>
                </w:tcPr>
                <w:p w14:paraId="462E5F80">
                  <w:pPr>
                    <w:pStyle w:val="83"/>
                    <w:rPr>
                      <w:rFonts w:hint="default"/>
                    </w:rPr>
                  </w:pPr>
                  <w:r>
                    <w:t>2.1</w:t>
                  </w:r>
                </w:p>
              </w:tc>
              <w:tc>
                <w:tcPr>
                  <w:tcW w:w="437" w:type="pct"/>
                  <w:vMerge w:val="restart"/>
                  <w:tcBorders>
                    <w:tl2br w:val="nil"/>
                    <w:tr2bl w:val="nil"/>
                  </w:tcBorders>
                  <w:vAlign w:val="center"/>
                </w:tcPr>
                <w:p w14:paraId="7C128C9C">
                  <w:pPr>
                    <w:pStyle w:val="83"/>
                    <w:rPr>
                      <w:rFonts w:hint="default"/>
                    </w:rPr>
                  </w:pPr>
                  <w:r>
                    <w:t>沉淀+厌氧发酵</w:t>
                  </w:r>
                </w:p>
                <w:p w14:paraId="6EA93814">
                  <w:pPr>
                    <w:pStyle w:val="83"/>
                    <w:rPr>
                      <w:rFonts w:hint="default"/>
                    </w:rPr>
                  </w:pPr>
                  <w:r>
                    <w:t>水解酸化+高效厌氧+厌氧好氧+MBR+RO</w:t>
                  </w:r>
                </w:p>
              </w:tc>
              <w:tc>
                <w:tcPr>
                  <w:tcW w:w="1206" w:type="dxa"/>
                  <w:tcBorders>
                    <w:tl2br w:val="nil"/>
                    <w:tr2bl w:val="nil"/>
                  </w:tcBorders>
                  <w:vAlign w:val="center"/>
                </w:tcPr>
                <w:p w14:paraId="6CD93765">
                  <w:pPr>
                    <w:pStyle w:val="83"/>
                    <w:rPr>
                      <w:rFonts w:hint="default"/>
                    </w:rPr>
                  </w:pPr>
                  <w:r>
                    <w:t>/</w:t>
                  </w:r>
                </w:p>
              </w:tc>
              <w:tc>
                <w:tcPr>
                  <w:tcW w:w="357" w:type="pct"/>
                  <w:vMerge w:val="restart"/>
                  <w:tcBorders>
                    <w:tl2br w:val="nil"/>
                    <w:tr2bl w:val="nil"/>
                  </w:tcBorders>
                  <w:vAlign w:val="center"/>
                </w:tcPr>
                <w:p w14:paraId="642F1FB1">
                  <w:pPr>
                    <w:pStyle w:val="83"/>
                    <w:rPr>
                      <w:rFonts w:hint="default"/>
                    </w:rPr>
                  </w:pPr>
                  <w:r>
                    <w:t>6898.5</w:t>
                  </w:r>
                </w:p>
              </w:tc>
              <w:tc>
                <w:tcPr>
                  <w:tcW w:w="1537" w:type="dxa"/>
                  <w:tcBorders>
                    <w:tl2br w:val="nil"/>
                    <w:tr2bl w:val="nil"/>
                  </w:tcBorders>
                  <w:vAlign w:val="center"/>
                </w:tcPr>
                <w:p w14:paraId="7EDFA8D5">
                  <w:pPr>
                    <w:pStyle w:val="83"/>
                    <w:rPr>
                      <w:rFonts w:hint="default"/>
                    </w:rPr>
                  </w:pPr>
                  <w:r>
                    <w:t>149.83</w:t>
                  </w:r>
                </w:p>
              </w:tc>
              <w:tc>
                <w:tcPr>
                  <w:tcW w:w="1233" w:type="dxa"/>
                  <w:tcBorders>
                    <w:tl2br w:val="nil"/>
                    <w:tr2bl w:val="nil"/>
                  </w:tcBorders>
                  <w:vAlign w:val="center"/>
                </w:tcPr>
                <w:p w14:paraId="655CE3EB">
                  <w:pPr>
                    <w:pStyle w:val="83"/>
                    <w:rPr>
                      <w:rFonts w:hint="default"/>
                    </w:rPr>
                  </w:pPr>
                  <w:r>
                    <w:t>1.0</w:t>
                  </w:r>
                </w:p>
              </w:tc>
            </w:tr>
            <w:tr w14:paraId="098DD36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14" w:type="pct"/>
                  <w:gridSpan w:val="2"/>
                  <w:vMerge w:val="continue"/>
                  <w:tcBorders>
                    <w:tl2br w:val="nil"/>
                    <w:tr2bl w:val="nil"/>
                  </w:tcBorders>
                  <w:vAlign w:val="center"/>
                </w:tcPr>
                <w:p w14:paraId="29591A75">
                  <w:pPr>
                    <w:pStyle w:val="83"/>
                    <w:rPr>
                      <w:rFonts w:hint="default"/>
                    </w:rPr>
                  </w:pPr>
                </w:p>
              </w:tc>
              <w:tc>
                <w:tcPr>
                  <w:tcW w:w="981" w:type="pct"/>
                  <w:vMerge w:val="continue"/>
                  <w:tcBorders>
                    <w:tl2br w:val="nil"/>
                    <w:tr2bl w:val="nil"/>
                  </w:tcBorders>
                  <w:vAlign w:val="center"/>
                </w:tcPr>
                <w:p w14:paraId="5A58BEEA">
                  <w:pPr>
                    <w:pStyle w:val="83"/>
                    <w:rPr>
                      <w:rFonts w:hint="default"/>
                    </w:rPr>
                  </w:pPr>
                </w:p>
              </w:tc>
              <w:tc>
                <w:tcPr>
                  <w:tcW w:w="320" w:type="pct"/>
                  <w:tcBorders>
                    <w:tl2br w:val="nil"/>
                    <w:tr2bl w:val="nil"/>
                  </w:tcBorders>
                  <w:vAlign w:val="center"/>
                </w:tcPr>
                <w:p w14:paraId="19A0EAA1">
                  <w:pPr>
                    <w:pStyle w:val="83"/>
                    <w:rPr>
                      <w:rFonts w:hint="default"/>
                    </w:rPr>
                  </w:pPr>
                  <w:r>
                    <w:t>BOD</w:t>
                  </w:r>
                  <w:r>
                    <w:rPr>
                      <w:vertAlign w:val="subscript"/>
                    </w:rPr>
                    <w:t>5</w:t>
                  </w:r>
                </w:p>
              </w:tc>
              <w:tc>
                <w:tcPr>
                  <w:tcW w:w="267" w:type="pct"/>
                  <w:vMerge w:val="continue"/>
                  <w:tcBorders>
                    <w:tl2br w:val="nil"/>
                    <w:tr2bl w:val="nil"/>
                  </w:tcBorders>
                  <w:vAlign w:val="center"/>
                </w:tcPr>
                <w:p w14:paraId="4D55F13D">
                  <w:pPr>
                    <w:pStyle w:val="83"/>
                    <w:rPr>
                      <w:rFonts w:hint="default"/>
                    </w:rPr>
                  </w:pPr>
                </w:p>
              </w:tc>
              <w:tc>
                <w:tcPr>
                  <w:tcW w:w="308" w:type="pct"/>
                  <w:vMerge w:val="continue"/>
                  <w:tcBorders>
                    <w:tl2br w:val="nil"/>
                    <w:tr2bl w:val="nil"/>
                  </w:tcBorders>
                  <w:vAlign w:val="center"/>
                </w:tcPr>
                <w:p w14:paraId="75148753">
                  <w:pPr>
                    <w:pStyle w:val="83"/>
                    <w:rPr>
                      <w:rFonts w:hint="default"/>
                    </w:rPr>
                  </w:pPr>
                </w:p>
              </w:tc>
              <w:tc>
                <w:tcPr>
                  <w:tcW w:w="383" w:type="pct"/>
                  <w:tcBorders>
                    <w:tl2br w:val="nil"/>
                    <w:tr2bl w:val="nil"/>
                  </w:tcBorders>
                  <w:vAlign w:val="center"/>
                </w:tcPr>
                <w:p w14:paraId="2F987703">
                  <w:pPr>
                    <w:pStyle w:val="83"/>
                    <w:rPr>
                      <w:rFonts w:hint="default"/>
                    </w:rPr>
                  </w:pPr>
                  <w:r>
                    <w:t>62.98</w:t>
                  </w:r>
                </w:p>
              </w:tc>
              <w:tc>
                <w:tcPr>
                  <w:tcW w:w="323" w:type="pct"/>
                  <w:tcBorders>
                    <w:tl2br w:val="nil"/>
                    <w:tr2bl w:val="nil"/>
                  </w:tcBorders>
                  <w:vAlign w:val="center"/>
                </w:tcPr>
                <w:p w14:paraId="071A6B4F">
                  <w:pPr>
                    <w:pStyle w:val="83"/>
                    <w:rPr>
                      <w:rFonts w:hint="default"/>
                    </w:rPr>
                  </w:pPr>
                  <w:r>
                    <w:t>0.896</w:t>
                  </w:r>
                </w:p>
              </w:tc>
              <w:tc>
                <w:tcPr>
                  <w:tcW w:w="437" w:type="pct"/>
                  <w:vMerge w:val="continue"/>
                  <w:tcBorders>
                    <w:tl2br w:val="nil"/>
                    <w:tr2bl w:val="nil"/>
                  </w:tcBorders>
                  <w:vAlign w:val="center"/>
                </w:tcPr>
                <w:p w14:paraId="1B93788A">
                  <w:pPr>
                    <w:pStyle w:val="83"/>
                    <w:rPr>
                      <w:rFonts w:hint="default"/>
                    </w:rPr>
                  </w:pPr>
                </w:p>
              </w:tc>
              <w:tc>
                <w:tcPr>
                  <w:tcW w:w="1206" w:type="dxa"/>
                  <w:tcBorders>
                    <w:tl2br w:val="nil"/>
                    <w:tr2bl w:val="nil"/>
                  </w:tcBorders>
                  <w:vAlign w:val="center"/>
                </w:tcPr>
                <w:p w14:paraId="0383FA83">
                  <w:pPr>
                    <w:pStyle w:val="83"/>
                    <w:rPr>
                      <w:rFonts w:hint="default"/>
                    </w:rPr>
                  </w:pPr>
                  <w:r>
                    <w:t>/</w:t>
                  </w:r>
                </w:p>
              </w:tc>
              <w:tc>
                <w:tcPr>
                  <w:tcW w:w="357" w:type="pct"/>
                  <w:vMerge w:val="continue"/>
                  <w:tcBorders>
                    <w:tl2br w:val="nil"/>
                    <w:tr2bl w:val="nil"/>
                  </w:tcBorders>
                  <w:vAlign w:val="center"/>
                </w:tcPr>
                <w:p w14:paraId="792E25CA">
                  <w:pPr>
                    <w:pStyle w:val="83"/>
                    <w:rPr>
                      <w:rFonts w:hint="default"/>
                    </w:rPr>
                  </w:pPr>
                </w:p>
              </w:tc>
              <w:tc>
                <w:tcPr>
                  <w:tcW w:w="1537" w:type="dxa"/>
                  <w:tcBorders>
                    <w:tl2br w:val="nil"/>
                    <w:tr2bl w:val="nil"/>
                  </w:tcBorders>
                  <w:vAlign w:val="center"/>
                </w:tcPr>
                <w:p w14:paraId="7A6CAB0B">
                  <w:pPr>
                    <w:pStyle w:val="83"/>
                    <w:rPr>
                      <w:rFonts w:hint="default"/>
                    </w:rPr>
                  </w:pPr>
                  <w:r>
                    <w:t>81.86</w:t>
                  </w:r>
                </w:p>
              </w:tc>
              <w:tc>
                <w:tcPr>
                  <w:tcW w:w="1233" w:type="dxa"/>
                  <w:tcBorders>
                    <w:tl2br w:val="nil"/>
                    <w:tr2bl w:val="nil"/>
                  </w:tcBorders>
                  <w:vAlign w:val="center"/>
                </w:tcPr>
                <w:p w14:paraId="35EABE28">
                  <w:pPr>
                    <w:pStyle w:val="83"/>
                    <w:rPr>
                      <w:rFonts w:hint="default"/>
                    </w:rPr>
                  </w:pPr>
                  <w:r>
                    <w:t>0.56</w:t>
                  </w:r>
                </w:p>
              </w:tc>
            </w:tr>
            <w:tr w14:paraId="7C94F09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14" w:type="pct"/>
                  <w:gridSpan w:val="2"/>
                  <w:vMerge w:val="continue"/>
                  <w:tcBorders>
                    <w:tl2br w:val="nil"/>
                    <w:tr2bl w:val="nil"/>
                  </w:tcBorders>
                  <w:vAlign w:val="center"/>
                </w:tcPr>
                <w:p w14:paraId="20F50711">
                  <w:pPr>
                    <w:pStyle w:val="83"/>
                    <w:rPr>
                      <w:rFonts w:hint="default"/>
                    </w:rPr>
                  </w:pPr>
                </w:p>
              </w:tc>
              <w:tc>
                <w:tcPr>
                  <w:tcW w:w="981" w:type="pct"/>
                  <w:vMerge w:val="continue"/>
                  <w:tcBorders>
                    <w:tl2br w:val="nil"/>
                    <w:tr2bl w:val="nil"/>
                  </w:tcBorders>
                  <w:vAlign w:val="center"/>
                </w:tcPr>
                <w:p w14:paraId="731CE46D">
                  <w:pPr>
                    <w:pStyle w:val="83"/>
                    <w:rPr>
                      <w:rFonts w:hint="default"/>
                    </w:rPr>
                  </w:pPr>
                </w:p>
              </w:tc>
              <w:tc>
                <w:tcPr>
                  <w:tcW w:w="320" w:type="pct"/>
                  <w:tcBorders>
                    <w:tl2br w:val="nil"/>
                    <w:tr2bl w:val="nil"/>
                  </w:tcBorders>
                  <w:vAlign w:val="center"/>
                </w:tcPr>
                <w:p w14:paraId="36740DDA">
                  <w:pPr>
                    <w:pStyle w:val="83"/>
                    <w:rPr>
                      <w:rFonts w:hint="default"/>
                    </w:rPr>
                  </w:pPr>
                  <w:r>
                    <w:t>SS</w:t>
                  </w:r>
                </w:p>
              </w:tc>
              <w:tc>
                <w:tcPr>
                  <w:tcW w:w="267" w:type="pct"/>
                  <w:vMerge w:val="continue"/>
                  <w:tcBorders>
                    <w:tl2br w:val="nil"/>
                    <w:tr2bl w:val="nil"/>
                  </w:tcBorders>
                  <w:vAlign w:val="center"/>
                </w:tcPr>
                <w:p w14:paraId="1D443F89">
                  <w:pPr>
                    <w:pStyle w:val="83"/>
                    <w:rPr>
                      <w:rFonts w:hint="default"/>
                    </w:rPr>
                  </w:pPr>
                </w:p>
              </w:tc>
              <w:tc>
                <w:tcPr>
                  <w:tcW w:w="308" w:type="pct"/>
                  <w:vMerge w:val="continue"/>
                  <w:tcBorders>
                    <w:tl2br w:val="nil"/>
                    <w:tr2bl w:val="nil"/>
                  </w:tcBorders>
                  <w:vAlign w:val="center"/>
                </w:tcPr>
                <w:p w14:paraId="5E462E5A">
                  <w:pPr>
                    <w:pStyle w:val="83"/>
                    <w:rPr>
                      <w:rFonts w:hint="default"/>
                    </w:rPr>
                  </w:pPr>
                </w:p>
              </w:tc>
              <w:tc>
                <w:tcPr>
                  <w:tcW w:w="383" w:type="pct"/>
                  <w:tcBorders>
                    <w:tl2br w:val="nil"/>
                    <w:tr2bl w:val="nil"/>
                  </w:tcBorders>
                  <w:vAlign w:val="center"/>
                </w:tcPr>
                <w:p w14:paraId="456D2CC1">
                  <w:pPr>
                    <w:pStyle w:val="83"/>
                    <w:rPr>
                      <w:rFonts w:hint="default"/>
                    </w:rPr>
                  </w:pPr>
                  <w:r>
                    <w:t>78.42</w:t>
                  </w:r>
                </w:p>
              </w:tc>
              <w:tc>
                <w:tcPr>
                  <w:tcW w:w="323" w:type="pct"/>
                  <w:tcBorders>
                    <w:tl2br w:val="nil"/>
                    <w:tr2bl w:val="nil"/>
                  </w:tcBorders>
                  <w:vAlign w:val="center"/>
                </w:tcPr>
                <w:p w14:paraId="085ABDD6">
                  <w:pPr>
                    <w:pStyle w:val="83"/>
                    <w:rPr>
                      <w:rFonts w:hint="default"/>
                    </w:rPr>
                  </w:pPr>
                  <w:r>
                    <w:t>1.12</w:t>
                  </w:r>
                </w:p>
              </w:tc>
              <w:tc>
                <w:tcPr>
                  <w:tcW w:w="437" w:type="pct"/>
                  <w:vMerge w:val="continue"/>
                  <w:tcBorders>
                    <w:tl2br w:val="nil"/>
                    <w:tr2bl w:val="nil"/>
                  </w:tcBorders>
                  <w:vAlign w:val="center"/>
                </w:tcPr>
                <w:p w14:paraId="1C31666E">
                  <w:pPr>
                    <w:pStyle w:val="83"/>
                    <w:rPr>
                      <w:rFonts w:hint="default"/>
                    </w:rPr>
                  </w:pPr>
                </w:p>
              </w:tc>
              <w:tc>
                <w:tcPr>
                  <w:tcW w:w="1206" w:type="dxa"/>
                  <w:tcBorders>
                    <w:tl2br w:val="nil"/>
                    <w:tr2bl w:val="nil"/>
                  </w:tcBorders>
                  <w:vAlign w:val="center"/>
                </w:tcPr>
                <w:p w14:paraId="2E333978">
                  <w:pPr>
                    <w:pStyle w:val="83"/>
                    <w:rPr>
                      <w:rFonts w:hint="default"/>
                    </w:rPr>
                  </w:pPr>
                  <w:r>
                    <w:t>/</w:t>
                  </w:r>
                </w:p>
              </w:tc>
              <w:tc>
                <w:tcPr>
                  <w:tcW w:w="357" w:type="pct"/>
                  <w:vMerge w:val="continue"/>
                  <w:tcBorders>
                    <w:tl2br w:val="nil"/>
                    <w:tr2bl w:val="nil"/>
                  </w:tcBorders>
                  <w:vAlign w:val="center"/>
                </w:tcPr>
                <w:p w14:paraId="7E306A36">
                  <w:pPr>
                    <w:pStyle w:val="83"/>
                    <w:rPr>
                      <w:rFonts w:hint="default"/>
                    </w:rPr>
                  </w:pPr>
                </w:p>
              </w:tc>
              <w:tc>
                <w:tcPr>
                  <w:tcW w:w="1537" w:type="dxa"/>
                  <w:tcBorders>
                    <w:tl2br w:val="nil"/>
                    <w:tr2bl w:val="nil"/>
                  </w:tcBorders>
                  <w:vAlign w:val="center"/>
                </w:tcPr>
                <w:p w14:paraId="22678D9C">
                  <w:pPr>
                    <w:pStyle w:val="83"/>
                    <w:rPr>
                      <w:rFonts w:hint="default"/>
                    </w:rPr>
                  </w:pPr>
                  <w:r>
                    <w:t>66.51</w:t>
                  </w:r>
                </w:p>
              </w:tc>
              <w:tc>
                <w:tcPr>
                  <w:tcW w:w="1233" w:type="dxa"/>
                  <w:tcBorders>
                    <w:tl2br w:val="nil"/>
                    <w:tr2bl w:val="nil"/>
                  </w:tcBorders>
                  <w:vAlign w:val="center"/>
                </w:tcPr>
                <w:p w14:paraId="79B0540A">
                  <w:pPr>
                    <w:pStyle w:val="83"/>
                    <w:rPr>
                      <w:rFonts w:hint="default"/>
                    </w:rPr>
                  </w:pPr>
                  <w:r>
                    <w:t>0.46</w:t>
                  </w:r>
                </w:p>
              </w:tc>
            </w:tr>
            <w:tr w14:paraId="2BFA590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14" w:type="pct"/>
                  <w:gridSpan w:val="2"/>
                  <w:vMerge w:val="continue"/>
                  <w:tcBorders>
                    <w:tl2br w:val="nil"/>
                    <w:tr2bl w:val="nil"/>
                  </w:tcBorders>
                  <w:vAlign w:val="center"/>
                </w:tcPr>
                <w:p w14:paraId="78DE3BCC">
                  <w:pPr>
                    <w:pStyle w:val="83"/>
                    <w:rPr>
                      <w:rFonts w:hint="default"/>
                    </w:rPr>
                  </w:pPr>
                </w:p>
              </w:tc>
              <w:tc>
                <w:tcPr>
                  <w:tcW w:w="981" w:type="pct"/>
                  <w:vMerge w:val="continue"/>
                  <w:tcBorders>
                    <w:tl2br w:val="nil"/>
                    <w:tr2bl w:val="nil"/>
                  </w:tcBorders>
                  <w:vAlign w:val="center"/>
                </w:tcPr>
                <w:p w14:paraId="00A8FFD1">
                  <w:pPr>
                    <w:pStyle w:val="83"/>
                    <w:rPr>
                      <w:rFonts w:hint="default"/>
                    </w:rPr>
                  </w:pPr>
                </w:p>
              </w:tc>
              <w:tc>
                <w:tcPr>
                  <w:tcW w:w="320" w:type="pct"/>
                  <w:tcBorders>
                    <w:tl2br w:val="nil"/>
                    <w:tr2bl w:val="nil"/>
                  </w:tcBorders>
                  <w:vAlign w:val="center"/>
                </w:tcPr>
                <w:p w14:paraId="6E6AAE65">
                  <w:pPr>
                    <w:pStyle w:val="83"/>
                    <w:rPr>
                      <w:rFonts w:hint="default"/>
                    </w:rPr>
                  </w:pPr>
                  <w:r>
                    <w:t>氨氮</w:t>
                  </w:r>
                </w:p>
              </w:tc>
              <w:tc>
                <w:tcPr>
                  <w:tcW w:w="267" w:type="pct"/>
                  <w:vMerge w:val="continue"/>
                  <w:tcBorders>
                    <w:tl2br w:val="nil"/>
                    <w:tr2bl w:val="nil"/>
                  </w:tcBorders>
                  <w:vAlign w:val="center"/>
                </w:tcPr>
                <w:p w14:paraId="0DB13EC0">
                  <w:pPr>
                    <w:pStyle w:val="83"/>
                    <w:rPr>
                      <w:rFonts w:hint="default"/>
                    </w:rPr>
                  </w:pPr>
                </w:p>
              </w:tc>
              <w:tc>
                <w:tcPr>
                  <w:tcW w:w="308" w:type="pct"/>
                  <w:vMerge w:val="continue"/>
                  <w:tcBorders>
                    <w:tl2br w:val="nil"/>
                    <w:tr2bl w:val="nil"/>
                  </w:tcBorders>
                  <w:vAlign w:val="center"/>
                </w:tcPr>
                <w:p w14:paraId="63C0F389">
                  <w:pPr>
                    <w:pStyle w:val="83"/>
                    <w:rPr>
                      <w:rFonts w:hint="default"/>
                    </w:rPr>
                  </w:pPr>
                </w:p>
              </w:tc>
              <w:tc>
                <w:tcPr>
                  <w:tcW w:w="383" w:type="pct"/>
                  <w:tcBorders>
                    <w:tl2br w:val="nil"/>
                    <w:tr2bl w:val="nil"/>
                  </w:tcBorders>
                  <w:vAlign w:val="center"/>
                </w:tcPr>
                <w:p w14:paraId="7C4BB9EA">
                  <w:pPr>
                    <w:pStyle w:val="83"/>
                    <w:rPr>
                      <w:rFonts w:hint="default"/>
                    </w:rPr>
                  </w:pPr>
                  <w:r>
                    <w:t>15.12</w:t>
                  </w:r>
                </w:p>
              </w:tc>
              <w:tc>
                <w:tcPr>
                  <w:tcW w:w="323" w:type="pct"/>
                  <w:tcBorders>
                    <w:tl2br w:val="nil"/>
                    <w:tr2bl w:val="nil"/>
                  </w:tcBorders>
                  <w:vAlign w:val="center"/>
                </w:tcPr>
                <w:p w14:paraId="00283C79">
                  <w:pPr>
                    <w:pStyle w:val="83"/>
                    <w:rPr>
                      <w:rFonts w:hint="default"/>
                    </w:rPr>
                  </w:pPr>
                  <w:r>
                    <w:t>0.2151</w:t>
                  </w:r>
                </w:p>
              </w:tc>
              <w:tc>
                <w:tcPr>
                  <w:tcW w:w="437" w:type="pct"/>
                  <w:vMerge w:val="continue"/>
                  <w:tcBorders>
                    <w:tl2br w:val="nil"/>
                    <w:tr2bl w:val="nil"/>
                  </w:tcBorders>
                  <w:vAlign w:val="center"/>
                </w:tcPr>
                <w:p w14:paraId="22A4A82E">
                  <w:pPr>
                    <w:pStyle w:val="83"/>
                    <w:rPr>
                      <w:rFonts w:hint="default"/>
                    </w:rPr>
                  </w:pPr>
                </w:p>
              </w:tc>
              <w:tc>
                <w:tcPr>
                  <w:tcW w:w="1206" w:type="dxa"/>
                  <w:tcBorders>
                    <w:tl2br w:val="nil"/>
                    <w:tr2bl w:val="nil"/>
                  </w:tcBorders>
                  <w:vAlign w:val="center"/>
                </w:tcPr>
                <w:p w14:paraId="21D4A55C">
                  <w:pPr>
                    <w:pStyle w:val="83"/>
                    <w:rPr>
                      <w:rFonts w:hint="default"/>
                    </w:rPr>
                  </w:pPr>
                  <w:r>
                    <w:t>/</w:t>
                  </w:r>
                </w:p>
              </w:tc>
              <w:tc>
                <w:tcPr>
                  <w:tcW w:w="357" w:type="pct"/>
                  <w:vMerge w:val="continue"/>
                  <w:tcBorders>
                    <w:tl2br w:val="nil"/>
                    <w:tr2bl w:val="nil"/>
                  </w:tcBorders>
                  <w:vAlign w:val="center"/>
                </w:tcPr>
                <w:p w14:paraId="75D88892">
                  <w:pPr>
                    <w:pStyle w:val="83"/>
                    <w:rPr>
                      <w:rFonts w:hint="default"/>
                    </w:rPr>
                  </w:pPr>
                </w:p>
              </w:tc>
              <w:tc>
                <w:tcPr>
                  <w:tcW w:w="1537" w:type="dxa"/>
                  <w:tcBorders>
                    <w:tl2br w:val="nil"/>
                    <w:tr2bl w:val="nil"/>
                  </w:tcBorders>
                  <w:vAlign w:val="center"/>
                </w:tcPr>
                <w:p w14:paraId="0EFC3431">
                  <w:pPr>
                    <w:pStyle w:val="83"/>
                    <w:rPr>
                      <w:rFonts w:hint="default"/>
                    </w:rPr>
                  </w:pPr>
                  <w:r>
                    <w:t>18.31</w:t>
                  </w:r>
                </w:p>
              </w:tc>
              <w:tc>
                <w:tcPr>
                  <w:tcW w:w="1233" w:type="dxa"/>
                  <w:tcBorders>
                    <w:tl2br w:val="nil"/>
                    <w:tr2bl w:val="nil"/>
                  </w:tcBorders>
                  <w:vAlign w:val="center"/>
                </w:tcPr>
                <w:p w14:paraId="7C6AE5AF">
                  <w:pPr>
                    <w:pStyle w:val="83"/>
                    <w:rPr>
                      <w:rFonts w:hint="default"/>
                    </w:rPr>
                  </w:pPr>
                  <w:r>
                    <w:t>0.126</w:t>
                  </w:r>
                </w:p>
              </w:tc>
            </w:tr>
            <w:tr w14:paraId="1F03C72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14" w:type="pct"/>
                  <w:gridSpan w:val="2"/>
                  <w:vMerge w:val="continue"/>
                  <w:tcBorders>
                    <w:tl2br w:val="nil"/>
                    <w:tr2bl w:val="nil"/>
                  </w:tcBorders>
                  <w:vAlign w:val="center"/>
                </w:tcPr>
                <w:p w14:paraId="3E35E4C4">
                  <w:pPr>
                    <w:pStyle w:val="83"/>
                    <w:rPr>
                      <w:rFonts w:hint="default"/>
                    </w:rPr>
                  </w:pPr>
                </w:p>
              </w:tc>
              <w:tc>
                <w:tcPr>
                  <w:tcW w:w="981" w:type="pct"/>
                  <w:vMerge w:val="continue"/>
                  <w:tcBorders>
                    <w:tl2br w:val="nil"/>
                    <w:tr2bl w:val="nil"/>
                  </w:tcBorders>
                  <w:vAlign w:val="center"/>
                </w:tcPr>
                <w:p w14:paraId="349605C6">
                  <w:pPr>
                    <w:pStyle w:val="83"/>
                    <w:rPr>
                      <w:rFonts w:hint="default"/>
                    </w:rPr>
                  </w:pPr>
                </w:p>
              </w:tc>
              <w:tc>
                <w:tcPr>
                  <w:tcW w:w="320" w:type="pct"/>
                  <w:tcBorders>
                    <w:tl2br w:val="nil"/>
                    <w:tr2bl w:val="nil"/>
                  </w:tcBorders>
                  <w:vAlign w:val="center"/>
                </w:tcPr>
                <w:p w14:paraId="7A685D36">
                  <w:pPr>
                    <w:pStyle w:val="83"/>
                    <w:rPr>
                      <w:rFonts w:hint="default"/>
                    </w:rPr>
                  </w:pPr>
                  <w:r>
                    <w:t>石油类</w:t>
                  </w:r>
                </w:p>
              </w:tc>
              <w:tc>
                <w:tcPr>
                  <w:tcW w:w="267" w:type="pct"/>
                  <w:vMerge w:val="continue"/>
                  <w:tcBorders>
                    <w:tl2br w:val="nil"/>
                    <w:tr2bl w:val="nil"/>
                  </w:tcBorders>
                  <w:vAlign w:val="center"/>
                </w:tcPr>
                <w:p w14:paraId="10CCCA1F">
                  <w:pPr>
                    <w:pStyle w:val="83"/>
                    <w:rPr>
                      <w:rFonts w:hint="default"/>
                    </w:rPr>
                  </w:pPr>
                </w:p>
              </w:tc>
              <w:tc>
                <w:tcPr>
                  <w:tcW w:w="308" w:type="pct"/>
                  <w:vMerge w:val="continue"/>
                  <w:tcBorders>
                    <w:tl2br w:val="nil"/>
                    <w:tr2bl w:val="nil"/>
                  </w:tcBorders>
                  <w:vAlign w:val="center"/>
                </w:tcPr>
                <w:p w14:paraId="1B72B126">
                  <w:pPr>
                    <w:pStyle w:val="83"/>
                    <w:rPr>
                      <w:rFonts w:hint="default"/>
                    </w:rPr>
                  </w:pPr>
                </w:p>
              </w:tc>
              <w:tc>
                <w:tcPr>
                  <w:tcW w:w="383" w:type="pct"/>
                  <w:tcBorders>
                    <w:tl2br w:val="nil"/>
                    <w:tr2bl w:val="nil"/>
                  </w:tcBorders>
                  <w:vAlign w:val="center"/>
                </w:tcPr>
                <w:p w14:paraId="1A02C6E3">
                  <w:pPr>
                    <w:pStyle w:val="83"/>
                    <w:rPr>
                      <w:rFonts w:hint="default"/>
                    </w:rPr>
                  </w:pPr>
                  <w:r>
                    <w:t>1.97</w:t>
                  </w:r>
                </w:p>
              </w:tc>
              <w:tc>
                <w:tcPr>
                  <w:tcW w:w="323" w:type="pct"/>
                  <w:tcBorders>
                    <w:tl2br w:val="nil"/>
                    <w:tr2bl w:val="nil"/>
                  </w:tcBorders>
                  <w:vAlign w:val="center"/>
                </w:tcPr>
                <w:p w14:paraId="7794C243">
                  <w:pPr>
                    <w:pStyle w:val="83"/>
                    <w:rPr>
                      <w:rFonts w:hint="default"/>
                    </w:rPr>
                  </w:pPr>
                  <w:r>
                    <w:t>0.0281</w:t>
                  </w:r>
                </w:p>
              </w:tc>
              <w:tc>
                <w:tcPr>
                  <w:tcW w:w="437" w:type="pct"/>
                  <w:vMerge w:val="continue"/>
                  <w:tcBorders>
                    <w:tl2br w:val="nil"/>
                    <w:tr2bl w:val="nil"/>
                  </w:tcBorders>
                  <w:vAlign w:val="center"/>
                </w:tcPr>
                <w:p w14:paraId="20ED6F57">
                  <w:pPr>
                    <w:pStyle w:val="83"/>
                    <w:rPr>
                      <w:rFonts w:hint="default"/>
                    </w:rPr>
                  </w:pPr>
                </w:p>
              </w:tc>
              <w:tc>
                <w:tcPr>
                  <w:tcW w:w="1206" w:type="dxa"/>
                  <w:tcBorders>
                    <w:tl2br w:val="nil"/>
                    <w:tr2bl w:val="nil"/>
                  </w:tcBorders>
                  <w:vAlign w:val="center"/>
                </w:tcPr>
                <w:p w14:paraId="4FD51EC4">
                  <w:pPr>
                    <w:pStyle w:val="83"/>
                    <w:rPr>
                      <w:rFonts w:hint="default"/>
                    </w:rPr>
                  </w:pPr>
                  <w:r>
                    <w:t>/</w:t>
                  </w:r>
                </w:p>
              </w:tc>
              <w:tc>
                <w:tcPr>
                  <w:tcW w:w="357" w:type="pct"/>
                  <w:vMerge w:val="continue"/>
                  <w:tcBorders>
                    <w:tl2br w:val="nil"/>
                    <w:tr2bl w:val="nil"/>
                  </w:tcBorders>
                  <w:vAlign w:val="center"/>
                </w:tcPr>
                <w:p w14:paraId="3E0A2DF4">
                  <w:pPr>
                    <w:pStyle w:val="83"/>
                    <w:rPr>
                      <w:rFonts w:hint="default"/>
                    </w:rPr>
                  </w:pPr>
                </w:p>
              </w:tc>
              <w:tc>
                <w:tcPr>
                  <w:tcW w:w="1537" w:type="dxa"/>
                  <w:tcBorders>
                    <w:tl2br w:val="nil"/>
                    <w:tr2bl w:val="nil"/>
                  </w:tcBorders>
                  <w:vAlign w:val="center"/>
                </w:tcPr>
                <w:p w14:paraId="2791C0EF">
                  <w:pPr>
                    <w:pStyle w:val="83"/>
                    <w:rPr>
                      <w:rFonts w:hint="default"/>
                    </w:rPr>
                  </w:pPr>
                  <w:r>
                    <w:t>0.07</w:t>
                  </w:r>
                </w:p>
              </w:tc>
              <w:tc>
                <w:tcPr>
                  <w:tcW w:w="1233" w:type="dxa"/>
                  <w:tcBorders>
                    <w:tl2br w:val="nil"/>
                    <w:tr2bl w:val="nil"/>
                  </w:tcBorders>
                  <w:vAlign w:val="center"/>
                </w:tcPr>
                <w:p w14:paraId="1DA35BC1">
                  <w:pPr>
                    <w:pStyle w:val="83"/>
                    <w:rPr>
                      <w:rFonts w:hint="default"/>
                    </w:rPr>
                  </w:pPr>
                  <w:r>
                    <w:t>0.0005</w:t>
                  </w:r>
                </w:p>
              </w:tc>
            </w:tr>
            <w:tr w14:paraId="5A10CD0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14" w:type="pct"/>
                  <w:gridSpan w:val="2"/>
                  <w:vMerge w:val="continue"/>
                  <w:tcBorders>
                    <w:tl2br w:val="nil"/>
                    <w:tr2bl w:val="nil"/>
                  </w:tcBorders>
                  <w:vAlign w:val="center"/>
                </w:tcPr>
                <w:p w14:paraId="6EFC7E1B">
                  <w:pPr>
                    <w:pStyle w:val="83"/>
                    <w:rPr>
                      <w:rFonts w:hint="default"/>
                    </w:rPr>
                  </w:pPr>
                </w:p>
              </w:tc>
              <w:tc>
                <w:tcPr>
                  <w:tcW w:w="981" w:type="pct"/>
                  <w:vMerge w:val="continue"/>
                  <w:tcBorders>
                    <w:tl2br w:val="nil"/>
                    <w:tr2bl w:val="nil"/>
                  </w:tcBorders>
                  <w:vAlign w:val="center"/>
                </w:tcPr>
                <w:p w14:paraId="677EC891">
                  <w:pPr>
                    <w:pStyle w:val="83"/>
                    <w:rPr>
                      <w:rFonts w:hint="default"/>
                    </w:rPr>
                  </w:pPr>
                </w:p>
              </w:tc>
              <w:tc>
                <w:tcPr>
                  <w:tcW w:w="320" w:type="pct"/>
                  <w:tcBorders>
                    <w:tl2br w:val="nil"/>
                    <w:tr2bl w:val="nil"/>
                  </w:tcBorders>
                  <w:vAlign w:val="center"/>
                </w:tcPr>
                <w:p w14:paraId="05E15F23">
                  <w:pPr>
                    <w:pStyle w:val="83"/>
                    <w:rPr>
                      <w:rFonts w:hint="default"/>
                    </w:rPr>
                  </w:pPr>
                  <w:r>
                    <w:t>总有机碳</w:t>
                  </w:r>
                </w:p>
              </w:tc>
              <w:tc>
                <w:tcPr>
                  <w:tcW w:w="267" w:type="pct"/>
                  <w:vMerge w:val="continue"/>
                  <w:tcBorders>
                    <w:tl2br w:val="nil"/>
                    <w:tr2bl w:val="nil"/>
                  </w:tcBorders>
                  <w:vAlign w:val="center"/>
                </w:tcPr>
                <w:p w14:paraId="320B69E1">
                  <w:pPr>
                    <w:pStyle w:val="83"/>
                    <w:rPr>
                      <w:rFonts w:hint="default"/>
                    </w:rPr>
                  </w:pPr>
                </w:p>
              </w:tc>
              <w:tc>
                <w:tcPr>
                  <w:tcW w:w="308" w:type="pct"/>
                  <w:vMerge w:val="continue"/>
                  <w:tcBorders>
                    <w:tl2br w:val="nil"/>
                    <w:tr2bl w:val="nil"/>
                  </w:tcBorders>
                  <w:vAlign w:val="center"/>
                </w:tcPr>
                <w:p w14:paraId="7AE99DFF">
                  <w:pPr>
                    <w:pStyle w:val="83"/>
                    <w:rPr>
                      <w:rFonts w:hint="default"/>
                    </w:rPr>
                  </w:pPr>
                </w:p>
              </w:tc>
              <w:tc>
                <w:tcPr>
                  <w:tcW w:w="383" w:type="pct"/>
                  <w:tcBorders>
                    <w:tl2br w:val="nil"/>
                    <w:tr2bl w:val="nil"/>
                  </w:tcBorders>
                  <w:vAlign w:val="center"/>
                </w:tcPr>
                <w:p w14:paraId="6F5F47DB">
                  <w:pPr>
                    <w:pStyle w:val="83"/>
                    <w:rPr>
                      <w:rFonts w:hint="default"/>
                    </w:rPr>
                  </w:pPr>
                  <w:r>
                    <w:t>38.83</w:t>
                  </w:r>
                </w:p>
              </w:tc>
              <w:tc>
                <w:tcPr>
                  <w:tcW w:w="323" w:type="pct"/>
                  <w:tcBorders>
                    <w:tl2br w:val="nil"/>
                    <w:tr2bl w:val="nil"/>
                  </w:tcBorders>
                  <w:vAlign w:val="center"/>
                </w:tcPr>
                <w:p w14:paraId="35547F17">
                  <w:pPr>
                    <w:pStyle w:val="83"/>
                    <w:rPr>
                      <w:rFonts w:hint="default"/>
                    </w:rPr>
                  </w:pPr>
                  <w:r>
                    <w:t>0.55</w:t>
                  </w:r>
                </w:p>
              </w:tc>
              <w:tc>
                <w:tcPr>
                  <w:tcW w:w="437" w:type="pct"/>
                  <w:vMerge w:val="continue"/>
                  <w:tcBorders>
                    <w:tl2br w:val="nil"/>
                    <w:tr2bl w:val="nil"/>
                  </w:tcBorders>
                  <w:vAlign w:val="center"/>
                </w:tcPr>
                <w:p w14:paraId="059C69CE">
                  <w:pPr>
                    <w:pStyle w:val="83"/>
                    <w:rPr>
                      <w:rFonts w:hint="default"/>
                    </w:rPr>
                  </w:pPr>
                </w:p>
              </w:tc>
              <w:tc>
                <w:tcPr>
                  <w:tcW w:w="1206" w:type="dxa"/>
                  <w:tcBorders>
                    <w:tl2br w:val="nil"/>
                    <w:tr2bl w:val="nil"/>
                  </w:tcBorders>
                  <w:vAlign w:val="center"/>
                </w:tcPr>
                <w:p w14:paraId="5C93AC25">
                  <w:pPr>
                    <w:pStyle w:val="83"/>
                    <w:rPr>
                      <w:rFonts w:hint="default"/>
                    </w:rPr>
                  </w:pPr>
                  <w:r>
                    <w:t>/</w:t>
                  </w:r>
                </w:p>
              </w:tc>
              <w:tc>
                <w:tcPr>
                  <w:tcW w:w="357" w:type="pct"/>
                  <w:vMerge w:val="continue"/>
                  <w:tcBorders>
                    <w:tl2br w:val="nil"/>
                    <w:tr2bl w:val="nil"/>
                  </w:tcBorders>
                  <w:vAlign w:val="center"/>
                </w:tcPr>
                <w:p w14:paraId="283FFD01">
                  <w:pPr>
                    <w:pStyle w:val="83"/>
                    <w:rPr>
                      <w:rFonts w:hint="default"/>
                    </w:rPr>
                  </w:pPr>
                </w:p>
              </w:tc>
              <w:tc>
                <w:tcPr>
                  <w:tcW w:w="1537" w:type="dxa"/>
                  <w:tcBorders>
                    <w:tl2br w:val="nil"/>
                    <w:tr2bl w:val="nil"/>
                  </w:tcBorders>
                  <w:vAlign w:val="center"/>
                </w:tcPr>
                <w:p w14:paraId="39D9E8FA">
                  <w:pPr>
                    <w:pStyle w:val="83"/>
                    <w:rPr>
                      <w:rFonts w:hint="default"/>
                    </w:rPr>
                  </w:pPr>
                  <w:r>
                    <w:t>16.32</w:t>
                  </w:r>
                </w:p>
              </w:tc>
              <w:tc>
                <w:tcPr>
                  <w:tcW w:w="1233" w:type="dxa"/>
                  <w:tcBorders>
                    <w:tl2br w:val="nil"/>
                    <w:tr2bl w:val="nil"/>
                  </w:tcBorders>
                  <w:vAlign w:val="center"/>
                </w:tcPr>
                <w:p w14:paraId="77CBA1F3">
                  <w:pPr>
                    <w:pStyle w:val="83"/>
                    <w:rPr>
                      <w:rFonts w:hint="default"/>
                    </w:rPr>
                  </w:pPr>
                  <w:r>
                    <w:t>0.11</w:t>
                  </w:r>
                </w:p>
              </w:tc>
            </w:tr>
            <w:tr w14:paraId="14B2D7C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5000" w:type="pct"/>
                  <w:gridSpan w:val="13"/>
                  <w:tcBorders>
                    <w:tl2br w:val="nil"/>
                    <w:tr2bl w:val="nil"/>
                  </w:tcBorders>
                  <w:vAlign w:val="center"/>
                </w:tcPr>
                <w:p w14:paraId="51967928">
                  <w:pPr>
                    <w:pStyle w:val="83"/>
                    <w:jc w:val="left"/>
                    <w:rPr>
                      <w:rFonts w:hint="default"/>
                    </w:rPr>
                  </w:pPr>
                  <w:r>
                    <w:rPr>
                      <w:sz w:val="18"/>
                      <w:szCs w:val="18"/>
                    </w:rPr>
                    <w:t>备注：废水治理措施处理效率来自《福建永荣锦江股份有限公司污水处理工程技术方案》（山西南大环境工程设计有限公司，2021年10月）</w:t>
                  </w:r>
                </w:p>
              </w:tc>
            </w:tr>
          </w:tbl>
          <w:p w14:paraId="2C0D1535">
            <w:pPr>
              <w:pStyle w:val="13"/>
            </w:pPr>
            <w:r>
              <w:rPr>
                <w:rFonts w:hint="eastAsia"/>
              </w:rPr>
              <w:t>表4.2-5  项目废水排放方式</w:t>
            </w:r>
          </w:p>
          <w:tbl>
            <w:tblPr>
              <w:tblStyle w:val="17"/>
              <w:tblW w:w="5000"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208"/>
              <w:gridCol w:w="1770"/>
              <w:gridCol w:w="1490"/>
              <w:gridCol w:w="3691"/>
              <w:gridCol w:w="2161"/>
              <w:gridCol w:w="1316"/>
              <w:gridCol w:w="2579"/>
              <w:gridCol w:w="1466"/>
              <w:gridCol w:w="1411"/>
              <w:gridCol w:w="2646"/>
            </w:tblGrid>
            <w:tr w14:paraId="5ACE2E1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991" w:type="pct"/>
                  <w:gridSpan w:val="4"/>
                  <w:vAlign w:val="center"/>
                </w:tcPr>
                <w:p w14:paraId="0CF36E45">
                  <w:pPr>
                    <w:pStyle w:val="83"/>
                    <w:rPr>
                      <w:rFonts w:hint="default"/>
                    </w:rPr>
                  </w:pPr>
                  <w:r>
                    <w:t>排放口信息</w:t>
                  </w:r>
                </w:p>
              </w:tc>
              <w:tc>
                <w:tcPr>
                  <w:tcW w:w="560" w:type="pct"/>
                  <w:vMerge w:val="restart"/>
                  <w:vAlign w:val="center"/>
                </w:tcPr>
                <w:p w14:paraId="71DA02A3">
                  <w:pPr>
                    <w:pStyle w:val="83"/>
                    <w:rPr>
                      <w:rFonts w:hint="default"/>
                    </w:rPr>
                  </w:pPr>
                  <w:r>
                    <w:t>污染物</w:t>
                  </w:r>
                </w:p>
              </w:tc>
              <w:tc>
                <w:tcPr>
                  <w:tcW w:w="2449" w:type="pct"/>
                  <w:gridSpan w:val="5"/>
                  <w:vAlign w:val="center"/>
                </w:tcPr>
                <w:p w14:paraId="53A4228C">
                  <w:pPr>
                    <w:pStyle w:val="83"/>
                    <w:rPr>
                      <w:rFonts w:hint="default"/>
                    </w:rPr>
                  </w:pPr>
                  <w:r>
                    <w:t>排放方式</w:t>
                  </w:r>
                </w:p>
              </w:tc>
            </w:tr>
            <w:tr w14:paraId="30D824B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Align w:val="center"/>
                </w:tcPr>
                <w:p w14:paraId="32CB5BBC">
                  <w:pPr>
                    <w:pStyle w:val="83"/>
                    <w:rPr>
                      <w:rFonts w:hint="default"/>
                    </w:rPr>
                  </w:pPr>
                  <w:r>
                    <w:t>编号</w:t>
                  </w:r>
                </w:p>
              </w:tc>
              <w:tc>
                <w:tcPr>
                  <w:tcW w:w="461" w:type="pct"/>
                  <w:vAlign w:val="center"/>
                </w:tcPr>
                <w:p w14:paraId="3E8B0F4B">
                  <w:pPr>
                    <w:pStyle w:val="83"/>
                    <w:rPr>
                      <w:rFonts w:hint="default"/>
                    </w:rPr>
                  </w:pPr>
                  <w:r>
                    <w:t>名称</w:t>
                  </w:r>
                </w:p>
              </w:tc>
              <w:tc>
                <w:tcPr>
                  <w:tcW w:w="390" w:type="pct"/>
                  <w:vAlign w:val="center"/>
                </w:tcPr>
                <w:p w14:paraId="77D67B79">
                  <w:pPr>
                    <w:pStyle w:val="83"/>
                    <w:rPr>
                      <w:rFonts w:hint="default"/>
                    </w:rPr>
                  </w:pPr>
                  <w:r>
                    <w:t>类型</w:t>
                  </w:r>
                </w:p>
              </w:tc>
              <w:tc>
                <w:tcPr>
                  <w:tcW w:w="821" w:type="pct"/>
                  <w:vAlign w:val="center"/>
                </w:tcPr>
                <w:p w14:paraId="7A4BB8E1">
                  <w:pPr>
                    <w:pStyle w:val="83"/>
                    <w:rPr>
                      <w:rFonts w:hint="default"/>
                    </w:rPr>
                  </w:pPr>
                  <w:r>
                    <w:t>地理坐标</w:t>
                  </w:r>
                </w:p>
              </w:tc>
              <w:tc>
                <w:tcPr>
                  <w:tcW w:w="560" w:type="pct"/>
                  <w:vMerge w:val="continue"/>
                  <w:vAlign w:val="center"/>
                </w:tcPr>
                <w:p w14:paraId="46008D8B">
                  <w:pPr>
                    <w:pStyle w:val="83"/>
                    <w:rPr>
                      <w:rFonts w:hint="default"/>
                    </w:rPr>
                  </w:pPr>
                </w:p>
              </w:tc>
              <w:tc>
                <w:tcPr>
                  <w:tcW w:w="346" w:type="pct"/>
                  <w:vAlign w:val="center"/>
                </w:tcPr>
                <w:p w14:paraId="1E42E670">
                  <w:pPr>
                    <w:pStyle w:val="83"/>
                    <w:rPr>
                      <w:rFonts w:hint="default"/>
                    </w:rPr>
                  </w:pPr>
                  <w:r>
                    <w:t>排放方式</w:t>
                  </w:r>
                </w:p>
              </w:tc>
              <w:tc>
                <w:tcPr>
                  <w:tcW w:w="666" w:type="pct"/>
                  <w:vAlign w:val="center"/>
                </w:tcPr>
                <w:p w14:paraId="078F2178">
                  <w:pPr>
                    <w:pStyle w:val="83"/>
                    <w:rPr>
                      <w:rFonts w:hint="default"/>
                    </w:rPr>
                  </w:pPr>
                  <w:r>
                    <w:t>排放去向</w:t>
                  </w:r>
                </w:p>
              </w:tc>
              <w:tc>
                <w:tcPr>
                  <w:tcW w:w="384" w:type="pct"/>
                  <w:vAlign w:val="center"/>
                </w:tcPr>
                <w:p w14:paraId="1903B6B6">
                  <w:pPr>
                    <w:pStyle w:val="83"/>
                    <w:rPr>
                      <w:rFonts w:hint="default"/>
                    </w:rPr>
                  </w:pPr>
                  <w:r>
                    <w:t>排放规律</w:t>
                  </w:r>
                </w:p>
              </w:tc>
              <w:tc>
                <w:tcPr>
                  <w:tcW w:w="370" w:type="pct"/>
                  <w:vAlign w:val="center"/>
                </w:tcPr>
                <w:p w14:paraId="3E852DD9">
                  <w:pPr>
                    <w:pStyle w:val="83"/>
                    <w:rPr>
                      <w:rFonts w:hint="default"/>
                    </w:rPr>
                  </w:pPr>
                  <w:r>
                    <w:t>排放时间</w:t>
                  </w:r>
                </w:p>
              </w:tc>
              <w:tc>
                <w:tcPr>
                  <w:tcW w:w="683" w:type="pct"/>
                  <w:vAlign w:val="center"/>
                </w:tcPr>
                <w:p w14:paraId="163CAD7C">
                  <w:pPr>
                    <w:pStyle w:val="83"/>
                    <w:rPr>
                      <w:rFonts w:hint="default"/>
                    </w:rPr>
                  </w:pPr>
                  <w:r>
                    <w:t>排放标准mg/m3</w:t>
                  </w:r>
                </w:p>
              </w:tc>
            </w:tr>
            <w:tr w14:paraId="66D1B64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restart"/>
                  <w:vAlign w:val="center"/>
                </w:tcPr>
                <w:p w14:paraId="6F067DCA">
                  <w:pPr>
                    <w:pStyle w:val="83"/>
                    <w:rPr>
                      <w:rFonts w:hint="default"/>
                    </w:rPr>
                  </w:pPr>
                  <w:r>
                    <w:t>DW001</w:t>
                  </w:r>
                </w:p>
              </w:tc>
              <w:tc>
                <w:tcPr>
                  <w:tcW w:w="461" w:type="pct"/>
                  <w:vMerge w:val="restart"/>
                  <w:vAlign w:val="center"/>
                </w:tcPr>
                <w:p w14:paraId="67149662">
                  <w:pPr>
                    <w:pStyle w:val="83"/>
                    <w:rPr>
                      <w:rFonts w:hint="default"/>
                    </w:rPr>
                  </w:pPr>
                  <w:r>
                    <w:t>生产废水排放口</w:t>
                  </w:r>
                </w:p>
              </w:tc>
              <w:tc>
                <w:tcPr>
                  <w:tcW w:w="390" w:type="pct"/>
                  <w:vMerge w:val="restart"/>
                  <w:vAlign w:val="center"/>
                </w:tcPr>
                <w:p w14:paraId="1BDA0BF0">
                  <w:pPr>
                    <w:pStyle w:val="83"/>
                    <w:rPr>
                      <w:rFonts w:hint="default"/>
                    </w:rPr>
                  </w:pPr>
                  <w:r>
                    <w:t>主要排放口（总排口）</w:t>
                  </w:r>
                </w:p>
              </w:tc>
              <w:tc>
                <w:tcPr>
                  <w:tcW w:w="821" w:type="pct"/>
                  <w:vMerge w:val="restart"/>
                  <w:vAlign w:val="center"/>
                </w:tcPr>
                <w:p w14:paraId="1708C3F7">
                  <w:pPr>
                    <w:pStyle w:val="83"/>
                    <w:rPr>
                      <w:rFonts w:hint="default"/>
                    </w:rPr>
                  </w:pPr>
                  <w:r>
                    <w:t>119°40′7.00″E,25°57′40.10″N</w:t>
                  </w:r>
                </w:p>
              </w:tc>
              <w:tc>
                <w:tcPr>
                  <w:tcW w:w="560" w:type="pct"/>
                  <w:vAlign w:val="center"/>
                </w:tcPr>
                <w:p w14:paraId="4652A309">
                  <w:pPr>
                    <w:pStyle w:val="83"/>
                    <w:rPr>
                      <w:rFonts w:hint="default"/>
                    </w:rPr>
                  </w:pPr>
                  <w:r>
                    <w:t>COD</w:t>
                  </w:r>
                </w:p>
              </w:tc>
              <w:tc>
                <w:tcPr>
                  <w:tcW w:w="346" w:type="pct"/>
                  <w:vMerge w:val="restart"/>
                  <w:vAlign w:val="center"/>
                </w:tcPr>
                <w:p w14:paraId="6B4574F9">
                  <w:pPr>
                    <w:pStyle w:val="83"/>
                    <w:rPr>
                      <w:rFonts w:hint="default"/>
                    </w:rPr>
                  </w:pPr>
                  <w:r>
                    <w:t>间接排放</w:t>
                  </w:r>
                </w:p>
              </w:tc>
              <w:tc>
                <w:tcPr>
                  <w:tcW w:w="666" w:type="pct"/>
                  <w:vMerge w:val="restart"/>
                  <w:vAlign w:val="center"/>
                </w:tcPr>
                <w:p w14:paraId="62A55317">
                  <w:pPr>
                    <w:pStyle w:val="83"/>
                    <w:rPr>
                      <w:rFonts w:hint="default"/>
                    </w:rPr>
                  </w:pPr>
                  <w:r>
                    <w:t>滨海工业区污水处理厂</w:t>
                  </w:r>
                </w:p>
              </w:tc>
              <w:tc>
                <w:tcPr>
                  <w:tcW w:w="384" w:type="pct"/>
                  <w:vMerge w:val="restart"/>
                  <w:vAlign w:val="center"/>
                </w:tcPr>
                <w:p w14:paraId="7B718313">
                  <w:pPr>
                    <w:pStyle w:val="83"/>
                    <w:rPr>
                      <w:rFonts w:hint="default"/>
                    </w:rPr>
                  </w:pPr>
                  <w:r>
                    <w:t>间断排放</w:t>
                  </w:r>
                </w:p>
              </w:tc>
              <w:tc>
                <w:tcPr>
                  <w:tcW w:w="370" w:type="pct"/>
                  <w:vMerge w:val="restart"/>
                  <w:vAlign w:val="center"/>
                </w:tcPr>
                <w:p w14:paraId="4CBE7B6B">
                  <w:pPr>
                    <w:pStyle w:val="83"/>
                    <w:rPr>
                      <w:rFonts w:hint="default"/>
                    </w:rPr>
                  </w:pPr>
                  <w:r>
                    <w:t>8760h</w:t>
                  </w:r>
                </w:p>
              </w:tc>
              <w:tc>
                <w:tcPr>
                  <w:tcW w:w="683" w:type="pct"/>
                  <w:vAlign w:val="center"/>
                </w:tcPr>
                <w:p w14:paraId="42919A1A">
                  <w:pPr>
                    <w:pStyle w:val="83"/>
                    <w:rPr>
                      <w:rFonts w:hint="default"/>
                    </w:rPr>
                  </w:pPr>
                  <w:r>
                    <w:t>450</w:t>
                  </w:r>
                </w:p>
              </w:tc>
            </w:tr>
            <w:tr w14:paraId="031CFF8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164BA688">
                  <w:pPr>
                    <w:pStyle w:val="83"/>
                    <w:rPr>
                      <w:rFonts w:hint="default"/>
                    </w:rPr>
                  </w:pPr>
                </w:p>
              </w:tc>
              <w:tc>
                <w:tcPr>
                  <w:tcW w:w="461" w:type="pct"/>
                  <w:vMerge w:val="continue"/>
                  <w:vAlign w:val="center"/>
                </w:tcPr>
                <w:p w14:paraId="6F405ADD">
                  <w:pPr>
                    <w:pStyle w:val="83"/>
                    <w:rPr>
                      <w:rFonts w:hint="default"/>
                    </w:rPr>
                  </w:pPr>
                </w:p>
              </w:tc>
              <w:tc>
                <w:tcPr>
                  <w:tcW w:w="390" w:type="pct"/>
                  <w:vMerge w:val="continue"/>
                  <w:vAlign w:val="center"/>
                </w:tcPr>
                <w:p w14:paraId="12EAB79D">
                  <w:pPr>
                    <w:pStyle w:val="83"/>
                    <w:rPr>
                      <w:rFonts w:hint="default"/>
                    </w:rPr>
                  </w:pPr>
                </w:p>
              </w:tc>
              <w:tc>
                <w:tcPr>
                  <w:tcW w:w="821" w:type="pct"/>
                  <w:vMerge w:val="continue"/>
                  <w:vAlign w:val="center"/>
                </w:tcPr>
                <w:p w14:paraId="5192C818">
                  <w:pPr>
                    <w:pStyle w:val="83"/>
                    <w:rPr>
                      <w:rFonts w:hint="default"/>
                    </w:rPr>
                  </w:pPr>
                </w:p>
              </w:tc>
              <w:tc>
                <w:tcPr>
                  <w:tcW w:w="560" w:type="pct"/>
                  <w:vAlign w:val="center"/>
                </w:tcPr>
                <w:p w14:paraId="07131431">
                  <w:pPr>
                    <w:pStyle w:val="83"/>
                    <w:rPr>
                      <w:rFonts w:hint="default"/>
                    </w:rPr>
                  </w:pPr>
                  <w:r>
                    <w:t>BOD</w:t>
                  </w:r>
                  <w:r>
                    <w:rPr>
                      <w:vertAlign w:val="subscript"/>
                    </w:rPr>
                    <w:t>5</w:t>
                  </w:r>
                </w:p>
              </w:tc>
              <w:tc>
                <w:tcPr>
                  <w:tcW w:w="346" w:type="pct"/>
                  <w:vMerge w:val="continue"/>
                  <w:vAlign w:val="center"/>
                </w:tcPr>
                <w:p w14:paraId="01FA5C9E">
                  <w:pPr>
                    <w:pStyle w:val="83"/>
                    <w:rPr>
                      <w:rFonts w:hint="default"/>
                    </w:rPr>
                  </w:pPr>
                </w:p>
              </w:tc>
              <w:tc>
                <w:tcPr>
                  <w:tcW w:w="666" w:type="pct"/>
                  <w:vMerge w:val="continue"/>
                  <w:vAlign w:val="center"/>
                </w:tcPr>
                <w:p w14:paraId="7CBFD171">
                  <w:pPr>
                    <w:pStyle w:val="83"/>
                    <w:rPr>
                      <w:rFonts w:hint="default"/>
                    </w:rPr>
                  </w:pPr>
                </w:p>
              </w:tc>
              <w:tc>
                <w:tcPr>
                  <w:tcW w:w="384" w:type="pct"/>
                  <w:vMerge w:val="continue"/>
                  <w:vAlign w:val="center"/>
                </w:tcPr>
                <w:p w14:paraId="65D2D729">
                  <w:pPr>
                    <w:pStyle w:val="83"/>
                    <w:rPr>
                      <w:rFonts w:hint="default"/>
                    </w:rPr>
                  </w:pPr>
                </w:p>
              </w:tc>
              <w:tc>
                <w:tcPr>
                  <w:tcW w:w="370" w:type="pct"/>
                  <w:vMerge w:val="continue"/>
                  <w:vAlign w:val="center"/>
                </w:tcPr>
                <w:p w14:paraId="64951B15">
                  <w:pPr>
                    <w:pStyle w:val="83"/>
                    <w:rPr>
                      <w:rFonts w:hint="default"/>
                    </w:rPr>
                  </w:pPr>
                </w:p>
              </w:tc>
              <w:tc>
                <w:tcPr>
                  <w:tcW w:w="683" w:type="pct"/>
                  <w:vAlign w:val="center"/>
                </w:tcPr>
                <w:p w14:paraId="473CD0A4">
                  <w:pPr>
                    <w:pStyle w:val="83"/>
                    <w:rPr>
                      <w:rFonts w:hint="default"/>
                    </w:rPr>
                  </w:pPr>
                  <w:r>
                    <w:t>200</w:t>
                  </w:r>
                </w:p>
              </w:tc>
            </w:tr>
            <w:tr w14:paraId="38E1F30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0A833FED">
                  <w:pPr>
                    <w:pStyle w:val="83"/>
                    <w:rPr>
                      <w:rFonts w:hint="default"/>
                    </w:rPr>
                  </w:pPr>
                </w:p>
              </w:tc>
              <w:tc>
                <w:tcPr>
                  <w:tcW w:w="461" w:type="pct"/>
                  <w:vMerge w:val="continue"/>
                  <w:vAlign w:val="center"/>
                </w:tcPr>
                <w:p w14:paraId="683819D3">
                  <w:pPr>
                    <w:pStyle w:val="83"/>
                    <w:rPr>
                      <w:rFonts w:hint="default"/>
                    </w:rPr>
                  </w:pPr>
                </w:p>
              </w:tc>
              <w:tc>
                <w:tcPr>
                  <w:tcW w:w="390" w:type="pct"/>
                  <w:vMerge w:val="continue"/>
                  <w:vAlign w:val="center"/>
                </w:tcPr>
                <w:p w14:paraId="4B43A35C">
                  <w:pPr>
                    <w:pStyle w:val="83"/>
                    <w:rPr>
                      <w:rFonts w:hint="default"/>
                    </w:rPr>
                  </w:pPr>
                </w:p>
              </w:tc>
              <w:tc>
                <w:tcPr>
                  <w:tcW w:w="821" w:type="pct"/>
                  <w:vMerge w:val="continue"/>
                  <w:vAlign w:val="center"/>
                </w:tcPr>
                <w:p w14:paraId="7CDEEAAB">
                  <w:pPr>
                    <w:pStyle w:val="83"/>
                    <w:rPr>
                      <w:rFonts w:hint="default"/>
                    </w:rPr>
                  </w:pPr>
                </w:p>
              </w:tc>
              <w:tc>
                <w:tcPr>
                  <w:tcW w:w="560" w:type="pct"/>
                  <w:vAlign w:val="center"/>
                </w:tcPr>
                <w:p w14:paraId="0EDD91B1">
                  <w:pPr>
                    <w:pStyle w:val="83"/>
                    <w:rPr>
                      <w:rFonts w:hint="default"/>
                    </w:rPr>
                  </w:pPr>
                  <w:r>
                    <w:t>SS</w:t>
                  </w:r>
                </w:p>
              </w:tc>
              <w:tc>
                <w:tcPr>
                  <w:tcW w:w="346" w:type="pct"/>
                  <w:vMerge w:val="continue"/>
                  <w:vAlign w:val="center"/>
                </w:tcPr>
                <w:p w14:paraId="652AF89C">
                  <w:pPr>
                    <w:pStyle w:val="83"/>
                    <w:rPr>
                      <w:rFonts w:hint="default"/>
                    </w:rPr>
                  </w:pPr>
                </w:p>
              </w:tc>
              <w:tc>
                <w:tcPr>
                  <w:tcW w:w="666" w:type="pct"/>
                  <w:vMerge w:val="continue"/>
                  <w:vAlign w:val="center"/>
                </w:tcPr>
                <w:p w14:paraId="3C905330">
                  <w:pPr>
                    <w:pStyle w:val="83"/>
                    <w:rPr>
                      <w:rFonts w:hint="default"/>
                    </w:rPr>
                  </w:pPr>
                </w:p>
              </w:tc>
              <w:tc>
                <w:tcPr>
                  <w:tcW w:w="384" w:type="pct"/>
                  <w:vMerge w:val="continue"/>
                  <w:vAlign w:val="center"/>
                </w:tcPr>
                <w:p w14:paraId="07D41C1A">
                  <w:pPr>
                    <w:pStyle w:val="83"/>
                    <w:rPr>
                      <w:rFonts w:hint="default"/>
                    </w:rPr>
                  </w:pPr>
                </w:p>
              </w:tc>
              <w:tc>
                <w:tcPr>
                  <w:tcW w:w="370" w:type="pct"/>
                  <w:vMerge w:val="continue"/>
                  <w:vAlign w:val="center"/>
                </w:tcPr>
                <w:p w14:paraId="6F46C5BE">
                  <w:pPr>
                    <w:pStyle w:val="83"/>
                    <w:rPr>
                      <w:rFonts w:hint="default"/>
                    </w:rPr>
                  </w:pPr>
                </w:p>
              </w:tc>
              <w:tc>
                <w:tcPr>
                  <w:tcW w:w="683" w:type="pct"/>
                  <w:vAlign w:val="center"/>
                </w:tcPr>
                <w:p w14:paraId="091D01FD">
                  <w:pPr>
                    <w:pStyle w:val="83"/>
                    <w:rPr>
                      <w:rFonts w:hint="default"/>
                    </w:rPr>
                  </w:pPr>
                  <w:r>
                    <w:t>250</w:t>
                  </w:r>
                </w:p>
              </w:tc>
            </w:tr>
            <w:tr w14:paraId="5C178BA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4F35C64F">
                  <w:pPr>
                    <w:pStyle w:val="83"/>
                    <w:rPr>
                      <w:rFonts w:hint="default"/>
                    </w:rPr>
                  </w:pPr>
                </w:p>
              </w:tc>
              <w:tc>
                <w:tcPr>
                  <w:tcW w:w="461" w:type="pct"/>
                  <w:vMerge w:val="continue"/>
                  <w:vAlign w:val="center"/>
                </w:tcPr>
                <w:p w14:paraId="5D05B251">
                  <w:pPr>
                    <w:pStyle w:val="83"/>
                    <w:rPr>
                      <w:rFonts w:hint="default"/>
                    </w:rPr>
                  </w:pPr>
                </w:p>
              </w:tc>
              <w:tc>
                <w:tcPr>
                  <w:tcW w:w="390" w:type="pct"/>
                  <w:vMerge w:val="continue"/>
                  <w:vAlign w:val="center"/>
                </w:tcPr>
                <w:p w14:paraId="3E96C3AA">
                  <w:pPr>
                    <w:pStyle w:val="83"/>
                    <w:rPr>
                      <w:rFonts w:hint="default"/>
                    </w:rPr>
                  </w:pPr>
                </w:p>
              </w:tc>
              <w:tc>
                <w:tcPr>
                  <w:tcW w:w="821" w:type="pct"/>
                  <w:vMerge w:val="continue"/>
                  <w:vAlign w:val="center"/>
                </w:tcPr>
                <w:p w14:paraId="38DD1C5C">
                  <w:pPr>
                    <w:pStyle w:val="83"/>
                    <w:rPr>
                      <w:rFonts w:hint="default"/>
                    </w:rPr>
                  </w:pPr>
                </w:p>
              </w:tc>
              <w:tc>
                <w:tcPr>
                  <w:tcW w:w="560" w:type="pct"/>
                  <w:vAlign w:val="center"/>
                </w:tcPr>
                <w:p w14:paraId="1595D9D4">
                  <w:pPr>
                    <w:pStyle w:val="83"/>
                    <w:rPr>
                      <w:rFonts w:hint="default"/>
                    </w:rPr>
                  </w:pPr>
                  <w:r>
                    <w:t>氨氮</w:t>
                  </w:r>
                </w:p>
              </w:tc>
              <w:tc>
                <w:tcPr>
                  <w:tcW w:w="346" w:type="pct"/>
                  <w:vMerge w:val="continue"/>
                  <w:vAlign w:val="center"/>
                </w:tcPr>
                <w:p w14:paraId="30D25CC7">
                  <w:pPr>
                    <w:pStyle w:val="83"/>
                    <w:rPr>
                      <w:rFonts w:hint="default"/>
                    </w:rPr>
                  </w:pPr>
                </w:p>
              </w:tc>
              <w:tc>
                <w:tcPr>
                  <w:tcW w:w="666" w:type="pct"/>
                  <w:vMerge w:val="continue"/>
                  <w:vAlign w:val="center"/>
                </w:tcPr>
                <w:p w14:paraId="113E1211">
                  <w:pPr>
                    <w:pStyle w:val="83"/>
                    <w:rPr>
                      <w:rFonts w:hint="default"/>
                    </w:rPr>
                  </w:pPr>
                </w:p>
              </w:tc>
              <w:tc>
                <w:tcPr>
                  <w:tcW w:w="384" w:type="pct"/>
                  <w:vMerge w:val="continue"/>
                  <w:vAlign w:val="center"/>
                </w:tcPr>
                <w:p w14:paraId="1547CC80">
                  <w:pPr>
                    <w:pStyle w:val="83"/>
                    <w:rPr>
                      <w:rFonts w:hint="default"/>
                    </w:rPr>
                  </w:pPr>
                </w:p>
              </w:tc>
              <w:tc>
                <w:tcPr>
                  <w:tcW w:w="370" w:type="pct"/>
                  <w:vMerge w:val="continue"/>
                  <w:vAlign w:val="center"/>
                </w:tcPr>
                <w:p w14:paraId="7E7D186C">
                  <w:pPr>
                    <w:pStyle w:val="83"/>
                    <w:rPr>
                      <w:rFonts w:hint="default"/>
                    </w:rPr>
                  </w:pPr>
                </w:p>
              </w:tc>
              <w:tc>
                <w:tcPr>
                  <w:tcW w:w="683" w:type="pct"/>
                  <w:vAlign w:val="center"/>
                </w:tcPr>
                <w:p w14:paraId="201EE3D8">
                  <w:pPr>
                    <w:pStyle w:val="83"/>
                    <w:rPr>
                      <w:rFonts w:hint="default"/>
                    </w:rPr>
                  </w:pPr>
                  <w:r>
                    <w:t>30</w:t>
                  </w:r>
                </w:p>
              </w:tc>
            </w:tr>
            <w:tr w14:paraId="47FBD37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0E54F8EF">
                  <w:pPr>
                    <w:pStyle w:val="83"/>
                    <w:rPr>
                      <w:rFonts w:hint="default"/>
                    </w:rPr>
                  </w:pPr>
                </w:p>
              </w:tc>
              <w:tc>
                <w:tcPr>
                  <w:tcW w:w="461" w:type="pct"/>
                  <w:vMerge w:val="continue"/>
                  <w:vAlign w:val="center"/>
                </w:tcPr>
                <w:p w14:paraId="6CDEA0F1">
                  <w:pPr>
                    <w:pStyle w:val="83"/>
                    <w:rPr>
                      <w:rFonts w:hint="default"/>
                    </w:rPr>
                  </w:pPr>
                </w:p>
              </w:tc>
              <w:tc>
                <w:tcPr>
                  <w:tcW w:w="390" w:type="pct"/>
                  <w:vMerge w:val="continue"/>
                  <w:vAlign w:val="center"/>
                </w:tcPr>
                <w:p w14:paraId="33D13FA1">
                  <w:pPr>
                    <w:pStyle w:val="83"/>
                    <w:rPr>
                      <w:rFonts w:hint="default"/>
                    </w:rPr>
                  </w:pPr>
                </w:p>
              </w:tc>
              <w:tc>
                <w:tcPr>
                  <w:tcW w:w="821" w:type="pct"/>
                  <w:vMerge w:val="continue"/>
                  <w:vAlign w:val="center"/>
                </w:tcPr>
                <w:p w14:paraId="7D82C38C">
                  <w:pPr>
                    <w:pStyle w:val="83"/>
                    <w:rPr>
                      <w:rFonts w:hint="default"/>
                    </w:rPr>
                  </w:pPr>
                </w:p>
              </w:tc>
              <w:tc>
                <w:tcPr>
                  <w:tcW w:w="560" w:type="pct"/>
                  <w:vAlign w:val="center"/>
                </w:tcPr>
                <w:p w14:paraId="1C94DDAE">
                  <w:pPr>
                    <w:pStyle w:val="83"/>
                    <w:rPr>
                      <w:rFonts w:hint="default"/>
                    </w:rPr>
                  </w:pPr>
                  <w:r>
                    <w:t>石油类</w:t>
                  </w:r>
                </w:p>
              </w:tc>
              <w:tc>
                <w:tcPr>
                  <w:tcW w:w="346" w:type="pct"/>
                  <w:vMerge w:val="continue"/>
                  <w:vAlign w:val="center"/>
                </w:tcPr>
                <w:p w14:paraId="16090D97">
                  <w:pPr>
                    <w:pStyle w:val="83"/>
                    <w:rPr>
                      <w:rFonts w:hint="default"/>
                    </w:rPr>
                  </w:pPr>
                </w:p>
              </w:tc>
              <w:tc>
                <w:tcPr>
                  <w:tcW w:w="666" w:type="pct"/>
                  <w:vMerge w:val="continue"/>
                  <w:vAlign w:val="center"/>
                </w:tcPr>
                <w:p w14:paraId="745B283A">
                  <w:pPr>
                    <w:pStyle w:val="83"/>
                    <w:rPr>
                      <w:rFonts w:hint="default"/>
                    </w:rPr>
                  </w:pPr>
                </w:p>
              </w:tc>
              <w:tc>
                <w:tcPr>
                  <w:tcW w:w="384" w:type="pct"/>
                  <w:vMerge w:val="continue"/>
                  <w:vAlign w:val="center"/>
                </w:tcPr>
                <w:p w14:paraId="6823391F">
                  <w:pPr>
                    <w:pStyle w:val="83"/>
                    <w:rPr>
                      <w:rFonts w:hint="default"/>
                    </w:rPr>
                  </w:pPr>
                </w:p>
              </w:tc>
              <w:tc>
                <w:tcPr>
                  <w:tcW w:w="370" w:type="pct"/>
                  <w:vMerge w:val="continue"/>
                  <w:vAlign w:val="center"/>
                </w:tcPr>
                <w:p w14:paraId="2A534470">
                  <w:pPr>
                    <w:pStyle w:val="83"/>
                    <w:rPr>
                      <w:rFonts w:hint="default"/>
                    </w:rPr>
                  </w:pPr>
                </w:p>
              </w:tc>
              <w:tc>
                <w:tcPr>
                  <w:tcW w:w="683" w:type="pct"/>
                  <w:vAlign w:val="center"/>
                </w:tcPr>
                <w:p w14:paraId="57753EEC">
                  <w:pPr>
                    <w:pStyle w:val="83"/>
                    <w:rPr>
                      <w:rFonts w:hint="default"/>
                    </w:rPr>
                  </w:pPr>
                  <w:r>
                    <w:t>15</w:t>
                  </w:r>
                </w:p>
              </w:tc>
            </w:tr>
            <w:tr w14:paraId="60D0AE4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22EBDC50">
                  <w:pPr>
                    <w:pStyle w:val="83"/>
                    <w:rPr>
                      <w:rFonts w:hint="default"/>
                    </w:rPr>
                  </w:pPr>
                </w:p>
              </w:tc>
              <w:tc>
                <w:tcPr>
                  <w:tcW w:w="461" w:type="pct"/>
                  <w:vMerge w:val="continue"/>
                  <w:vAlign w:val="center"/>
                </w:tcPr>
                <w:p w14:paraId="4D6FB45D">
                  <w:pPr>
                    <w:pStyle w:val="83"/>
                    <w:rPr>
                      <w:rFonts w:hint="default"/>
                    </w:rPr>
                  </w:pPr>
                </w:p>
              </w:tc>
              <w:tc>
                <w:tcPr>
                  <w:tcW w:w="390" w:type="pct"/>
                  <w:vMerge w:val="continue"/>
                  <w:vAlign w:val="center"/>
                </w:tcPr>
                <w:p w14:paraId="516742AE">
                  <w:pPr>
                    <w:pStyle w:val="83"/>
                    <w:rPr>
                      <w:rFonts w:hint="default"/>
                    </w:rPr>
                  </w:pPr>
                </w:p>
              </w:tc>
              <w:tc>
                <w:tcPr>
                  <w:tcW w:w="821" w:type="pct"/>
                  <w:vMerge w:val="continue"/>
                  <w:vAlign w:val="center"/>
                </w:tcPr>
                <w:p w14:paraId="0175E076">
                  <w:pPr>
                    <w:pStyle w:val="83"/>
                    <w:rPr>
                      <w:rFonts w:hint="default"/>
                    </w:rPr>
                  </w:pPr>
                </w:p>
              </w:tc>
              <w:tc>
                <w:tcPr>
                  <w:tcW w:w="560" w:type="pct"/>
                  <w:vAlign w:val="center"/>
                </w:tcPr>
                <w:p w14:paraId="2230BAC7">
                  <w:pPr>
                    <w:pStyle w:val="83"/>
                    <w:rPr>
                      <w:rFonts w:hint="default"/>
                    </w:rPr>
                  </w:pPr>
                  <w:r>
                    <w:t>总有机碳</w:t>
                  </w:r>
                </w:p>
              </w:tc>
              <w:tc>
                <w:tcPr>
                  <w:tcW w:w="346" w:type="pct"/>
                  <w:vMerge w:val="continue"/>
                  <w:vAlign w:val="center"/>
                </w:tcPr>
                <w:p w14:paraId="427A28B4">
                  <w:pPr>
                    <w:pStyle w:val="83"/>
                    <w:rPr>
                      <w:rFonts w:hint="default"/>
                    </w:rPr>
                  </w:pPr>
                </w:p>
              </w:tc>
              <w:tc>
                <w:tcPr>
                  <w:tcW w:w="666" w:type="pct"/>
                  <w:vMerge w:val="continue"/>
                  <w:vAlign w:val="center"/>
                </w:tcPr>
                <w:p w14:paraId="63786083">
                  <w:pPr>
                    <w:pStyle w:val="83"/>
                    <w:rPr>
                      <w:rFonts w:hint="default"/>
                    </w:rPr>
                  </w:pPr>
                </w:p>
              </w:tc>
              <w:tc>
                <w:tcPr>
                  <w:tcW w:w="384" w:type="pct"/>
                  <w:vMerge w:val="continue"/>
                  <w:vAlign w:val="center"/>
                </w:tcPr>
                <w:p w14:paraId="1C1B5EF4">
                  <w:pPr>
                    <w:pStyle w:val="83"/>
                    <w:rPr>
                      <w:rFonts w:hint="default"/>
                    </w:rPr>
                  </w:pPr>
                </w:p>
              </w:tc>
              <w:tc>
                <w:tcPr>
                  <w:tcW w:w="370" w:type="pct"/>
                  <w:vMerge w:val="continue"/>
                  <w:vAlign w:val="center"/>
                </w:tcPr>
                <w:p w14:paraId="6116768E">
                  <w:pPr>
                    <w:pStyle w:val="83"/>
                    <w:rPr>
                      <w:rFonts w:hint="default"/>
                    </w:rPr>
                  </w:pPr>
                </w:p>
              </w:tc>
              <w:tc>
                <w:tcPr>
                  <w:tcW w:w="683" w:type="pct"/>
                  <w:vAlign w:val="center"/>
                </w:tcPr>
                <w:p w14:paraId="35CEFD1A">
                  <w:pPr>
                    <w:pStyle w:val="83"/>
                    <w:rPr>
                      <w:rFonts w:hint="default"/>
                    </w:rPr>
                  </w:pPr>
                  <w:r>
                    <w:t>150</w:t>
                  </w:r>
                </w:p>
              </w:tc>
            </w:tr>
            <w:tr w14:paraId="7BE1D42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restart"/>
                  <w:vAlign w:val="center"/>
                </w:tcPr>
                <w:p w14:paraId="40BABFD8">
                  <w:pPr>
                    <w:pStyle w:val="83"/>
                    <w:rPr>
                      <w:rFonts w:hint="default"/>
                    </w:rPr>
                  </w:pPr>
                  <w:r>
                    <w:t>DW002</w:t>
                  </w:r>
                </w:p>
              </w:tc>
              <w:tc>
                <w:tcPr>
                  <w:tcW w:w="461" w:type="pct"/>
                  <w:vMerge w:val="restart"/>
                  <w:vAlign w:val="center"/>
                </w:tcPr>
                <w:p w14:paraId="575EAA71">
                  <w:pPr>
                    <w:pStyle w:val="83"/>
                    <w:rPr>
                      <w:rFonts w:hint="default"/>
                    </w:rPr>
                  </w:pPr>
                  <w:r>
                    <w:t>生活污水排放口</w:t>
                  </w:r>
                </w:p>
              </w:tc>
              <w:tc>
                <w:tcPr>
                  <w:tcW w:w="390" w:type="pct"/>
                  <w:vMerge w:val="restart"/>
                  <w:vAlign w:val="center"/>
                </w:tcPr>
                <w:p w14:paraId="65BD9D3F">
                  <w:pPr>
                    <w:pStyle w:val="83"/>
                    <w:rPr>
                      <w:rFonts w:hint="default"/>
                    </w:rPr>
                  </w:pPr>
                  <w:r>
                    <w:t>一般排放口</w:t>
                  </w:r>
                </w:p>
              </w:tc>
              <w:tc>
                <w:tcPr>
                  <w:tcW w:w="821" w:type="pct"/>
                  <w:vMerge w:val="restart"/>
                  <w:vAlign w:val="center"/>
                </w:tcPr>
                <w:p w14:paraId="36465ED1">
                  <w:pPr>
                    <w:pStyle w:val="83"/>
                    <w:rPr>
                      <w:rFonts w:hint="default"/>
                    </w:rPr>
                  </w:pPr>
                  <w:r>
                    <w:t>119°40′26.87″E,25°57′41.22″N</w:t>
                  </w:r>
                </w:p>
              </w:tc>
              <w:tc>
                <w:tcPr>
                  <w:tcW w:w="560" w:type="pct"/>
                  <w:vAlign w:val="center"/>
                </w:tcPr>
                <w:p w14:paraId="44B0451A">
                  <w:pPr>
                    <w:pStyle w:val="83"/>
                    <w:rPr>
                      <w:rFonts w:hint="default"/>
                    </w:rPr>
                  </w:pPr>
                  <w:r>
                    <w:t>COD</w:t>
                  </w:r>
                </w:p>
              </w:tc>
              <w:tc>
                <w:tcPr>
                  <w:tcW w:w="346" w:type="pct"/>
                  <w:vMerge w:val="restart"/>
                  <w:vAlign w:val="center"/>
                </w:tcPr>
                <w:p w14:paraId="3957D3BB">
                  <w:pPr>
                    <w:pStyle w:val="83"/>
                    <w:rPr>
                      <w:rFonts w:hint="default"/>
                    </w:rPr>
                  </w:pPr>
                  <w:r>
                    <w:t>间接排放</w:t>
                  </w:r>
                </w:p>
              </w:tc>
              <w:tc>
                <w:tcPr>
                  <w:tcW w:w="666" w:type="pct"/>
                  <w:vMerge w:val="restart"/>
                  <w:vAlign w:val="center"/>
                </w:tcPr>
                <w:p w14:paraId="79628C3D">
                  <w:pPr>
                    <w:pStyle w:val="83"/>
                    <w:rPr>
                      <w:rFonts w:hint="default"/>
                    </w:rPr>
                  </w:pPr>
                  <w:r>
                    <w:t>滨海工业区污水处理厂</w:t>
                  </w:r>
                </w:p>
              </w:tc>
              <w:tc>
                <w:tcPr>
                  <w:tcW w:w="384" w:type="pct"/>
                  <w:vMerge w:val="restart"/>
                  <w:vAlign w:val="center"/>
                </w:tcPr>
                <w:p w14:paraId="54AB0229">
                  <w:pPr>
                    <w:pStyle w:val="83"/>
                    <w:rPr>
                      <w:rFonts w:hint="default"/>
                    </w:rPr>
                  </w:pPr>
                  <w:r>
                    <w:t>间断排放</w:t>
                  </w:r>
                </w:p>
              </w:tc>
              <w:tc>
                <w:tcPr>
                  <w:tcW w:w="370" w:type="pct"/>
                  <w:vMerge w:val="restart"/>
                  <w:vAlign w:val="center"/>
                </w:tcPr>
                <w:p w14:paraId="3F7EBE6E">
                  <w:pPr>
                    <w:pStyle w:val="83"/>
                    <w:rPr>
                      <w:rFonts w:hint="default"/>
                    </w:rPr>
                  </w:pPr>
                  <w:r>
                    <w:t>8760h</w:t>
                  </w:r>
                </w:p>
              </w:tc>
              <w:tc>
                <w:tcPr>
                  <w:tcW w:w="683" w:type="pct"/>
                  <w:vAlign w:val="center"/>
                </w:tcPr>
                <w:p w14:paraId="7C5C4C23">
                  <w:pPr>
                    <w:pStyle w:val="83"/>
                    <w:rPr>
                      <w:rFonts w:hint="default"/>
                    </w:rPr>
                  </w:pPr>
                  <w:r>
                    <w:t>500</w:t>
                  </w:r>
                </w:p>
              </w:tc>
            </w:tr>
            <w:tr w14:paraId="6326D3C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219586C2">
                  <w:pPr>
                    <w:pStyle w:val="83"/>
                    <w:rPr>
                      <w:rFonts w:hint="default"/>
                    </w:rPr>
                  </w:pPr>
                </w:p>
              </w:tc>
              <w:tc>
                <w:tcPr>
                  <w:tcW w:w="461" w:type="pct"/>
                  <w:vMerge w:val="continue"/>
                  <w:vAlign w:val="center"/>
                </w:tcPr>
                <w:p w14:paraId="005F942D">
                  <w:pPr>
                    <w:pStyle w:val="83"/>
                    <w:rPr>
                      <w:rFonts w:hint="default"/>
                    </w:rPr>
                  </w:pPr>
                </w:p>
              </w:tc>
              <w:tc>
                <w:tcPr>
                  <w:tcW w:w="390" w:type="pct"/>
                  <w:vMerge w:val="continue"/>
                  <w:vAlign w:val="center"/>
                </w:tcPr>
                <w:p w14:paraId="6DC431B3">
                  <w:pPr>
                    <w:pStyle w:val="83"/>
                    <w:rPr>
                      <w:rFonts w:hint="default"/>
                    </w:rPr>
                  </w:pPr>
                </w:p>
              </w:tc>
              <w:tc>
                <w:tcPr>
                  <w:tcW w:w="821" w:type="pct"/>
                  <w:vMerge w:val="continue"/>
                  <w:vAlign w:val="center"/>
                </w:tcPr>
                <w:p w14:paraId="1AB39871">
                  <w:pPr>
                    <w:pStyle w:val="83"/>
                    <w:rPr>
                      <w:rFonts w:hint="default"/>
                    </w:rPr>
                  </w:pPr>
                </w:p>
              </w:tc>
              <w:tc>
                <w:tcPr>
                  <w:tcW w:w="560" w:type="pct"/>
                  <w:vAlign w:val="center"/>
                </w:tcPr>
                <w:p w14:paraId="76EBE503">
                  <w:pPr>
                    <w:pStyle w:val="83"/>
                    <w:rPr>
                      <w:rFonts w:hint="default"/>
                    </w:rPr>
                  </w:pPr>
                  <w:r>
                    <w:t>BOD</w:t>
                  </w:r>
                  <w:r>
                    <w:rPr>
                      <w:vertAlign w:val="subscript"/>
                    </w:rPr>
                    <w:t>5</w:t>
                  </w:r>
                </w:p>
              </w:tc>
              <w:tc>
                <w:tcPr>
                  <w:tcW w:w="346" w:type="pct"/>
                  <w:vMerge w:val="continue"/>
                  <w:vAlign w:val="center"/>
                </w:tcPr>
                <w:p w14:paraId="52BDAC9C">
                  <w:pPr>
                    <w:pStyle w:val="83"/>
                    <w:rPr>
                      <w:rFonts w:hint="default"/>
                    </w:rPr>
                  </w:pPr>
                </w:p>
              </w:tc>
              <w:tc>
                <w:tcPr>
                  <w:tcW w:w="666" w:type="pct"/>
                  <w:vMerge w:val="continue"/>
                  <w:vAlign w:val="center"/>
                </w:tcPr>
                <w:p w14:paraId="5193B4B6">
                  <w:pPr>
                    <w:pStyle w:val="83"/>
                    <w:rPr>
                      <w:rFonts w:hint="default"/>
                    </w:rPr>
                  </w:pPr>
                </w:p>
              </w:tc>
              <w:tc>
                <w:tcPr>
                  <w:tcW w:w="384" w:type="pct"/>
                  <w:vMerge w:val="continue"/>
                  <w:vAlign w:val="center"/>
                </w:tcPr>
                <w:p w14:paraId="2A88945E">
                  <w:pPr>
                    <w:pStyle w:val="83"/>
                    <w:rPr>
                      <w:rFonts w:hint="default"/>
                    </w:rPr>
                  </w:pPr>
                </w:p>
              </w:tc>
              <w:tc>
                <w:tcPr>
                  <w:tcW w:w="370" w:type="pct"/>
                  <w:vMerge w:val="continue"/>
                  <w:vAlign w:val="center"/>
                </w:tcPr>
                <w:p w14:paraId="54B0A35A">
                  <w:pPr>
                    <w:pStyle w:val="83"/>
                    <w:rPr>
                      <w:rFonts w:hint="default"/>
                    </w:rPr>
                  </w:pPr>
                </w:p>
              </w:tc>
              <w:tc>
                <w:tcPr>
                  <w:tcW w:w="683" w:type="pct"/>
                  <w:vAlign w:val="center"/>
                </w:tcPr>
                <w:p w14:paraId="17779F4C">
                  <w:pPr>
                    <w:pStyle w:val="83"/>
                    <w:rPr>
                      <w:rFonts w:hint="default"/>
                    </w:rPr>
                  </w:pPr>
                  <w:r>
                    <w:t>300</w:t>
                  </w:r>
                </w:p>
              </w:tc>
            </w:tr>
            <w:tr w14:paraId="373EEBE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6397DA87">
                  <w:pPr>
                    <w:pStyle w:val="83"/>
                    <w:rPr>
                      <w:rFonts w:hint="default"/>
                    </w:rPr>
                  </w:pPr>
                </w:p>
              </w:tc>
              <w:tc>
                <w:tcPr>
                  <w:tcW w:w="461" w:type="pct"/>
                  <w:vMerge w:val="continue"/>
                  <w:vAlign w:val="center"/>
                </w:tcPr>
                <w:p w14:paraId="53A74755">
                  <w:pPr>
                    <w:pStyle w:val="83"/>
                    <w:rPr>
                      <w:rFonts w:hint="default"/>
                    </w:rPr>
                  </w:pPr>
                </w:p>
              </w:tc>
              <w:tc>
                <w:tcPr>
                  <w:tcW w:w="390" w:type="pct"/>
                  <w:vMerge w:val="continue"/>
                  <w:vAlign w:val="center"/>
                </w:tcPr>
                <w:p w14:paraId="53685CFF">
                  <w:pPr>
                    <w:pStyle w:val="83"/>
                    <w:rPr>
                      <w:rFonts w:hint="default"/>
                    </w:rPr>
                  </w:pPr>
                </w:p>
              </w:tc>
              <w:tc>
                <w:tcPr>
                  <w:tcW w:w="821" w:type="pct"/>
                  <w:vMerge w:val="continue"/>
                  <w:vAlign w:val="center"/>
                </w:tcPr>
                <w:p w14:paraId="65C489A9">
                  <w:pPr>
                    <w:pStyle w:val="83"/>
                    <w:rPr>
                      <w:rFonts w:hint="default"/>
                    </w:rPr>
                  </w:pPr>
                </w:p>
              </w:tc>
              <w:tc>
                <w:tcPr>
                  <w:tcW w:w="560" w:type="pct"/>
                  <w:vAlign w:val="center"/>
                </w:tcPr>
                <w:p w14:paraId="3FE20F3B">
                  <w:pPr>
                    <w:pStyle w:val="83"/>
                    <w:rPr>
                      <w:rFonts w:hint="default"/>
                    </w:rPr>
                  </w:pPr>
                  <w:r>
                    <w:t>SS</w:t>
                  </w:r>
                </w:p>
              </w:tc>
              <w:tc>
                <w:tcPr>
                  <w:tcW w:w="346" w:type="pct"/>
                  <w:vMerge w:val="continue"/>
                  <w:vAlign w:val="center"/>
                </w:tcPr>
                <w:p w14:paraId="5E6F276B">
                  <w:pPr>
                    <w:pStyle w:val="83"/>
                    <w:rPr>
                      <w:rFonts w:hint="default"/>
                    </w:rPr>
                  </w:pPr>
                </w:p>
              </w:tc>
              <w:tc>
                <w:tcPr>
                  <w:tcW w:w="666" w:type="pct"/>
                  <w:vMerge w:val="continue"/>
                  <w:vAlign w:val="center"/>
                </w:tcPr>
                <w:p w14:paraId="69481DAB">
                  <w:pPr>
                    <w:pStyle w:val="83"/>
                    <w:rPr>
                      <w:rFonts w:hint="default"/>
                    </w:rPr>
                  </w:pPr>
                </w:p>
              </w:tc>
              <w:tc>
                <w:tcPr>
                  <w:tcW w:w="384" w:type="pct"/>
                  <w:vMerge w:val="continue"/>
                  <w:vAlign w:val="center"/>
                </w:tcPr>
                <w:p w14:paraId="0EA7153F">
                  <w:pPr>
                    <w:pStyle w:val="83"/>
                    <w:rPr>
                      <w:rFonts w:hint="default"/>
                    </w:rPr>
                  </w:pPr>
                </w:p>
              </w:tc>
              <w:tc>
                <w:tcPr>
                  <w:tcW w:w="370" w:type="pct"/>
                  <w:vMerge w:val="continue"/>
                  <w:vAlign w:val="center"/>
                </w:tcPr>
                <w:p w14:paraId="3AE6C97C">
                  <w:pPr>
                    <w:pStyle w:val="83"/>
                    <w:rPr>
                      <w:rFonts w:hint="default"/>
                    </w:rPr>
                  </w:pPr>
                </w:p>
              </w:tc>
              <w:tc>
                <w:tcPr>
                  <w:tcW w:w="683" w:type="pct"/>
                  <w:vAlign w:val="center"/>
                </w:tcPr>
                <w:p w14:paraId="42CC6B58">
                  <w:pPr>
                    <w:pStyle w:val="83"/>
                    <w:rPr>
                      <w:rFonts w:hint="default"/>
                    </w:rPr>
                  </w:pPr>
                  <w:r>
                    <w:t>400</w:t>
                  </w:r>
                </w:p>
              </w:tc>
            </w:tr>
            <w:tr w14:paraId="71B72C6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03EBF993">
                  <w:pPr>
                    <w:pStyle w:val="83"/>
                    <w:rPr>
                      <w:rFonts w:hint="default"/>
                    </w:rPr>
                  </w:pPr>
                </w:p>
              </w:tc>
              <w:tc>
                <w:tcPr>
                  <w:tcW w:w="461" w:type="pct"/>
                  <w:vMerge w:val="continue"/>
                  <w:vAlign w:val="center"/>
                </w:tcPr>
                <w:p w14:paraId="0ED21FEC">
                  <w:pPr>
                    <w:pStyle w:val="83"/>
                    <w:rPr>
                      <w:rFonts w:hint="default"/>
                    </w:rPr>
                  </w:pPr>
                </w:p>
              </w:tc>
              <w:tc>
                <w:tcPr>
                  <w:tcW w:w="390" w:type="pct"/>
                  <w:vMerge w:val="continue"/>
                  <w:vAlign w:val="center"/>
                </w:tcPr>
                <w:p w14:paraId="2E1F57F5">
                  <w:pPr>
                    <w:pStyle w:val="83"/>
                    <w:rPr>
                      <w:rFonts w:hint="default"/>
                    </w:rPr>
                  </w:pPr>
                </w:p>
              </w:tc>
              <w:tc>
                <w:tcPr>
                  <w:tcW w:w="821" w:type="pct"/>
                  <w:vMerge w:val="continue"/>
                  <w:vAlign w:val="center"/>
                </w:tcPr>
                <w:p w14:paraId="037E26D4">
                  <w:pPr>
                    <w:pStyle w:val="83"/>
                    <w:rPr>
                      <w:rFonts w:hint="default"/>
                    </w:rPr>
                  </w:pPr>
                </w:p>
              </w:tc>
              <w:tc>
                <w:tcPr>
                  <w:tcW w:w="560" w:type="pct"/>
                  <w:vAlign w:val="center"/>
                </w:tcPr>
                <w:p w14:paraId="19A437CF">
                  <w:pPr>
                    <w:pStyle w:val="83"/>
                    <w:rPr>
                      <w:rFonts w:hint="default"/>
                    </w:rPr>
                  </w:pPr>
                  <w:r>
                    <w:t>氨氮</w:t>
                  </w:r>
                </w:p>
              </w:tc>
              <w:tc>
                <w:tcPr>
                  <w:tcW w:w="346" w:type="pct"/>
                  <w:vMerge w:val="continue"/>
                  <w:vAlign w:val="center"/>
                </w:tcPr>
                <w:p w14:paraId="4BFDBACB">
                  <w:pPr>
                    <w:pStyle w:val="83"/>
                    <w:rPr>
                      <w:rFonts w:hint="default"/>
                    </w:rPr>
                  </w:pPr>
                </w:p>
              </w:tc>
              <w:tc>
                <w:tcPr>
                  <w:tcW w:w="666" w:type="pct"/>
                  <w:vMerge w:val="continue"/>
                  <w:vAlign w:val="center"/>
                </w:tcPr>
                <w:p w14:paraId="5FF3D93B">
                  <w:pPr>
                    <w:pStyle w:val="83"/>
                    <w:rPr>
                      <w:rFonts w:hint="default"/>
                    </w:rPr>
                  </w:pPr>
                </w:p>
              </w:tc>
              <w:tc>
                <w:tcPr>
                  <w:tcW w:w="384" w:type="pct"/>
                  <w:vMerge w:val="continue"/>
                  <w:vAlign w:val="center"/>
                </w:tcPr>
                <w:p w14:paraId="28E1A452">
                  <w:pPr>
                    <w:pStyle w:val="83"/>
                    <w:rPr>
                      <w:rFonts w:hint="default"/>
                    </w:rPr>
                  </w:pPr>
                </w:p>
              </w:tc>
              <w:tc>
                <w:tcPr>
                  <w:tcW w:w="370" w:type="pct"/>
                  <w:vMerge w:val="continue"/>
                  <w:vAlign w:val="center"/>
                </w:tcPr>
                <w:p w14:paraId="7369A93D">
                  <w:pPr>
                    <w:pStyle w:val="83"/>
                    <w:rPr>
                      <w:rFonts w:hint="default"/>
                    </w:rPr>
                  </w:pPr>
                </w:p>
              </w:tc>
              <w:tc>
                <w:tcPr>
                  <w:tcW w:w="683" w:type="pct"/>
                  <w:vAlign w:val="center"/>
                </w:tcPr>
                <w:p w14:paraId="378E85FE">
                  <w:pPr>
                    <w:pStyle w:val="83"/>
                    <w:rPr>
                      <w:rFonts w:hint="default"/>
                    </w:rPr>
                  </w:pPr>
                  <w:r>
                    <w:t>45</w:t>
                  </w:r>
                </w:p>
              </w:tc>
            </w:tr>
            <w:tr w14:paraId="6AE60C6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1B30328F">
                  <w:pPr>
                    <w:pStyle w:val="83"/>
                    <w:rPr>
                      <w:rFonts w:hint="default"/>
                    </w:rPr>
                  </w:pPr>
                </w:p>
              </w:tc>
              <w:tc>
                <w:tcPr>
                  <w:tcW w:w="461" w:type="pct"/>
                  <w:vMerge w:val="continue"/>
                  <w:vAlign w:val="center"/>
                </w:tcPr>
                <w:p w14:paraId="23104D3A">
                  <w:pPr>
                    <w:pStyle w:val="83"/>
                    <w:rPr>
                      <w:rFonts w:hint="default"/>
                    </w:rPr>
                  </w:pPr>
                </w:p>
              </w:tc>
              <w:tc>
                <w:tcPr>
                  <w:tcW w:w="390" w:type="pct"/>
                  <w:vMerge w:val="continue"/>
                  <w:vAlign w:val="center"/>
                </w:tcPr>
                <w:p w14:paraId="436F632A">
                  <w:pPr>
                    <w:pStyle w:val="83"/>
                    <w:rPr>
                      <w:rFonts w:hint="default"/>
                    </w:rPr>
                  </w:pPr>
                </w:p>
              </w:tc>
              <w:tc>
                <w:tcPr>
                  <w:tcW w:w="821" w:type="pct"/>
                  <w:vMerge w:val="continue"/>
                  <w:vAlign w:val="center"/>
                </w:tcPr>
                <w:p w14:paraId="233C2BD5">
                  <w:pPr>
                    <w:pStyle w:val="83"/>
                    <w:rPr>
                      <w:rFonts w:hint="default"/>
                    </w:rPr>
                  </w:pPr>
                </w:p>
              </w:tc>
              <w:tc>
                <w:tcPr>
                  <w:tcW w:w="560" w:type="pct"/>
                  <w:vAlign w:val="center"/>
                </w:tcPr>
                <w:p w14:paraId="566A6198">
                  <w:pPr>
                    <w:pStyle w:val="83"/>
                    <w:rPr>
                      <w:rFonts w:hint="default"/>
                    </w:rPr>
                  </w:pPr>
                  <w:r>
                    <w:t>动植物油</w:t>
                  </w:r>
                </w:p>
              </w:tc>
              <w:tc>
                <w:tcPr>
                  <w:tcW w:w="346" w:type="pct"/>
                  <w:vMerge w:val="continue"/>
                  <w:vAlign w:val="center"/>
                </w:tcPr>
                <w:p w14:paraId="4A2EEE8B">
                  <w:pPr>
                    <w:pStyle w:val="83"/>
                    <w:rPr>
                      <w:rFonts w:hint="default"/>
                    </w:rPr>
                  </w:pPr>
                </w:p>
              </w:tc>
              <w:tc>
                <w:tcPr>
                  <w:tcW w:w="666" w:type="pct"/>
                  <w:vMerge w:val="continue"/>
                  <w:vAlign w:val="center"/>
                </w:tcPr>
                <w:p w14:paraId="05821AAC">
                  <w:pPr>
                    <w:pStyle w:val="83"/>
                    <w:rPr>
                      <w:rFonts w:hint="default"/>
                    </w:rPr>
                  </w:pPr>
                </w:p>
              </w:tc>
              <w:tc>
                <w:tcPr>
                  <w:tcW w:w="384" w:type="pct"/>
                  <w:vMerge w:val="continue"/>
                  <w:vAlign w:val="center"/>
                </w:tcPr>
                <w:p w14:paraId="6B45F998">
                  <w:pPr>
                    <w:pStyle w:val="83"/>
                    <w:rPr>
                      <w:rFonts w:hint="default"/>
                    </w:rPr>
                  </w:pPr>
                </w:p>
              </w:tc>
              <w:tc>
                <w:tcPr>
                  <w:tcW w:w="370" w:type="pct"/>
                  <w:vMerge w:val="continue"/>
                  <w:vAlign w:val="center"/>
                </w:tcPr>
                <w:p w14:paraId="76853680">
                  <w:pPr>
                    <w:pStyle w:val="83"/>
                    <w:rPr>
                      <w:rFonts w:hint="default"/>
                    </w:rPr>
                  </w:pPr>
                </w:p>
              </w:tc>
              <w:tc>
                <w:tcPr>
                  <w:tcW w:w="683" w:type="pct"/>
                  <w:vAlign w:val="center"/>
                </w:tcPr>
                <w:p w14:paraId="6F88B71F">
                  <w:pPr>
                    <w:pStyle w:val="83"/>
                    <w:rPr>
                      <w:rFonts w:hint="default"/>
                    </w:rPr>
                  </w:pPr>
                  <w:r>
                    <w:t>100</w:t>
                  </w:r>
                </w:p>
              </w:tc>
            </w:tr>
          </w:tbl>
          <w:p w14:paraId="1675E9A4">
            <w:pPr>
              <w:pStyle w:val="14"/>
              <w:spacing w:beforeAutospacing="0" w:after="0" w:afterAutospacing="0" w:line="276" w:lineRule="auto"/>
              <w:ind w:firstLine="420"/>
              <w:jc w:val="center"/>
              <w:outlineLvl w:val="0"/>
              <w:rPr>
                <w:rFonts w:ascii="Times New Roman" w:hAnsi="Times New Roman"/>
                <w:snapToGrid w:val="0"/>
                <w:sz w:val="21"/>
                <w:szCs w:val="30"/>
              </w:rPr>
            </w:pPr>
          </w:p>
        </w:tc>
      </w:tr>
    </w:tbl>
    <w:p w14:paraId="06832959">
      <w:pPr>
        <w:pStyle w:val="14"/>
        <w:ind w:firstLine="600"/>
        <w:jc w:val="center"/>
        <w:outlineLvl w:val="0"/>
        <w:rPr>
          <w:rFonts w:hint="eastAsia" w:ascii="黑体" w:hAnsi="黑体" w:eastAsia="黑体"/>
          <w:snapToGrid w:val="0"/>
          <w:sz w:val="30"/>
          <w:szCs w:val="30"/>
        </w:rPr>
        <w:sectPr>
          <w:pgSz w:w="23814" w:h="16839"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659"/>
        <w:gridCol w:w="8299"/>
      </w:tblGrid>
      <w:tr w14:paraId="0049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9" w:type="dxa"/>
            <w:vAlign w:val="center"/>
          </w:tcPr>
          <w:p w14:paraId="70D5F40D">
            <w:pPr>
              <w:pStyle w:val="14"/>
              <w:spacing w:before="0" w:beforeAutospacing="0" w:after="0" w:afterAutospacing="0"/>
              <w:ind w:firstLine="0" w:firstLineChars="0"/>
              <w:jc w:val="center"/>
              <w:outlineLvl w:val="0"/>
              <w:rPr>
                <w:rFonts w:hint="eastAsia"/>
                <w:snapToGrid w:val="0"/>
                <w:sz w:val="21"/>
                <w:szCs w:val="21"/>
              </w:rPr>
            </w:pPr>
            <w:r>
              <w:rPr>
                <w:rFonts w:hint="eastAsia"/>
                <w:snapToGrid w:val="0"/>
                <w:sz w:val="21"/>
                <w:szCs w:val="21"/>
              </w:rPr>
              <w:t>运营</w:t>
            </w:r>
          </w:p>
          <w:p w14:paraId="5B0083D1">
            <w:pPr>
              <w:pStyle w:val="14"/>
              <w:spacing w:before="0" w:beforeAutospacing="0" w:after="0" w:afterAutospacing="0"/>
              <w:ind w:firstLine="0" w:firstLineChars="0"/>
              <w:jc w:val="center"/>
              <w:outlineLvl w:val="0"/>
              <w:rPr>
                <w:rFonts w:hint="eastAsia"/>
                <w:snapToGrid w:val="0"/>
                <w:sz w:val="21"/>
                <w:szCs w:val="21"/>
              </w:rPr>
            </w:pPr>
            <w:r>
              <w:rPr>
                <w:rFonts w:hint="eastAsia"/>
                <w:snapToGrid w:val="0"/>
                <w:sz w:val="21"/>
                <w:szCs w:val="21"/>
              </w:rPr>
              <w:t>期环</w:t>
            </w:r>
          </w:p>
          <w:p w14:paraId="3DCDD4C0">
            <w:pPr>
              <w:pStyle w:val="14"/>
              <w:spacing w:before="0" w:beforeAutospacing="0" w:after="0" w:afterAutospacing="0"/>
              <w:ind w:firstLine="0" w:firstLineChars="0"/>
              <w:jc w:val="center"/>
              <w:outlineLvl w:val="0"/>
              <w:rPr>
                <w:rFonts w:hint="eastAsia"/>
                <w:snapToGrid w:val="0"/>
                <w:sz w:val="21"/>
                <w:szCs w:val="21"/>
              </w:rPr>
            </w:pPr>
            <w:r>
              <w:rPr>
                <w:rFonts w:hint="eastAsia"/>
                <w:snapToGrid w:val="0"/>
                <w:sz w:val="21"/>
                <w:szCs w:val="21"/>
              </w:rPr>
              <w:t>境影</w:t>
            </w:r>
          </w:p>
          <w:p w14:paraId="1C678BD7">
            <w:pPr>
              <w:pStyle w:val="14"/>
              <w:spacing w:before="0" w:beforeAutospacing="0" w:after="0" w:afterAutospacing="0"/>
              <w:ind w:firstLine="0" w:firstLineChars="0"/>
              <w:jc w:val="center"/>
              <w:outlineLvl w:val="0"/>
              <w:rPr>
                <w:rFonts w:hint="eastAsia"/>
                <w:snapToGrid w:val="0"/>
                <w:sz w:val="21"/>
                <w:szCs w:val="21"/>
              </w:rPr>
            </w:pPr>
            <w:r>
              <w:rPr>
                <w:rFonts w:hint="eastAsia"/>
                <w:snapToGrid w:val="0"/>
                <w:sz w:val="21"/>
                <w:szCs w:val="21"/>
              </w:rPr>
              <w:t>响和</w:t>
            </w:r>
          </w:p>
          <w:p w14:paraId="4B6C7286">
            <w:pPr>
              <w:pStyle w:val="14"/>
              <w:spacing w:before="0" w:beforeAutospacing="0" w:after="0" w:afterAutospacing="0"/>
              <w:ind w:firstLine="0" w:firstLineChars="0"/>
              <w:jc w:val="center"/>
              <w:outlineLvl w:val="0"/>
              <w:rPr>
                <w:rFonts w:hint="eastAsia"/>
                <w:snapToGrid w:val="0"/>
                <w:sz w:val="21"/>
                <w:szCs w:val="21"/>
              </w:rPr>
            </w:pPr>
            <w:r>
              <w:rPr>
                <w:rFonts w:hint="eastAsia"/>
                <w:snapToGrid w:val="0"/>
                <w:sz w:val="21"/>
                <w:szCs w:val="21"/>
              </w:rPr>
              <w:t>保护</w:t>
            </w:r>
          </w:p>
          <w:p w14:paraId="1A725A18">
            <w:pPr>
              <w:pStyle w:val="14"/>
              <w:spacing w:before="0" w:beforeAutospacing="0" w:after="0" w:afterAutospacing="0"/>
              <w:ind w:firstLine="0" w:firstLineChars="0"/>
              <w:jc w:val="center"/>
              <w:outlineLvl w:val="0"/>
              <w:rPr>
                <w:rFonts w:hint="eastAsia" w:ascii="黑体" w:hAnsi="黑体" w:eastAsia="黑体"/>
                <w:snapToGrid w:val="0"/>
                <w:sz w:val="21"/>
                <w:szCs w:val="21"/>
              </w:rPr>
            </w:pPr>
            <w:r>
              <w:rPr>
                <w:rFonts w:hint="eastAsia"/>
                <w:snapToGrid w:val="0"/>
                <w:sz w:val="21"/>
                <w:szCs w:val="21"/>
              </w:rPr>
              <w:t>措施</w:t>
            </w:r>
          </w:p>
        </w:tc>
        <w:tc>
          <w:tcPr>
            <w:tcW w:w="8299" w:type="dxa"/>
          </w:tcPr>
          <w:p w14:paraId="2FF71546">
            <w:pPr>
              <w:pStyle w:val="13"/>
            </w:pPr>
            <w:r>
              <w:rPr>
                <w:rFonts w:hint="eastAsia"/>
              </w:rPr>
              <w:t>表4.2-6  本次扩建废水污染物三本账一览表</w:t>
            </w:r>
          </w:p>
          <w:tbl>
            <w:tblPr>
              <w:tblStyle w:val="18"/>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79"/>
              <w:gridCol w:w="1106"/>
              <w:gridCol w:w="1266"/>
              <w:gridCol w:w="1210"/>
              <w:gridCol w:w="1215"/>
              <w:gridCol w:w="1215"/>
              <w:gridCol w:w="1091"/>
            </w:tblGrid>
            <w:tr w14:paraId="6B8081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Align w:val="center"/>
                </w:tcPr>
                <w:p w14:paraId="34F7EE01">
                  <w:pPr>
                    <w:pStyle w:val="83"/>
                    <w:rPr>
                      <w:rFonts w:hint="default"/>
                      <w:highlight w:val="none"/>
                    </w:rPr>
                  </w:pPr>
                  <w:r>
                    <w:rPr>
                      <w:highlight w:val="none"/>
                    </w:rPr>
                    <w:t>类别</w:t>
                  </w:r>
                </w:p>
              </w:tc>
              <w:tc>
                <w:tcPr>
                  <w:tcW w:w="1106" w:type="dxa"/>
                  <w:vAlign w:val="center"/>
                </w:tcPr>
                <w:p w14:paraId="26727275">
                  <w:pPr>
                    <w:pStyle w:val="83"/>
                    <w:rPr>
                      <w:rFonts w:hint="default"/>
                      <w:highlight w:val="none"/>
                    </w:rPr>
                  </w:pPr>
                  <w:r>
                    <w:rPr>
                      <w:highlight w:val="none"/>
                    </w:rPr>
                    <w:t>污染因子</w:t>
                  </w:r>
                </w:p>
              </w:tc>
              <w:tc>
                <w:tcPr>
                  <w:tcW w:w="1266" w:type="dxa"/>
                  <w:vAlign w:val="center"/>
                </w:tcPr>
                <w:p w14:paraId="0F9DC108">
                  <w:pPr>
                    <w:pStyle w:val="83"/>
                    <w:rPr>
                      <w:rFonts w:hint="default"/>
                      <w:highlight w:val="none"/>
                    </w:rPr>
                  </w:pPr>
                  <w:r>
                    <w:rPr>
                      <w:highlight w:val="none"/>
                    </w:rPr>
                    <w:t>单位</w:t>
                  </w:r>
                </w:p>
              </w:tc>
              <w:tc>
                <w:tcPr>
                  <w:tcW w:w="1210" w:type="dxa"/>
                  <w:vAlign w:val="center"/>
                </w:tcPr>
                <w:p w14:paraId="3203112C">
                  <w:pPr>
                    <w:pStyle w:val="83"/>
                    <w:rPr>
                      <w:rFonts w:hint="default"/>
                      <w:highlight w:val="none"/>
                    </w:rPr>
                  </w:pPr>
                  <w:r>
                    <w:rPr>
                      <w:highlight w:val="none"/>
                    </w:rPr>
                    <w:t>现有工程排放量</w:t>
                  </w:r>
                </w:p>
              </w:tc>
              <w:tc>
                <w:tcPr>
                  <w:tcW w:w="1215" w:type="dxa"/>
                  <w:vAlign w:val="center"/>
                </w:tcPr>
                <w:p w14:paraId="3F8B19A4">
                  <w:pPr>
                    <w:pStyle w:val="83"/>
                    <w:rPr>
                      <w:rFonts w:hint="default" w:eastAsia="宋体"/>
                      <w:highlight w:val="none"/>
                      <w:lang w:val="en-US" w:eastAsia="zh-CN"/>
                    </w:rPr>
                  </w:pPr>
                  <w:r>
                    <w:rPr>
                      <w:rFonts w:hint="eastAsia"/>
                      <w:highlight w:val="none"/>
                      <w:lang w:val="en-US" w:eastAsia="zh-CN"/>
                    </w:rPr>
                    <w:t>在建工程排放量</w:t>
                  </w:r>
                </w:p>
              </w:tc>
              <w:tc>
                <w:tcPr>
                  <w:tcW w:w="1215" w:type="dxa"/>
                  <w:vAlign w:val="center"/>
                </w:tcPr>
                <w:p w14:paraId="3AB6807A">
                  <w:pPr>
                    <w:pStyle w:val="83"/>
                    <w:rPr>
                      <w:rFonts w:hint="default"/>
                      <w:highlight w:val="none"/>
                    </w:rPr>
                  </w:pPr>
                  <w:r>
                    <w:rPr>
                      <w:highlight w:val="none"/>
                    </w:rPr>
                    <w:t>本工程新增排放量</w:t>
                  </w:r>
                </w:p>
              </w:tc>
              <w:tc>
                <w:tcPr>
                  <w:tcW w:w="1091" w:type="dxa"/>
                  <w:vAlign w:val="center"/>
                </w:tcPr>
                <w:p w14:paraId="066BAAB4">
                  <w:pPr>
                    <w:pStyle w:val="83"/>
                    <w:rPr>
                      <w:rFonts w:hint="default"/>
                      <w:highlight w:val="none"/>
                    </w:rPr>
                  </w:pPr>
                  <w:r>
                    <w:rPr>
                      <w:highlight w:val="none"/>
                    </w:rPr>
                    <w:t>扩建后全厂排放量</w:t>
                  </w:r>
                </w:p>
              </w:tc>
            </w:tr>
            <w:tr w14:paraId="4193F0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restart"/>
                  <w:vAlign w:val="center"/>
                </w:tcPr>
                <w:p w14:paraId="3C014B9A">
                  <w:pPr>
                    <w:pStyle w:val="83"/>
                    <w:rPr>
                      <w:rFonts w:hint="default"/>
                      <w:highlight w:val="none"/>
                    </w:rPr>
                  </w:pPr>
                  <w:r>
                    <w:rPr>
                      <w:highlight w:val="none"/>
                    </w:rPr>
                    <w:t>生活污水</w:t>
                  </w:r>
                </w:p>
              </w:tc>
              <w:tc>
                <w:tcPr>
                  <w:tcW w:w="1106" w:type="dxa"/>
                  <w:vAlign w:val="center"/>
                </w:tcPr>
                <w:p w14:paraId="18BE2598">
                  <w:pPr>
                    <w:pStyle w:val="83"/>
                    <w:rPr>
                      <w:rFonts w:hint="default"/>
                      <w:highlight w:val="none"/>
                    </w:rPr>
                  </w:pPr>
                  <w:r>
                    <w:rPr>
                      <w:highlight w:val="none"/>
                    </w:rPr>
                    <w:t>水量</w:t>
                  </w:r>
                </w:p>
              </w:tc>
              <w:tc>
                <w:tcPr>
                  <w:tcW w:w="1266" w:type="dxa"/>
                  <w:vAlign w:val="center"/>
                </w:tcPr>
                <w:p w14:paraId="51B4F91B">
                  <w:pPr>
                    <w:pStyle w:val="83"/>
                    <w:rPr>
                      <w:rFonts w:hint="default"/>
                      <w:highlight w:val="none"/>
                    </w:rPr>
                  </w:pPr>
                  <w:r>
                    <w:rPr>
                      <w:highlight w:val="none"/>
                    </w:rPr>
                    <w:t>万m</w:t>
                  </w:r>
                  <w:r>
                    <w:rPr>
                      <w:highlight w:val="none"/>
                      <w:vertAlign w:val="superscript"/>
                    </w:rPr>
                    <w:t>3</w:t>
                  </w:r>
                  <w:r>
                    <w:rPr>
                      <w:highlight w:val="none"/>
                    </w:rPr>
                    <w:t>/a</w:t>
                  </w:r>
                </w:p>
              </w:tc>
              <w:tc>
                <w:tcPr>
                  <w:tcW w:w="1210" w:type="dxa"/>
                  <w:vAlign w:val="center"/>
                </w:tcPr>
                <w:p w14:paraId="155CD088">
                  <w:pPr>
                    <w:pStyle w:val="83"/>
                    <w:rPr>
                      <w:rFonts w:hint="default"/>
                      <w:highlight w:val="none"/>
                      <w:lang w:val="en-US" w:eastAsia="zh-CN"/>
                    </w:rPr>
                  </w:pPr>
                  <w:r>
                    <w:rPr>
                      <w:rFonts w:hint="eastAsia"/>
                      <w:highlight w:val="none"/>
                      <w:lang w:val="en-US" w:eastAsia="zh-CN"/>
                    </w:rPr>
                    <w:t>7.88</w:t>
                  </w:r>
                </w:p>
              </w:tc>
              <w:tc>
                <w:tcPr>
                  <w:tcW w:w="1215" w:type="dxa"/>
                  <w:vAlign w:val="center"/>
                </w:tcPr>
                <w:p w14:paraId="0BFFD87A">
                  <w:pPr>
                    <w:pStyle w:val="83"/>
                    <w:rPr>
                      <w:rFonts w:hint="default" w:eastAsia="宋体"/>
                      <w:highlight w:val="none"/>
                      <w:lang w:val="en-US" w:eastAsia="zh-CN"/>
                    </w:rPr>
                  </w:pPr>
                  <w:r>
                    <w:rPr>
                      <w:rFonts w:hint="eastAsia"/>
                      <w:highlight w:val="none"/>
                      <w:lang w:val="en-US" w:eastAsia="zh-CN"/>
                    </w:rPr>
                    <w:t>0.79</w:t>
                  </w:r>
                </w:p>
              </w:tc>
              <w:tc>
                <w:tcPr>
                  <w:tcW w:w="1215" w:type="dxa"/>
                  <w:vAlign w:val="center"/>
                </w:tcPr>
                <w:p w14:paraId="7DEE100F">
                  <w:pPr>
                    <w:pStyle w:val="83"/>
                    <w:rPr>
                      <w:rFonts w:hint="default"/>
                      <w:highlight w:val="none"/>
                    </w:rPr>
                  </w:pPr>
                  <w:r>
                    <w:rPr>
                      <w:highlight w:val="none"/>
                    </w:rPr>
                    <w:t>0.24</w:t>
                  </w:r>
                </w:p>
              </w:tc>
              <w:tc>
                <w:tcPr>
                  <w:tcW w:w="1091" w:type="dxa"/>
                  <w:vAlign w:val="center"/>
                </w:tcPr>
                <w:p w14:paraId="30EAFA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8.91</w:t>
                  </w:r>
                </w:p>
              </w:tc>
            </w:tr>
            <w:tr w14:paraId="752442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637088EA">
                  <w:pPr>
                    <w:pStyle w:val="83"/>
                    <w:rPr>
                      <w:rFonts w:hint="default"/>
                      <w:highlight w:val="none"/>
                    </w:rPr>
                  </w:pPr>
                </w:p>
              </w:tc>
              <w:tc>
                <w:tcPr>
                  <w:tcW w:w="1106" w:type="dxa"/>
                  <w:vAlign w:val="center"/>
                </w:tcPr>
                <w:p w14:paraId="6F41722A">
                  <w:pPr>
                    <w:pStyle w:val="83"/>
                    <w:rPr>
                      <w:rFonts w:hint="default"/>
                      <w:highlight w:val="none"/>
                    </w:rPr>
                  </w:pPr>
                  <w:r>
                    <w:rPr>
                      <w:highlight w:val="none"/>
                    </w:rPr>
                    <w:t>COD</w:t>
                  </w:r>
                </w:p>
              </w:tc>
              <w:tc>
                <w:tcPr>
                  <w:tcW w:w="1266" w:type="dxa"/>
                  <w:vAlign w:val="center"/>
                </w:tcPr>
                <w:p w14:paraId="3CC5AA72">
                  <w:pPr>
                    <w:pStyle w:val="83"/>
                    <w:rPr>
                      <w:rFonts w:hint="default"/>
                      <w:highlight w:val="none"/>
                    </w:rPr>
                  </w:pPr>
                  <w:r>
                    <w:rPr>
                      <w:highlight w:val="none"/>
                    </w:rPr>
                    <w:t>t/a</w:t>
                  </w:r>
                </w:p>
              </w:tc>
              <w:tc>
                <w:tcPr>
                  <w:tcW w:w="1210" w:type="dxa"/>
                  <w:vAlign w:val="center"/>
                </w:tcPr>
                <w:p w14:paraId="0628B48E">
                  <w:pPr>
                    <w:pStyle w:val="83"/>
                    <w:rPr>
                      <w:rFonts w:hint="default" w:eastAsia="宋体"/>
                      <w:highlight w:val="none"/>
                      <w:lang w:val="en-US" w:eastAsia="zh-CN"/>
                    </w:rPr>
                  </w:pPr>
                  <w:r>
                    <w:rPr>
                      <w:rFonts w:hint="eastAsia"/>
                      <w:highlight w:val="none"/>
                      <w:lang w:val="en-US" w:eastAsia="zh-CN"/>
                    </w:rPr>
                    <w:t>23.64</w:t>
                  </w:r>
                </w:p>
              </w:tc>
              <w:tc>
                <w:tcPr>
                  <w:tcW w:w="1215" w:type="dxa"/>
                  <w:vAlign w:val="center"/>
                </w:tcPr>
                <w:p w14:paraId="6FCD72A0">
                  <w:pPr>
                    <w:pStyle w:val="83"/>
                    <w:rPr>
                      <w:rFonts w:hint="default" w:eastAsia="宋体"/>
                      <w:highlight w:val="none"/>
                      <w:lang w:val="en-US" w:eastAsia="zh-CN"/>
                    </w:rPr>
                  </w:pPr>
                  <w:r>
                    <w:rPr>
                      <w:rFonts w:hint="eastAsia"/>
                      <w:highlight w:val="none"/>
                      <w:lang w:val="en-US" w:eastAsia="zh-CN"/>
                    </w:rPr>
                    <w:t>2.38</w:t>
                  </w:r>
                </w:p>
              </w:tc>
              <w:tc>
                <w:tcPr>
                  <w:tcW w:w="1215" w:type="dxa"/>
                  <w:vAlign w:val="center"/>
                </w:tcPr>
                <w:p w14:paraId="62A35698">
                  <w:pPr>
                    <w:pStyle w:val="83"/>
                    <w:rPr>
                      <w:rFonts w:hint="default" w:eastAsia="宋体"/>
                      <w:highlight w:val="none"/>
                      <w:lang w:val="en-US" w:eastAsia="zh-CN"/>
                    </w:rPr>
                  </w:pPr>
                  <w:r>
                    <w:rPr>
                      <w:rFonts w:hint="eastAsia"/>
                      <w:highlight w:val="none"/>
                      <w:lang w:val="en-US" w:eastAsia="zh-CN"/>
                    </w:rPr>
                    <w:t>0.96</w:t>
                  </w:r>
                </w:p>
              </w:tc>
              <w:tc>
                <w:tcPr>
                  <w:tcW w:w="1091" w:type="dxa"/>
                  <w:vAlign w:val="center"/>
                </w:tcPr>
                <w:p w14:paraId="2F3DE9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26.98</w:t>
                  </w:r>
                </w:p>
              </w:tc>
            </w:tr>
            <w:tr w14:paraId="3E6640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0B233001">
                  <w:pPr>
                    <w:pStyle w:val="83"/>
                    <w:rPr>
                      <w:rFonts w:hint="default"/>
                      <w:highlight w:val="none"/>
                    </w:rPr>
                  </w:pPr>
                </w:p>
              </w:tc>
              <w:tc>
                <w:tcPr>
                  <w:tcW w:w="1106" w:type="dxa"/>
                  <w:vAlign w:val="center"/>
                </w:tcPr>
                <w:p w14:paraId="5FF54A23">
                  <w:pPr>
                    <w:pStyle w:val="83"/>
                    <w:rPr>
                      <w:rFonts w:hint="default"/>
                      <w:highlight w:val="none"/>
                    </w:rPr>
                  </w:pPr>
                  <w:r>
                    <w:rPr>
                      <w:highlight w:val="none"/>
                    </w:rPr>
                    <w:t>BOD</w:t>
                  </w:r>
                  <w:r>
                    <w:rPr>
                      <w:highlight w:val="none"/>
                      <w:vertAlign w:val="subscript"/>
                    </w:rPr>
                    <w:t>5</w:t>
                  </w:r>
                </w:p>
              </w:tc>
              <w:tc>
                <w:tcPr>
                  <w:tcW w:w="1266" w:type="dxa"/>
                  <w:vAlign w:val="center"/>
                </w:tcPr>
                <w:p w14:paraId="602A0E42">
                  <w:pPr>
                    <w:pStyle w:val="83"/>
                    <w:rPr>
                      <w:rFonts w:hint="default"/>
                      <w:highlight w:val="none"/>
                    </w:rPr>
                  </w:pPr>
                  <w:r>
                    <w:rPr>
                      <w:highlight w:val="none"/>
                    </w:rPr>
                    <w:t>t/a</w:t>
                  </w:r>
                </w:p>
              </w:tc>
              <w:tc>
                <w:tcPr>
                  <w:tcW w:w="1210" w:type="dxa"/>
                  <w:vAlign w:val="center"/>
                </w:tcPr>
                <w:p w14:paraId="4871E93F">
                  <w:pPr>
                    <w:pStyle w:val="83"/>
                    <w:rPr>
                      <w:rFonts w:hint="default" w:eastAsia="宋体"/>
                      <w:highlight w:val="none"/>
                      <w:lang w:val="en-US" w:eastAsia="zh-CN"/>
                    </w:rPr>
                  </w:pPr>
                  <w:r>
                    <w:rPr>
                      <w:rFonts w:hint="eastAsia"/>
                      <w:highlight w:val="none"/>
                      <w:lang w:val="en-US" w:eastAsia="zh-CN"/>
                    </w:rPr>
                    <w:t>13.4</w:t>
                  </w:r>
                </w:p>
              </w:tc>
              <w:tc>
                <w:tcPr>
                  <w:tcW w:w="1215" w:type="dxa"/>
                  <w:vAlign w:val="center"/>
                </w:tcPr>
                <w:p w14:paraId="65145285">
                  <w:pPr>
                    <w:pStyle w:val="83"/>
                    <w:rPr>
                      <w:rFonts w:hint="default" w:eastAsia="宋体"/>
                      <w:highlight w:val="none"/>
                      <w:lang w:val="en-US" w:eastAsia="zh-CN"/>
                    </w:rPr>
                  </w:pPr>
                  <w:r>
                    <w:rPr>
                      <w:rFonts w:hint="eastAsia"/>
                      <w:highlight w:val="none"/>
                      <w:lang w:val="en-US" w:eastAsia="zh-CN"/>
                    </w:rPr>
                    <w:t>1.35</w:t>
                  </w:r>
                </w:p>
              </w:tc>
              <w:tc>
                <w:tcPr>
                  <w:tcW w:w="1215" w:type="dxa"/>
                  <w:vAlign w:val="center"/>
                </w:tcPr>
                <w:p w14:paraId="550DE59C">
                  <w:pPr>
                    <w:pStyle w:val="83"/>
                    <w:rPr>
                      <w:rFonts w:hint="default" w:eastAsia="宋体"/>
                      <w:highlight w:val="none"/>
                      <w:lang w:val="en-US" w:eastAsia="zh-CN"/>
                    </w:rPr>
                  </w:pPr>
                  <w:r>
                    <w:rPr>
                      <w:rFonts w:hint="eastAsia"/>
                      <w:highlight w:val="none"/>
                      <w:lang w:val="en-US" w:eastAsia="zh-CN"/>
                    </w:rPr>
                    <w:t>0.48</w:t>
                  </w:r>
                </w:p>
              </w:tc>
              <w:tc>
                <w:tcPr>
                  <w:tcW w:w="1091" w:type="dxa"/>
                  <w:vAlign w:val="center"/>
                </w:tcPr>
                <w:p w14:paraId="112E75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15.23</w:t>
                  </w:r>
                </w:p>
              </w:tc>
            </w:tr>
            <w:tr w14:paraId="19244E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73CBEEDB">
                  <w:pPr>
                    <w:pStyle w:val="83"/>
                    <w:rPr>
                      <w:rFonts w:hint="default"/>
                      <w:highlight w:val="none"/>
                    </w:rPr>
                  </w:pPr>
                </w:p>
              </w:tc>
              <w:tc>
                <w:tcPr>
                  <w:tcW w:w="1106" w:type="dxa"/>
                  <w:vAlign w:val="center"/>
                </w:tcPr>
                <w:p w14:paraId="719748BB">
                  <w:pPr>
                    <w:pStyle w:val="83"/>
                    <w:rPr>
                      <w:rFonts w:hint="default"/>
                      <w:highlight w:val="none"/>
                    </w:rPr>
                  </w:pPr>
                  <w:r>
                    <w:rPr>
                      <w:highlight w:val="none"/>
                    </w:rPr>
                    <w:t>SS</w:t>
                  </w:r>
                </w:p>
              </w:tc>
              <w:tc>
                <w:tcPr>
                  <w:tcW w:w="1266" w:type="dxa"/>
                  <w:vAlign w:val="center"/>
                </w:tcPr>
                <w:p w14:paraId="53CE33D4">
                  <w:pPr>
                    <w:pStyle w:val="83"/>
                    <w:rPr>
                      <w:rFonts w:hint="default"/>
                      <w:highlight w:val="none"/>
                    </w:rPr>
                  </w:pPr>
                  <w:r>
                    <w:rPr>
                      <w:highlight w:val="none"/>
                    </w:rPr>
                    <w:t>t/a</w:t>
                  </w:r>
                </w:p>
              </w:tc>
              <w:tc>
                <w:tcPr>
                  <w:tcW w:w="1210" w:type="dxa"/>
                  <w:vAlign w:val="center"/>
                </w:tcPr>
                <w:p w14:paraId="28A73CA2">
                  <w:pPr>
                    <w:pStyle w:val="83"/>
                    <w:rPr>
                      <w:rFonts w:hint="default" w:eastAsia="宋体"/>
                      <w:highlight w:val="none"/>
                      <w:lang w:val="en-US" w:eastAsia="zh-CN"/>
                    </w:rPr>
                  </w:pPr>
                  <w:r>
                    <w:rPr>
                      <w:rFonts w:hint="eastAsia"/>
                      <w:highlight w:val="none"/>
                      <w:lang w:val="en-US" w:eastAsia="zh-CN"/>
                    </w:rPr>
                    <w:t>12.14</w:t>
                  </w:r>
                </w:p>
              </w:tc>
              <w:tc>
                <w:tcPr>
                  <w:tcW w:w="1215" w:type="dxa"/>
                  <w:vAlign w:val="center"/>
                </w:tcPr>
                <w:p w14:paraId="27AADC52">
                  <w:pPr>
                    <w:pStyle w:val="83"/>
                    <w:rPr>
                      <w:rFonts w:hint="default" w:eastAsia="宋体"/>
                      <w:highlight w:val="none"/>
                      <w:lang w:val="en-US" w:eastAsia="zh-CN"/>
                    </w:rPr>
                  </w:pPr>
                  <w:r>
                    <w:rPr>
                      <w:rFonts w:hint="eastAsia"/>
                      <w:highlight w:val="none"/>
                      <w:lang w:val="en-US" w:eastAsia="zh-CN"/>
                    </w:rPr>
                    <w:t>1.22</w:t>
                  </w:r>
                </w:p>
              </w:tc>
              <w:tc>
                <w:tcPr>
                  <w:tcW w:w="1215" w:type="dxa"/>
                  <w:vAlign w:val="center"/>
                </w:tcPr>
                <w:p w14:paraId="32CDECEB">
                  <w:pPr>
                    <w:pStyle w:val="83"/>
                    <w:rPr>
                      <w:rFonts w:hint="default" w:eastAsia="宋体"/>
                      <w:highlight w:val="none"/>
                      <w:lang w:val="en-US" w:eastAsia="zh-CN"/>
                    </w:rPr>
                  </w:pPr>
                  <w:r>
                    <w:rPr>
                      <w:rFonts w:hint="eastAsia"/>
                      <w:highlight w:val="none"/>
                      <w:lang w:val="en-US" w:eastAsia="zh-CN"/>
                    </w:rPr>
                    <w:t>0.53</w:t>
                  </w:r>
                </w:p>
              </w:tc>
              <w:tc>
                <w:tcPr>
                  <w:tcW w:w="1091" w:type="dxa"/>
                  <w:vAlign w:val="center"/>
                </w:tcPr>
                <w:p w14:paraId="2106B3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13.89</w:t>
                  </w:r>
                </w:p>
              </w:tc>
            </w:tr>
            <w:tr w14:paraId="462264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20E513AB">
                  <w:pPr>
                    <w:pStyle w:val="83"/>
                    <w:rPr>
                      <w:rFonts w:hint="default"/>
                      <w:highlight w:val="none"/>
                    </w:rPr>
                  </w:pPr>
                </w:p>
              </w:tc>
              <w:tc>
                <w:tcPr>
                  <w:tcW w:w="1106" w:type="dxa"/>
                  <w:vAlign w:val="center"/>
                </w:tcPr>
                <w:p w14:paraId="0F304850">
                  <w:pPr>
                    <w:pStyle w:val="83"/>
                    <w:rPr>
                      <w:rFonts w:hint="default"/>
                      <w:highlight w:val="none"/>
                    </w:rPr>
                  </w:pPr>
                  <w:r>
                    <w:rPr>
                      <w:highlight w:val="none"/>
                    </w:rPr>
                    <w:t>氨氮</w:t>
                  </w:r>
                </w:p>
              </w:tc>
              <w:tc>
                <w:tcPr>
                  <w:tcW w:w="1266" w:type="dxa"/>
                  <w:vAlign w:val="center"/>
                </w:tcPr>
                <w:p w14:paraId="4A52D996">
                  <w:pPr>
                    <w:pStyle w:val="83"/>
                    <w:rPr>
                      <w:rFonts w:hint="default"/>
                      <w:highlight w:val="none"/>
                    </w:rPr>
                  </w:pPr>
                  <w:r>
                    <w:rPr>
                      <w:highlight w:val="none"/>
                    </w:rPr>
                    <w:t>t/a</w:t>
                  </w:r>
                </w:p>
              </w:tc>
              <w:tc>
                <w:tcPr>
                  <w:tcW w:w="1210" w:type="dxa"/>
                  <w:vAlign w:val="center"/>
                </w:tcPr>
                <w:p w14:paraId="677235FE">
                  <w:pPr>
                    <w:pStyle w:val="83"/>
                    <w:rPr>
                      <w:rFonts w:hint="default" w:eastAsia="宋体"/>
                      <w:highlight w:val="none"/>
                      <w:lang w:val="en-US" w:eastAsia="zh-CN"/>
                    </w:rPr>
                  </w:pPr>
                  <w:r>
                    <w:rPr>
                      <w:rFonts w:hint="eastAsia"/>
                      <w:highlight w:val="none"/>
                      <w:lang w:val="en-US" w:eastAsia="zh-CN"/>
                    </w:rPr>
                    <w:t>2.6</w:t>
                  </w:r>
                </w:p>
              </w:tc>
              <w:tc>
                <w:tcPr>
                  <w:tcW w:w="1215" w:type="dxa"/>
                  <w:vAlign w:val="center"/>
                </w:tcPr>
                <w:p w14:paraId="6DA164BD">
                  <w:pPr>
                    <w:pStyle w:val="83"/>
                    <w:rPr>
                      <w:rFonts w:hint="default" w:eastAsia="宋体"/>
                      <w:highlight w:val="none"/>
                      <w:lang w:val="en-US" w:eastAsia="zh-CN"/>
                    </w:rPr>
                  </w:pPr>
                  <w:r>
                    <w:rPr>
                      <w:rFonts w:hint="eastAsia"/>
                      <w:highlight w:val="none"/>
                      <w:lang w:val="en-US" w:eastAsia="zh-CN"/>
                    </w:rPr>
                    <w:t>0.27</w:t>
                  </w:r>
                </w:p>
              </w:tc>
              <w:tc>
                <w:tcPr>
                  <w:tcW w:w="1215" w:type="dxa"/>
                  <w:vAlign w:val="center"/>
                </w:tcPr>
                <w:p w14:paraId="238E3DB2">
                  <w:pPr>
                    <w:pStyle w:val="83"/>
                    <w:rPr>
                      <w:rFonts w:hint="default" w:eastAsia="宋体"/>
                      <w:highlight w:val="none"/>
                      <w:lang w:val="en-US" w:eastAsia="zh-CN"/>
                    </w:rPr>
                  </w:pPr>
                  <w:r>
                    <w:rPr>
                      <w:rFonts w:hint="eastAsia"/>
                      <w:highlight w:val="none"/>
                      <w:lang w:val="en-US" w:eastAsia="zh-CN"/>
                    </w:rPr>
                    <w:t>0.084</w:t>
                  </w:r>
                </w:p>
              </w:tc>
              <w:tc>
                <w:tcPr>
                  <w:tcW w:w="1091" w:type="dxa"/>
                  <w:vAlign w:val="center"/>
                </w:tcPr>
                <w:p w14:paraId="22E1A9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2.954</w:t>
                  </w:r>
                </w:p>
              </w:tc>
            </w:tr>
            <w:tr w14:paraId="4AEEBA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restart"/>
                  <w:vAlign w:val="center"/>
                </w:tcPr>
                <w:p w14:paraId="30776D74">
                  <w:pPr>
                    <w:pStyle w:val="83"/>
                    <w:rPr>
                      <w:rFonts w:hint="default"/>
                      <w:highlight w:val="none"/>
                    </w:rPr>
                  </w:pPr>
                  <w:r>
                    <w:rPr>
                      <w:highlight w:val="none"/>
                    </w:rPr>
                    <w:t>生产废水</w:t>
                  </w:r>
                </w:p>
              </w:tc>
              <w:tc>
                <w:tcPr>
                  <w:tcW w:w="1106" w:type="dxa"/>
                  <w:vAlign w:val="center"/>
                </w:tcPr>
                <w:p w14:paraId="70AECFE2">
                  <w:pPr>
                    <w:pStyle w:val="83"/>
                    <w:rPr>
                      <w:rFonts w:hint="default"/>
                      <w:highlight w:val="none"/>
                    </w:rPr>
                  </w:pPr>
                  <w:r>
                    <w:rPr>
                      <w:highlight w:val="none"/>
                    </w:rPr>
                    <w:t>水量</w:t>
                  </w:r>
                </w:p>
              </w:tc>
              <w:tc>
                <w:tcPr>
                  <w:tcW w:w="1266" w:type="dxa"/>
                  <w:vAlign w:val="center"/>
                </w:tcPr>
                <w:p w14:paraId="7D69FBA5">
                  <w:pPr>
                    <w:pStyle w:val="83"/>
                    <w:rPr>
                      <w:rFonts w:hint="default"/>
                      <w:highlight w:val="none"/>
                    </w:rPr>
                  </w:pPr>
                  <w:r>
                    <w:rPr>
                      <w:highlight w:val="none"/>
                    </w:rPr>
                    <w:t>万m</w:t>
                  </w:r>
                  <w:r>
                    <w:rPr>
                      <w:highlight w:val="none"/>
                      <w:vertAlign w:val="superscript"/>
                    </w:rPr>
                    <w:t>3</w:t>
                  </w:r>
                  <w:r>
                    <w:rPr>
                      <w:highlight w:val="none"/>
                    </w:rPr>
                    <w:t>/a</w:t>
                  </w:r>
                </w:p>
              </w:tc>
              <w:tc>
                <w:tcPr>
                  <w:tcW w:w="1210" w:type="dxa"/>
                  <w:vAlign w:val="center"/>
                </w:tcPr>
                <w:p w14:paraId="65E7F488">
                  <w:pPr>
                    <w:pStyle w:val="83"/>
                    <w:rPr>
                      <w:rFonts w:hint="default" w:eastAsia="宋体"/>
                      <w:highlight w:val="none"/>
                      <w:lang w:val="en-US" w:eastAsia="zh-CN"/>
                    </w:rPr>
                  </w:pPr>
                  <w:r>
                    <w:rPr>
                      <w:rFonts w:hint="eastAsia"/>
                      <w:highlight w:val="none"/>
                      <w:lang w:val="en-US" w:eastAsia="zh-CN"/>
                    </w:rPr>
                    <w:t>10.23</w:t>
                  </w:r>
                </w:p>
              </w:tc>
              <w:tc>
                <w:tcPr>
                  <w:tcW w:w="1215" w:type="dxa"/>
                  <w:vAlign w:val="center"/>
                </w:tcPr>
                <w:p w14:paraId="389A119B">
                  <w:pPr>
                    <w:pStyle w:val="83"/>
                    <w:rPr>
                      <w:rFonts w:hint="default" w:eastAsia="宋体"/>
                      <w:highlight w:val="none"/>
                      <w:lang w:val="en-US" w:eastAsia="zh-CN"/>
                    </w:rPr>
                  </w:pPr>
                  <w:r>
                    <w:rPr>
                      <w:rFonts w:hint="eastAsia"/>
                      <w:highlight w:val="none"/>
                      <w:lang w:val="en-US" w:eastAsia="zh-CN"/>
                    </w:rPr>
                    <w:t>0.87</w:t>
                  </w:r>
                </w:p>
              </w:tc>
              <w:tc>
                <w:tcPr>
                  <w:tcW w:w="1215" w:type="dxa"/>
                  <w:vAlign w:val="center"/>
                </w:tcPr>
                <w:p w14:paraId="0E9CEE89">
                  <w:pPr>
                    <w:pStyle w:val="83"/>
                    <w:rPr>
                      <w:rFonts w:hint="default"/>
                      <w:highlight w:val="none"/>
                    </w:rPr>
                  </w:pPr>
                  <w:r>
                    <w:rPr>
                      <w:highlight w:val="none"/>
                    </w:rPr>
                    <w:t>0.45</w:t>
                  </w:r>
                </w:p>
              </w:tc>
              <w:tc>
                <w:tcPr>
                  <w:tcW w:w="1091" w:type="dxa"/>
                  <w:vAlign w:val="center"/>
                </w:tcPr>
                <w:p w14:paraId="3577AB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11.55</w:t>
                  </w:r>
                </w:p>
              </w:tc>
            </w:tr>
            <w:tr w14:paraId="1660AF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4363B932">
                  <w:pPr>
                    <w:pStyle w:val="83"/>
                    <w:rPr>
                      <w:rFonts w:hint="default"/>
                      <w:highlight w:val="none"/>
                    </w:rPr>
                  </w:pPr>
                </w:p>
              </w:tc>
              <w:tc>
                <w:tcPr>
                  <w:tcW w:w="1106" w:type="dxa"/>
                  <w:vAlign w:val="center"/>
                </w:tcPr>
                <w:p w14:paraId="63C48968">
                  <w:pPr>
                    <w:pStyle w:val="83"/>
                    <w:rPr>
                      <w:rFonts w:hint="default"/>
                      <w:highlight w:val="none"/>
                    </w:rPr>
                  </w:pPr>
                  <w:r>
                    <w:rPr>
                      <w:highlight w:val="none"/>
                    </w:rPr>
                    <w:t>COD</w:t>
                  </w:r>
                </w:p>
              </w:tc>
              <w:tc>
                <w:tcPr>
                  <w:tcW w:w="1266" w:type="dxa"/>
                  <w:vAlign w:val="center"/>
                </w:tcPr>
                <w:p w14:paraId="05D8373F">
                  <w:pPr>
                    <w:pStyle w:val="83"/>
                    <w:rPr>
                      <w:rFonts w:hint="default"/>
                      <w:highlight w:val="none"/>
                    </w:rPr>
                  </w:pPr>
                  <w:r>
                    <w:rPr>
                      <w:highlight w:val="none"/>
                    </w:rPr>
                    <w:t>t/a</w:t>
                  </w:r>
                </w:p>
              </w:tc>
              <w:tc>
                <w:tcPr>
                  <w:tcW w:w="1210" w:type="dxa"/>
                  <w:vAlign w:val="center"/>
                </w:tcPr>
                <w:p w14:paraId="52CC24E8">
                  <w:pPr>
                    <w:pStyle w:val="83"/>
                    <w:rPr>
                      <w:rFonts w:hint="default" w:eastAsia="宋体"/>
                      <w:highlight w:val="none"/>
                      <w:lang w:val="en-US" w:eastAsia="zh-CN"/>
                    </w:rPr>
                  </w:pPr>
                  <w:r>
                    <w:rPr>
                      <w:rFonts w:hint="eastAsia"/>
                      <w:highlight w:val="none"/>
                      <w:lang w:val="en-US" w:eastAsia="zh-CN"/>
                    </w:rPr>
                    <w:t>7.71</w:t>
                  </w:r>
                </w:p>
              </w:tc>
              <w:tc>
                <w:tcPr>
                  <w:tcW w:w="1215" w:type="dxa"/>
                  <w:vAlign w:val="center"/>
                </w:tcPr>
                <w:p w14:paraId="67737EB6">
                  <w:pPr>
                    <w:pStyle w:val="83"/>
                    <w:rPr>
                      <w:rFonts w:hint="default" w:eastAsia="宋体"/>
                      <w:highlight w:val="none"/>
                      <w:lang w:val="en-US" w:eastAsia="zh-CN"/>
                    </w:rPr>
                  </w:pPr>
                  <w:r>
                    <w:rPr>
                      <w:rFonts w:hint="eastAsia"/>
                      <w:highlight w:val="none"/>
                      <w:lang w:val="en-US" w:eastAsia="zh-CN"/>
                    </w:rPr>
                    <w:t>0.392</w:t>
                  </w:r>
                </w:p>
              </w:tc>
              <w:tc>
                <w:tcPr>
                  <w:tcW w:w="1215" w:type="dxa"/>
                  <w:vAlign w:val="center"/>
                </w:tcPr>
                <w:p w14:paraId="7CB0BAE2">
                  <w:pPr>
                    <w:pStyle w:val="83"/>
                    <w:rPr>
                      <w:rFonts w:hint="default" w:eastAsia="宋体"/>
                      <w:highlight w:val="none"/>
                      <w:lang w:val="en-US" w:eastAsia="zh-CN"/>
                    </w:rPr>
                  </w:pPr>
                  <w:r>
                    <w:rPr>
                      <w:rFonts w:hint="eastAsia"/>
                      <w:highlight w:val="none"/>
                      <w:lang w:val="en-US" w:eastAsia="zh-CN"/>
                    </w:rPr>
                    <w:t>0.3</w:t>
                  </w:r>
                </w:p>
              </w:tc>
              <w:tc>
                <w:tcPr>
                  <w:tcW w:w="1091" w:type="dxa"/>
                  <w:vAlign w:val="center"/>
                </w:tcPr>
                <w:p w14:paraId="22FE71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8.402</w:t>
                  </w:r>
                </w:p>
              </w:tc>
            </w:tr>
            <w:tr w14:paraId="4E4696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163975CE">
                  <w:pPr>
                    <w:pStyle w:val="83"/>
                    <w:rPr>
                      <w:rFonts w:hint="default"/>
                      <w:highlight w:val="none"/>
                    </w:rPr>
                  </w:pPr>
                </w:p>
              </w:tc>
              <w:tc>
                <w:tcPr>
                  <w:tcW w:w="1106" w:type="dxa"/>
                  <w:vAlign w:val="center"/>
                </w:tcPr>
                <w:p w14:paraId="35690B12">
                  <w:pPr>
                    <w:pStyle w:val="83"/>
                    <w:rPr>
                      <w:rFonts w:hint="default"/>
                      <w:highlight w:val="none"/>
                    </w:rPr>
                  </w:pPr>
                  <w:r>
                    <w:rPr>
                      <w:highlight w:val="none"/>
                    </w:rPr>
                    <w:t>BOD</w:t>
                  </w:r>
                  <w:r>
                    <w:rPr>
                      <w:highlight w:val="none"/>
                      <w:vertAlign w:val="subscript"/>
                    </w:rPr>
                    <w:t>5</w:t>
                  </w:r>
                </w:p>
              </w:tc>
              <w:tc>
                <w:tcPr>
                  <w:tcW w:w="1266" w:type="dxa"/>
                  <w:vAlign w:val="center"/>
                </w:tcPr>
                <w:p w14:paraId="19DA83F6">
                  <w:pPr>
                    <w:pStyle w:val="83"/>
                    <w:rPr>
                      <w:rFonts w:hint="default"/>
                      <w:highlight w:val="none"/>
                    </w:rPr>
                  </w:pPr>
                  <w:r>
                    <w:rPr>
                      <w:highlight w:val="none"/>
                    </w:rPr>
                    <w:t>t/a</w:t>
                  </w:r>
                </w:p>
              </w:tc>
              <w:tc>
                <w:tcPr>
                  <w:tcW w:w="1210" w:type="dxa"/>
                  <w:vAlign w:val="center"/>
                </w:tcPr>
                <w:p w14:paraId="6F0546B6">
                  <w:pPr>
                    <w:pStyle w:val="83"/>
                    <w:rPr>
                      <w:rFonts w:hint="default" w:eastAsia="宋体"/>
                      <w:highlight w:val="none"/>
                      <w:lang w:val="en-US" w:eastAsia="zh-CN"/>
                    </w:rPr>
                  </w:pPr>
                  <w:r>
                    <w:rPr>
                      <w:rFonts w:hint="eastAsia"/>
                      <w:highlight w:val="none"/>
                      <w:lang w:val="en-US" w:eastAsia="zh-CN"/>
                    </w:rPr>
                    <w:t>1.53</w:t>
                  </w:r>
                </w:p>
              </w:tc>
              <w:tc>
                <w:tcPr>
                  <w:tcW w:w="1215" w:type="dxa"/>
                  <w:vAlign w:val="center"/>
                </w:tcPr>
                <w:p w14:paraId="64AC0B51">
                  <w:pPr>
                    <w:pStyle w:val="83"/>
                    <w:rPr>
                      <w:rFonts w:hint="default" w:eastAsia="宋体"/>
                      <w:highlight w:val="none"/>
                      <w:lang w:val="en-US" w:eastAsia="zh-CN"/>
                    </w:rPr>
                  </w:pPr>
                  <w:r>
                    <w:rPr>
                      <w:rFonts w:hint="eastAsia"/>
                      <w:highlight w:val="none"/>
                      <w:lang w:val="en-US" w:eastAsia="zh-CN"/>
                    </w:rPr>
                    <w:t>0.131</w:t>
                  </w:r>
                </w:p>
              </w:tc>
              <w:tc>
                <w:tcPr>
                  <w:tcW w:w="1215" w:type="dxa"/>
                  <w:vAlign w:val="center"/>
                </w:tcPr>
                <w:p w14:paraId="3876A5DC">
                  <w:pPr>
                    <w:pStyle w:val="83"/>
                    <w:rPr>
                      <w:rFonts w:hint="default" w:eastAsia="宋体"/>
                      <w:highlight w:val="none"/>
                      <w:lang w:val="en-US" w:eastAsia="zh-CN"/>
                    </w:rPr>
                  </w:pPr>
                  <w:r>
                    <w:rPr>
                      <w:rFonts w:hint="eastAsia"/>
                      <w:highlight w:val="none"/>
                      <w:lang w:val="en-US" w:eastAsia="zh-CN"/>
                    </w:rPr>
                    <w:t>0.16</w:t>
                  </w:r>
                </w:p>
              </w:tc>
              <w:tc>
                <w:tcPr>
                  <w:tcW w:w="1091" w:type="dxa"/>
                  <w:vAlign w:val="center"/>
                </w:tcPr>
                <w:p w14:paraId="3AC5B8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1.821</w:t>
                  </w:r>
                </w:p>
              </w:tc>
            </w:tr>
            <w:tr w14:paraId="223294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04F92DDA">
                  <w:pPr>
                    <w:pStyle w:val="83"/>
                    <w:rPr>
                      <w:rFonts w:hint="default"/>
                      <w:highlight w:val="none"/>
                    </w:rPr>
                  </w:pPr>
                </w:p>
              </w:tc>
              <w:tc>
                <w:tcPr>
                  <w:tcW w:w="1106" w:type="dxa"/>
                  <w:vAlign w:val="center"/>
                </w:tcPr>
                <w:p w14:paraId="6660C5D5">
                  <w:pPr>
                    <w:pStyle w:val="83"/>
                    <w:rPr>
                      <w:rFonts w:hint="default"/>
                      <w:highlight w:val="none"/>
                    </w:rPr>
                  </w:pPr>
                  <w:r>
                    <w:rPr>
                      <w:highlight w:val="none"/>
                    </w:rPr>
                    <w:t>SS</w:t>
                  </w:r>
                </w:p>
              </w:tc>
              <w:tc>
                <w:tcPr>
                  <w:tcW w:w="1266" w:type="dxa"/>
                  <w:vAlign w:val="center"/>
                </w:tcPr>
                <w:p w14:paraId="29925AB7">
                  <w:pPr>
                    <w:pStyle w:val="83"/>
                    <w:rPr>
                      <w:rFonts w:hint="default"/>
                      <w:highlight w:val="none"/>
                    </w:rPr>
                  </w:pPr>
                  <w:r>
                    <w:rPr>
                      <w:highlight w:val="none"/>
                    </w:rPr>
                    <w:t>t/a</w:t>
                  </w:r>
                </w:p>
              </w:tc>
              <w:tc>
                <w:tcPr>
                  <w:tcW w:w="1210" w:type="dxa"/>
                  <w:vAlign w:val="center"/>
                </w:tcPr>
                <w:p w14:paraId="6EAEEC41">
                  <w:pPr>
                    <w:pStyle w:val="83"/>
                    <w:rPr>
                      <w:rFonts w:hint="default" w:eastAsia="宋体"/>
                      <w:highlight w:val="none"/>
                      <w:lang w:val="en-US" w:eastAsia="zh-CN"/>
                    </w:rPr>
                  </w:pPr>
                  <w:r>
                    <w:rPr>
                      <w:rFonts w:hint="eastAsia"/>
                      <w:highlight w:val="none"/>
                      <w:lang w:val="en-US" w:eastAsia="zh-CN"/>
                    </w:rPr>
                    <w:t>2.05</w:t>
                  </w:r>
                </w:p>
              </w:tc>
              <w:tc>
                <w:tcPr>
                  <w:tcW w:w="1215" w:type="dxa"/>
                  <w:vAlign w:val="center"/>
                </w:tcPr>
                <w:p w14:paraId="02485280">
                  <w:pPr>
                    <w:pStyle w:val="83"/>
                    <w:rPr>
                      <w:rFonts w:hint="default" w:eastAsia="宋体"/>
                      <w:highlight w:val="none"/>
                      <w:lang w:val="en-US" w:eastAsia="zh-CN"/>
                    </w:rPr>
                  </w:pPr>
                  <w:r>
                    <w:rPr>
                      <w:rFonts w:hint="eastAsia"/>
                      <w:highlight w:val="none"/>
                      <w:lang w:val="en-US" w:eastAsia="zh-CN"/>
                    </w:rPr>
                    <w:t>0.174</w:t>
                  </w:r>
                </w:p>
              </w:tc>
              <w:tc>
                <w:tcPr>
                  <w:tcW w:w="1215" w:type="dxa"/>
                  <w:vAlign w:val="center"/>
                </w:tcPr>
                <w:p w14:paraId="47AA6848">
                  <w:pPr>
                    <w:pStyle w:val="83"/>
                    <w:rPr>
                      <w:rFonts w:hint="default" w:eastAsia="宋体"/>
                      <w:highlight w:val="none"/>
                      <w:lang w:val="en-US" w:eastAsia="zh-CN"/>
                    </w:rPr>
                  </w:pPr>
                  <w:r>
                    <w:rPr>
                      <w:rFonts w:hint="eastAsia"/>
                      <w:highlight w:val="none"/>
                      <w:lang w:val="en-US" w:eastAsia="zh-CN"/>
                    </w:rPr>
                    <w:t>0.09</w:t>
                  </w:r>
                </w:p>
              </w:tc>
              <w:tc>
                <w:tcPr>
                  <w:tcW w:w="1091" w:type="dxa"/>
                  <w:vAlign w:val="center"/>
                </w:tcPr>
                <w:p w14:paraId="6F6F76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2.314</w:t>
                  </w:r>
                </w:p>
              </w:tc>
            </w:tr>
            <w:tr w14:paraId="57DEE6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0974FF21">
                  <w:pPr>
                    <w:pStyle w:val="83"/>
                    <w:rPr>
                      <w:rFonts w:hint="default"/>
                      <w:highlight w:val="none"/>
                    </w:rPr>
                  </w:pPr>
                </w:p>
              </w:tc>
              <w:tc>
                <w:tcPr>
                  <w:tcW w:w="1106" w:type="dxa"/>
                  <w:vAlign w:val="center"/>
                </w:tcPr>
                <w:p w14:paraId="686C4D2F">
                  <w:pPr>
                    <w:pStyle w:val="83"/>
                    <w:rPr>
                      <w:rFonts w:hint="default"/>
                      <w:highlight w:val="none"/>
                    </w:rPr>
                  </w:pPr>
                  <w:r>
                    <w:rPr>
                      <w:highlight w:val="none"/>
                    </w:rPr>
                    <w:t>氨氮</w:t>
                  </w:r>
                </w:p>
              </w:tc>
              <w:tc>
                <w:tcPr>
                  <w:tcW w:w="1266" w:type="dxa"/>
                  <w:vAlign w:val="center"/>
                </w:tcPr>
                <w:p w14:paraId="1DD9E6C2">
                  <w:pPr>
                    <w:pStyle w:val="83"/>
                    <w:rPr>
                      <w:rFonts w:hint="default"/>
                      <w:highlight w:val="none"/>
                    </w:rPr>
                  </w:pPr>
                  <w:r>
                    <w:rPr>
                      <w:highlight w:val="none"/>
                    </w:rPr>
                    <w:t>t/a</w:t>
                  </w:r>
                </w:p>
              </w:tc>
              <w:tc>
                <w:tcPr>
                  <w:tcW w:w="1210" w:type="dxa"/>
                  <w:vAlign w:val="center"/>
                </w:tcPr>
                <w:p w14:paraId="4B765C6B">
                  <w:pPr>
                    <w:pStyle w:val="83"/>
                    <w:rPr>
                      <w:rFonts w:hint="default" w:eastAsia="宋体"/>
                      <w:highlight w:val="none"/>
                      <w:lang w:val="en-US" w:eastAsia="zh-CN"/>
                    </w:rPr>
                  </w:pPr>
                  <w:r>
                    <w:rPr>
                      <w:rFonts w:hint="eastAsia"/>
                      <w:highlight w:val="none"/>
                      <w:lang w:val="en-US" w:eastAsia="zh-CN"/>
                    </w:rPr>
                    <w:t>0.662</w:t>
                  </w:r>
                </w:p>
              </w:tc>
              <w:tc>
                <w:tcPr>
                  <w:tcW w:w="1215" w:type="dxa"/>
                  <w:vAlign w:val="center"/>
                </w:tcPr>
                <w:p w14:paraId="1FBCDD64">
                  <w:pPr>
                    <w:pStyle w:val="83"/>
                    <w:rPr>
                      <w:rFonts w:hint="default" w:eastAsia="宋体"/>
                      <w:highlight w:val="none"/>
                      <w:lang w:val="en-US" w:eastAsia="zh-CN"/>
                    </w:rPr>
                  </w:pPr>
                  <w:r>
                    <w:rPr>
                      <w:rFonts w:hint="eastAsia"/>
                      <w:highlight w:val="none"/>
                      <w:lang w:val="en-US" w:eastAsia="zh-CN"/>
                    </w:rPr>
                    <w:t>0.0087</w:t>
                  </w:r>
                </w:p>
              </w:tc>
              <w:tc>
                <w:tcPr>
                  <w:tcW w:w="1215" w:type="dxa"/>
                  <w:vAlign w:val="center"/>
                </w:tcPr>
                <w:p w14:paraId="16C45AB4">
                  <w:pPr>
                    <w:pStyle w:val="83"/>
                    <w:rPr>
                      <w:rFonts w:hint="default" w:eastAsia="宋体"/>
                      <w:highlight w:val="none"/>
                      <w:lang w:val="en-US" w:eastAsia="zh-CN"/>
                    </w:rPr>
                  </w:pPr>
                  <w:r>
                    <w:rPr>
                      <w:rFonts w:hint="eastAsia"/>
                      <w:highlight w:val="none"/>
                      <w:lang w:val="en-US" w:eastAsia="zh-CN"/>
                    </w:rPr>
                    <w:t>0.045</w:t>
                  </w:r>
                </w:p>
              </w:tc>
              <w:tc>
                <w:tcPr>
                  <w:tcW w:w="1091" w:type="dxa"/>
                  <w:vAlign w:val="center"/>
                </w:tcPr>
                <w:p w14:paraId="05D859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0.7157</w:t>
                  </w:r>
                </w:p>
              </w:tc>
            </w:tr>
            <w:tr w14:paraId="34669F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9" w:type="dxa"/>
                  <w:vMerge w:val="continue"/>
                  <w:vAlign w:val="center"/>
                </w:tcPr>
                <w:p w14:paraId="1D35159A">
                  <w:pPr>
                    <w:pStyle w:val="83"/>
                    <w:rPr>
                      <w:rFonts w:hint="default"/>
                      <w:highlight w:val="none"/>
                    </w:rPr>
                  </w:pPr>
                </w:p>
              </w:tc>
              <w:tc>
                <w:tcPr>
                  <w:tcW w:w="1106" w:type="dxa"/>
                  <w:vAlign w:val="center"/>
                </w:tcPr>
                <w:p w14:paraId="188A6653">
                  <w:pPr>
                    <w:pStyle w:val="83"/>
                    <w:rPr>
                      <w:rFonts w:hint="default"/>
                      <w:highlight w:val="none"/>
                    </w:rPr>
                  </w:pPr>
                  <w:r>
                    <w:rPr>
                      <w:highlight w:val="none"/>
                    </w:rPr>
                    <w:t>石油类</w:t>
                  </w:r>
                </w:p>
              </w:tc>
              <w:tc>
                <w:tcPr>
                  <w:tcW w:w="1266" w:type="dxa"/>
                  <w:vAlign w:val="center"/>
                </w:tcPr>
                <w:p w14:paraId="10844C88">
                  <w:pPr>
                    <w:pStyle w:val="83"/>
                    <w:rPr>
                      <w:rFonts w:hint="default"/>
                      <w:highlight w:val="none"/>
                    </w:rPr>
                  </w:pPr>
                  <w:r>
                    <w:rPr>
                      <w:highlight w:val="none"/>
                    </w:rPr>
                    <w:t>t/a</w:t>
                  </w:r>
                </w:p>
              </w:tc>
              <w:tc>
                <w:tcPr>
                  <w:tcW w:w="1210" w:type="dxa"/>
                  <w:vAlign w:val="center"/>
                </w:tcPr>
                <w:p w14:paraId="3E78B0BC">
                  <w:pPr>
                    <w:pStyle w:val="83"/>
                    <w:rPr>
                      <w:rFonts w:hint="default" w:eastAsia="宋体"/>
                      <w:highlight w:val="none"/>
                      <w:lang w:val="en-US" w:eastAsia="zh-CN"/>
                    </w:rPr>
                  </w:pPr>
                  <w:r>
                    <w:rPr>
                      <w:rFonts w:hint="eastAsia"/>
                      <w:highlight w:val="none"/>
                      <w:lang w:val="en-US" w:eastAsia="zh-CN"/>
                    </w:rPr>
                    <w:t>0.01</w:t>
                  </w:r>
                </w:p>
              </w:tc>
              <w:tc>
                <w:tcPr>
                  <w:tcW w:w="1215" w:type="dxa"/>
                  <w:vAlign w:val="center"/>
                </w:tcPr>
                <w:p w14:paraId="25CD8DF3">
                  <w:pPr>
                    <w:pStyle w:val="83"/>
                    <w:rPr>
                      <w:rFonts w:hint="default" w:eastAsia="宋体"/>
                      <w:highlight w:val="none"/>
                      <w:lang w:val="en-US" w:eastAsia="zh-CN"/>
                    </w:rPr>
                  </w:pPr>
                  <w:r>
                    <w:rPr>
                      <w:rFonts w:hint="eastAsia"/>
                      <w:highlight w:val="none"/>
                      <w:lang w:val="en-US" w:eastAsia="zh-CN"/>
                    </w:rPr>
                    <w:t>0.0009</w:t>
                  </w:r>
                </w:p>
              </w:tc>
              <w:tc>
                <w:tcPr>
                  <w:tcW w:w="1215" w:type="dxa"/>
                  <w:vAlign w:val="center"/>
                </w:tcPr>
                <w:p w14:paraId="3720E008">
                  <w:pPr>
                    <w:pStyle w:val="83"/>
                    <w:rPr>
                      <w:rFonts w:hint="default" w:eastAsia="宋体"/>
                      <w:highlight w:val="none"/>
                      <w:lang w:val="en-US" w:eastAsia="zh-CN"/>
                    </w:rPr>
                  </w:pPr>
                  <w:r>
                    <w:rPr>
                      <w:rFonts w:hint="eastAsia"/>
                      <w:highlight w:val="none"/>
                      <w:lang w:val="en-US" w:eastAsia="zh-CN"/>
                    </w:rPr>
                    <w:t>0.0005</w:t>
                  </w:r>
                </w:p>
              </w:tc>
              <w:tc>
                <w:tcPr>
                  <w:tcW w:w="1091" w:type="dxa"/>
                  <w:vAlign w:val="center"/>
                </w:tcPr>
                <w:p w14:paraId="033F74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highlight w:val="none"/>
                    </w:rPr>
                  </w:pPr>
                  <w:r>
                    <w:rPr>
                      <w:rFonts w:hint="default" w:ascii="Times New Roman" w:hAnsi="Times New Roman" w:eastAsia="等线" w:cs="Times New Roman"/>
                      <w:i w:val="0"/>
                      <w:iCs w:val="0"/>
                      <w:color w:val="000000"/>
                      <w:kern w:val="0"/>
                      <w:sz w:val="21"/>
                      <w:szCs w:val="21"/>
                      <w:highlight w:val="none"/>
                      <w:u w:val="none"/>
                      <w:lang w:val="en-US" w:eastAsia="zh-CN" w:bidi="ar"/>
                    </w:rPr>
                    <w:t>0.0114</w:t>
                  </w:r>
                </w:p>
              </w:tc>
            </w:tr>
            <w:tr w14:paraId="5FCD3F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182" w:type="dxa"/>
                  <w:gridSpan w:val="7"/>
                  <w:vAlign w:val="center"/>
                </w:tcPr>
                <w:p w14:paraId="6005F678">
                  <w:pPr>
                    <w:pStyle w:val="83"/>
                    <w:jc w:val="left"/>
                    <w:rPr>
                      <w:b w:val="0"/>
                      <w:bCs w:val="0"/>
                      <w:sz w:val="18"/>
                      <w:szCs w:val="18"/>
                      <w:highlight w:val="none"/>
                    </w:rPr>
                  </w:pPr>
                  <w:r>
                    <w:rPr>
                      <w:b w:val="0"/>
                      <w:bCs w:val="0"/>
                      <w:sz w:val="18"/>
                      <w:szCs w:val="18"/>
                      <w:highlight w:val="none"/>
                    </w:rPr>
                    <w:t>备注：</w:t>
                  </w:r>
                  <w:r>
                    <w:rPr>
                      <w:rFonts w:hint="eastAsia"/>
                      <w:b w:val="0"/>
                      <w:bCs w:val="0"/>
                      <w:sz w:val="18"/>
                      <w:szCs w:val="18"/>
                      <w:highlight w:val="none"/>
                      <w:lang w:val="en-US" w:eastAsia="zh-CN"/>
                    </w:rPr>
                    <w:t>①</w:t>
                  </w:r>
                  <w:r>
                    <w:rPr>
                      <w:b w:val="0"/>
                      <w:bCs w:val="0"/>
                      <w:sz w:val="18"/>
                      <w:szCs w:val="18"/>
                      <w:highlight w:val="none"/>
                    </w:rPr>
                    <w:t>各污染因子排放量指</w:t>
                  </w:r>
                  <w:r>
                    <w:rPr>
                      <w:rFonts w:hint="eastAsia"/>
                      <w:b w:val="0"/>
                      <w:bCs w:val="0"/>
                      <w:sz w:val="18"/>
                      <w:szCs w:val="18"/>
                      <w:highlight w:val="none"/>
                      <w:lang w:val="en-US" w:eastAsia="zh-CN"/>
                    </w:rPr>
                    <w:t>企业废水纳入滨海工业污水处理厂的处理量</w:t>
                  </w:r>
                  <w:r>
                    <w:rPr>
                      <w:b w:val="0"/>
                      <w:bCs w:val="0"/>
                      <w:sz w:val="18"/>
                      <w:szCs w:val="18"/>
                      <w:highlight w:val="none"/>
                    </w:rPr>
                    <w:t>。</w:t>
                  </w:r>
                </w:p>
                <w:p w14:paraId="4058E8F0">
                  <w:pPr>
                    <w:pStyle w:val="83"/>
                    <w:jc w:val="left"/>
                    <w:rPr>
                      <w:rFonts w:hint="default" w:eastAsia="宋体"/>
                      <w:b w:val="0"/>
                      <w:bCs w:val="0"/>
                      <w:sz w:val="18"/>
                      <w:szCs w:val="18"/>
                      <w:highlight w:val="none"/>
                      <w:lang w:val="en-US" w:eastAsia="zh-CN"/>
                    </w:rPr>
                  </w:pPr>
                  <w:r>
                    <w:rPr>
                      <w:rFonts w:hint="eastAsia"/>
                      <w:b w:val="0"/>
                      <w:bCs w:val="0"/>
                      <w:sz w:val="18"/>
                      <w:szCs w:val="18"/>
                      <w:highlight w:val="none"/>
                      <w:lang w:val="en-US" w:eastAsia="zh-CN"/>
                    </w:rPr>
                    <w:t>②在建工程指“福建永荣锦江股份有限公司年产6万吨绿色再生、功能性、差异化高速纺锦纶纺丝及加弹智能化生产技术提升及成套装备国产化开发应用项目”。</w:t>
                  </w:r>
                </w:p>
              </w:tc>
            </w:tr>
          </w:tbl>
          <w:p w14:paraId="6006E64D">
            <w:pPr>
              <w:pStyle w:val="5"/>
            </w:pPr>
            <w:r>
              <w:rPr>
                <w:rFonts w:hint="eastAsia"/>
              </w:rPr>
              <w:t>4.2.2.2 废水达标排放</w:t>
            </w:r>
          </w:p>
          <w:p w14:paraId="03BE1089">
            <w:pPr>
              <w:ind w:firstLine="480"/>
            </w:pPr>
            <w:r>
              <w:rPr>
                <w:rFonts w:hint="eastAsia"/>
              </w:rPr>
              <w:t>本次项目生产废水经</w:t>
            </w:r>
            <w:bookmarkStart w:id="26" w:name="_Hlk198069574"/>
            <w:r>
              <w:rPr>
                <w:rFonts w:hint="eastAsia"/>
              </w:rPr>
              <w:t>厂内现有综合废水处理站处理后回用于生产</w:t>
            </w:r>
            <w:bookmarkEnd w:id="26"/>
            <w:r>
              <w:rPr>
                <w:rFonts w:hint="eastAsia"/>
              </w:rPr>
              <w:t>，回用水水质应达到《城市污水再生利用工业用水水质》（GB/T19923-2024）中工艺与产品用水标准。污水站反渗透浓水</w:t>
            </w:r>
            <w:bookmarkStart w:id="27" w:name="_Hlk198070167"/>
            <w:r>
              <w:rPr>
                <w:rFonts w:hint="eastAsia"/>
              </w:rPr>
              <w:t>执行《合成树脂工业污染物排放标准》（GB31572-2015，含2024年修改单）和签订的《福建永荣锦江股份有限公司生产废水排放标准协议》（附件10）中的限值要求，石油类参照执行《污水排入城镇下水道水质标准》（GB/T31962-2015）表1中的B级标准</w:t>
            </w:r>
            <w:bookmarkEnd w:id="27"/>
            <w:r>
              <w:rPr>
                <w:rFonts w:hint="eastAsia"/>
              </w:rPr>
              <w:t>，并通过市政污水管网纳入滨海工业区污水处理厂集中处理，尾水最终排入牛头湾海域。生活污水经化粪池处理达到《污水综合排放标准》（GB8978-1996）表4中三级标准（氨氮参照执行《污水排入城镇下水道水质标准》（GB/T31962-2015）表1中B级标准）后通过市政污水管网纳入滨海工业区污水处理厂集中，尾水最终排入牛头湾海域。福州市滨海工业区污水处理厂尾水排放执行《城镇污水处理厂污染物排放标准》（GB18918-2002）一级A排放标准。本项目污水回用和排放达标情况见表4.2-7和表4.2-8。</w:t>
            </w:r>
          </w:p>
          <w:p w14:paraId="2D8D1536">
            <w:pPr>
              <w:pStyle w:val="13"/>
            </w:pPr>
            <w:bookmarkStart w:id="28" w:name="_Hlk198070305"/>
            <w:r>
              <w:rPr>
                <w:rFonts w:hint="eastAsia"/>
              </w:rPr>
              <w:t>表4.2-7  项目污水处理站废水回用情况一览表</w:t>
            </w:r>
          </w:p>
          <w:tbl>
            <w:tblPr>
              <w:tblStyle w:val="17"/>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09"/>
              <w:gridCol w:w="689"/>
              <w:gridCol w:w="891"/>
              <w:gridCol w:w="706"/>
              <w:gridCol w:w="848"/>
              <w:gridCol w:w="848"/>
              <w:gridCol w:w="848"/>
              <w:gridCol w:w="943"/>
              <w:gridCol w:w="819"/>
              <w:gridCol w:w="781"/>
            </w:tblGrid>
            <w:tr w14:paraId="07DFC9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97" w:type="pct"/>
                  <w:vMerge w:val="restart"/>
                  <w:vAlign w:val="center"/>
                </w:tcPr>
                <w:p w14:paraId="1873905C">
                  <w:pPr>
                    <w:pStyle w:val="83"/>
                    <w:rPr>
                      <w:rFonts w:hint="default"/>
                    </w:rPr>
                  </w:pPr>
                  <w:r>
                    <w:t>废水污染源</w:t>
                  </w:r>
                </w:p>
              </w:tc>
              <w:tc>
                <w:tcPr>
                  <w:tcW w:w="949" w:type="pct"/>
                  <w:gridSpan w:val="2"/>
                  <w:vAlign w:val="center"/>
                </w:tcPr>
                <w:p w14:paraId="2475E7CD">
                  <w:pPr>
                    <w:pStyle w:val="83"/>
                    <w:rPr>
                      <w:rFonts w:hint="default"/>
                    </w:rPr>
                  </w:pPr>
                  <w:r>
                    <w:t>水量</w:t>
                  </w:r>
                </w:p>
              </w:tc>
              <w:tc>
                <w:tcPr>
                  <w:tcW w:w="433" w:type="pct"/>
                  <w:vMerge w:val="restart"/>
                  <w:vAlign w:val="center"/>
                </w:tcPr>
                <w:p w14:paraId="5A4A56CC">
                  <w:pPr>
                    <w:pStyle w:val="83"/>
                    <w:rPr>
                      <w:rFonts w:hint="default"/>
                    </w:rPr>
                  </w:pPr>
                  <w:r>
                    <w:t>单位</w:t>
                  </w:r>
                </w:p>
              </w:tc>
              <w:tc>
                <w:tcPr>
                  <w:tcW w:w="520" w:type="pct"/>
                  <w:vMerge w:val="restart"/>
                  <w:vAlign w:val="center"/>
                </w:tcPr>
                <w:p w14:paraId="70F0BA35">
                  <w:pPr>
                    <w:pStyle w:val="83"/>
                    <w:rPr>
                      <w:rFonts w:hint="default"/>
                    </w:rPr>
                  </w:pPr>
                  <w:r>
                    <w:t>COD</w:t>
                  </w:r>
                </w:p>
              </w:tc>
              <w:tc>
                <w:tcPr>
                  <w:tcW w:w="520" w:type="pct"/>
                  <w:vMerge w:val="restart"/>
                  <w:vAlign w:val="center"/>
                </w:tcPr>
                <w:p w14:paraId="5E2464E2">
                  <w:pPr>
                    <w:pStyle w:val="83"/>
                    <w:rPr>
                      <w:rFonts w:hint="default"/>
                    </w:rPr>
                  </w:pPr>
                  <w:r>
                    <w:t>BOD</w:t>
                  </w:r>
                  <w:r>
                    <w:rPr>
                      <w:vertAlign w:val="subscript"/>
                    </w:rPr>
                    <w:t>5</w:t>
                  </w:r>
                </w:p>
              </w:tc>
              <w:tc>
                <w:tcPr>
                  <w:tcW w:w="520" w:type="pct"/>
                  <w:vMerge w:val="restart"/>
                  <w:vAlign w:val="center"/>
                </w:tcPr>
                <w:p w14:paraId="353F2604">
                  <w:pPr>
                    <w:pStyle w:val="83"/>
                    <w:rPr>
                      <w:rFonts w:hint="default"/>
                    </w:rPr>
                  </w:pPr>
                  <w:r>
                    <w:t>SS</w:t>
                  </w:r>
                </w:p>
              </w:tc>
              <w:tc>
                <w:tcPr>
                  <w:tcW w:w="578" w:type="pct"/>
                  <w:vMerge w:val="restart"/>
                  <w:vAlign w:val="center"/>
                </w:tcPr>
                <w:p w14:paraId="52A24137">
                  <w:pPr>
                    <w:pStyle w:val="83"/>
                    <w:rPr>
                      <w:rFonts w:hint="default"/>
                    </w:rPr>
                  </w:pPr>
                  <w:r>
                    <w:t>氨氮</w:t>
                  </w:r>
                </w:p>
              </w:tc>
              <w:tc>
                <w:tcPr>
                  <w:tcW w:w="502" w:type="pct"/>
                  <w:vMerge w:val="restart"/>
                  <w:vAlign w:val="center"/>
                </w:tcPr>
                <w:p w14:paraId="35ACCC0C">
                  <w:pPr>
                    <w:pStyle w:val="83"/>
                    <w:rPr>
                      <w:rFonts w:hint="default"/>
                    </w:rPr>
                  </w:pPr>
                  <w:r>
                    <w:t>石油类</w:t>
                  </w:r>
                </w:p>
              </w:tc>
              <w:tc>
                <w:tcPr>
                  <w:tcW w:w="479" w:type="pct"/>
                  <w:vMerge w:val="restart"/>
                  <w:vAlign w:val="center"/>
                </w:tcPr>
                <w:p w14:paraId="411CC5DF">
                  <w:pPr>
                    <w:pStyle w:val="83"/>
                    <w:rPr>
                      <w:rFonts w:hint="default"/>
                    </w:rPr>
                  </w:pPr>
                  <w:r>
                    <w:t>TOC</w:t>
                  </w:r>
                </w:p>
              </w:tc>
            </w:tr>
            <w:tr w14:paraId="4C104E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97" w:type="pct"/>
                  <w:vMerge w:val="continue"/>
                  <w:vAlign w:val="center"/>
                </w:tcPr>
                <w:p w14:paraId="2F4FF290">
                  <w:pPr>
                    <w:pStyle w:val="83"/>
                    <w:rPr>
                      <w:rFonts w:hint="default"/>
                    </w:rPr>
                  </w:pPr>
                </w:p>
              </w:tc>
              <w:tc>
                <w:tcPr>
                  <w:tcW w:w="404" w:type="pct"/>
                  <w:vAlign w:val="center"/>
                </w:tcPr>
                <w:p w14:paraId="29193889">
                  <w:pPr>
                    <w:pStyle w:val="83"/>
                    <w:rPr>
                      <w:rFonts w:hint="default"/>
                    </w:rPr>
                  </w:pPr>
                  <w:r>
                    <w:t>m</w:t>
                  </w:r>
                  <w:r>
                    <w:rPr>
                      <w:vertAlign w:val="superscript"/>
                    </w:rPr>
                    <w:t>3</w:t>
                  </w:r>
                  <w:r>
                    <w:t>/d</w:t>
                  </w:r>
                </w:p>
              </w:tc>
              <w:tc>
                <w:tcPr>
                  <w:tcW w:w="545" w:type="pct"/>
                  <w:vAlign w:val="center"/>
                </w:tcPr>
                <w:p w14:paraId="479A986A">
                  <w:pPr>
                    <w:pStyle w:val="83"/>
                    <w:rPr>
                      <w:rFonts w:hint="default"/>
                    </w:rPr>
                  </w:pPr>
                  <w:r>
                    <w:t>m</w:t>
                  </w:r>
                  <w:r>
                    <w:rPr>
                      <w:vertAlign w:val="superscript"/>
                    </w:rPr>
                    <w:t>3</w:t>
                  </w:r>
                  <w:r>
                    <w:t>/a</w:t>
                  </w:r>
                </w:p>
              </w:tc>
              <w:tc>
                <w:tcPr>
                  <w:tcW w:w="433" w:type="pct"/>
                  <w:vMerge w:val="continue"/>
                  <w:vAlign w:val="center"/>
                </w:tcPr>
                <w:p w14:paraId="10D600A3">
                  <w:pPr>
                    <w:pStyle w:val="83"/>
                    <w:rPr>
                      <w:rFonts w:hint="default"/>
                    </w:rPr>
                  </w:pPr>
                </w:p>
              </w:tc>
              <w:tc>
                <w:tcPr>
                  <w:tcW w:w="520" w:type="pct"/>
                  <w:vMerge w:val="continue"/>
                  <w:vAlign w:val="center"/>
                </w:tcPr>
                <w:p w14:paraId="7CE336CB">
                  <w:pPr>
                    <w:pStyle w:val="83"/>
                    <w:rPr>
                      <w:rFonts w:hint="default"/>
                    </w:rPr>
                  </w:pPr>
                </w:p>
              </w:tc>
              <w:tc>
                <w:tcPr>
                  <w:tcW w:w="520" w:type="pct"/>
                  <w:vMerge w:val="continue"/>
                  <w:vAlign w:val="center"/>
                </w:tcPr>
                <w:p w14:paraId="33B9F1D3">
                  <w:pPr>
                    <w:pStyle w:val="83"/>
                    <w:rPr>
                      <w:rFonts w:hint="default"/>
                    </w:rPr>
                  </w:pPr>
                </w:p>
              </w:tc>
              <w:tc>
                <w:tcPr>
                  <w:tcW w:w="520" w:type="pct"/>
                  <w:vMerge w:val="continue"/>
                  <w:vAlign w:val="center"/>
                </w:tcPr>
                <w:p w14:paraId="7F7EEAAA">
                  <w:pPr>
                    <w:pStyle w:val="83"/>
                    <w:rPr>
                      <w:rFonts w:hint="default"/>
                    </w:rPr>
                  </w:pPr>
                </w:p>
              </w:tc>
              <w:tc>
                <w:tcPr>
                  <w:tcW w:w="578" w:type="pct"/>
                  <w:vMerge w:val="continue"/>
                  <w:vAlign w:val="center"/>
                </w:tcPr>
                <w:p w14:paraId="42FD72BE">
                  <w:pPr>
                    <w:pStyle w:val="83"/>
                    <w:rPr>
                      <w:rFonts w:hint="default"/>
                    </w:rPr>
                  </w:pPr>
                </w:p>
              </w:tc>
              <w:tc>
                <w:tcPr>
                  <w:tcW w:w="502" w:type="pct"/>
                  <w:vMerge w:val="continue"/>
                  <w:vAlign w:val="center"/>
                </w:tcPr>
                <w:p w14:paraId="1027CDF3">
                  <w:pPr>
                    <w:pStyle w:val="83"/>
                    <w:rPr>
                      <w:rFonts w:hint="default"/>
                    </w:rPr>
                  </w:pPr>
                </w:p>
              </w:tc>
              <w:tc>
                <w:tcPr>
                  <w:tcW w:w="479" w:type="pct"/>
                  <w:vMerge w:val="continue"/>
                  <w:vAlign w:val="center"/>
                </w:tcPr>
                <w:p w14:paraId="62149E78">
                  <w:pPr>
                    <w:pStyle w:val="83"/>
                    <w:rPr>
                      <w:rFonts w:hint="default"/>
                    </w:rPr>
                  </w:pPr>
                </w:p>
              </w:tc>
            </w:tr>
            <w:tr w14:paraId="70BE00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97" w:type="pct"/>
                  <w:vMerge w:val="restart"/>
                  <w:vAlign w:val="center"/>
                </w:tcPr>
                <w:p w14:paraId="289F0226">
                  <w:pPr>
                    <w:pStyle w:val="83"/>
                    <w:rPr>
                      <w:rFonts w:hint="default"/>
                    </w:rPr>
                  </w:pPr>
                  <w:r>
                    <w:t>进入污水站</w:t>
                  </w:r>
                </w:p>
              </w:tc>
              <w:tc>
                <w:tcPr>
                  <w:tcW w:w="404" w:type="pct"/>
                  <w:vMerge w:val="restart"/>
                  <w:vAlign w:val="center"/>
                </w:tcPr>
                <w:p w14:paraId="77223A40">
                  <w:pPr>
                    <w:pStyle w:val="83"/>
                    <w:rPr>
                      <w:rFonts w:hint="default"/>
                    </w:rPr>
                  </w:pPr>
                  <w:r>
                    <w:t>30.86</w:t>
                  </w:r>
                </w:p>
              </w:tc>
              <w:tc>
                <w:tcPr>
                  <w:tcW w:w="545" w:type="pct"/>
                  <w:vMerge w:val="restart"/>
                  <w:vAlign w:val="center"/>
                </w:tcPr>
                <w:p w14:paraId="7721B045">
                  <w:pPr>
                    <w:pStyle w:val="83"/>
                    <w:rPr>
                      <w:rFonts w:hint="default"/>
                    </w:rPr>
                  </w:pPr>
                  <w:r>
                    <w:t>11263.9</w:t>
                  </w:r>
                </w:p>
              </w:tc>
              <w:tc>
                <w:tcPr>
                  <w:tcW w:w="433" w:type="pct"/>
                  <w:vAlign w:val="center"/>
                </w:tcPr>
                <w:p w14:paraId="62742D31">
                  <w:pPr>
                    <w:pStyle w:val="83"/>
                    <w:rPr>
                      <w:rFonts w:hint="default"/>
                    </w:rPr>
                  </w:pPr>
                  <w:r>
                    <w:t>mg/L</w:t>
                  </w:r>
                </w:p>
              </w:tc>
              <w:tc>
                <w:tcPr>
                  <w:tcW w:w="520" w:type="pct"/>
                  <w:vAlign w:val="center"/>
                </w:tcPr>
                <w:p w14:paraId="1DF6A0D2">
                  <w:pPr>
                    <w:pStyle w:val="83"/>
                    <w:rPr>
                      <w:rFonts w:hint="default"/>
                    </w:rPr>
                  </w:pPr>
                  <w:r>
                    <w:t>98.42</w:t>
                  </w:r>
                </w:p>
              </w:tc>
              <w:tc>
                <w:tcPr>
                  <w:tcW w:w="520" w:type="pct"/>
                  <w:vAlign w:val="center"/>
                </w:tcPr>
                <w:p w14:paraId="198460F9">
                  <w:pPr>
                    <w:pStyle w:val="83"/>
                    <w:rPr>
                      <w:rFonts w:hint="default"/>
                    </w:rPr>
                  </w:pPr>
                  <w:r>
                    <w:t>37.05</w:t>
                  </w:r>
                </w:p>
              </w:tc>
              <w:tc>
                <w:tcPr>
                  <w:tcW w:w="520" w:type="pct"/>
                  <w:vAlign w:val="center"/>
                </w:tcPr>
                <w:p w14:paraId="0688EB48">
                  <w:pPr>
                    <w:pStyle w:val="83"/>
                    <w:rPr>
                      <w:rFonts w:hint="default"/>
                    </w:rPr>
                  </w:pPr>
                  <w:r>
                    <w:t>52.29</w:t>
                  </w:r>
                </w:p>
              </w:tc>
              <w:tc>
                <w:tcPr>
                  <w:tcW w:w="578" w:type="pct"/>
                  <w:vAlign w:val="center"/>
                </w:tcPr>
                <w:p w14:paraId="4DB6CCD2">
                  <w:pPr>
                    <w:pStyle w:val="83"/>
                    <w:rPr>
                      <w:rFonts w:hint="default"/>
                    </w:rPr>
                  </w:pPr>
                  <w:r>
                    <w:t>11.65</w:t>
                  </w:r>
                </w:p>
              </w:tc>
              <w:tc>
                <w:tcPr>
                  <w:tcW w:w="502" w:type="pct"/>
                  <w:vAlign w:val="center"/>
                </w:tcPr>
                <w:p w14:paraId="78DC7FCF">
                  <w:pPr>
                    <w:pStyle w:val="83"/>
                    <w:rPr>
                      <w:rFonts w:hint="default"/>
                    </w:rPr>
                  </w:pPr>
                  <w:r>
                    <w:t>2.49</w:t>
                  </w:r>
                </w:p>
              </w:tc>
              <w:tc>
                <w:tcPr>
                  <w:tcW w:w="479" w:type="pct"/>
                  <w:vAlign w:val="center"/>
                </w:tcPr>
                <w:p w14:paraId="3E201B24">
                  <w:pPr>
                    <w:pStyle w:val="83"/>
                    <w:rPr>
                      <w:rFonts w:hint="default"/>
                    </w:rPr>
                  </w:pPr>
                  <w:r>
                    <w:t>49.04</w:t>
                  </w:r>
                </w:p>
              </w:tc>
            </w:tr>
            <w:tr w14:paraId="402A48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97" w:type="pct"/>
                  <w:vMerge w:val="continue"/>
                  <w:vAlign w:val="center"/>
                </w:tcPr>
                <w:p w14:paraId="4417D9D7">
                  <w:pPr>
                    <w:pStyle w:val="83"/>
                    <w:rPr>
                      <w:rFonts w:hint="default"/>
                    </w:rPr>
                  </w:pPr>
                </w:p>
              </w:tc>
              <w:tc>
                <w:tcPr>
                  <w:tcW w:w="404" w:type="pct"/>
                  <w:vMerge w:val="continue"/>
                  <w:vAlign w:val="center"/>
                </w:tcPr>
                <w:p w14:paraId="620CDDA7">
                  <w:pPr>
                    <w:pStyle w:val="83"/>
                    <w:rPr>
                      <w:rFonts w:hint="default"/>
                    </w:rPr>
                  </w:pPr>
                </w:p>
              </w:tc>
              <w:tc>
                <w:tcPr>
                  <w:tcW w:w="545" w:type="pct"/>
                  <w:vMerge w:val="continue"/>
                  <w:vAlign w:val="center"/>
                </w:tcPr>
                <w:p w14:paraId="22A033A0">
                  <w:pPr>
                    <w:pStyle w:val="83"/>
                    <w:rPr>
                      <w:rFonts w:hint="default"/>
                    </w:rPr>
                  </w:pPr>
                </w:p>
              </w:tc>
              <w:tc>
                <w:tcPr>
                  <w:tcW w:w="433" w:type="pct"/>
                  <w:vAlign w:val="center"/>
                </w:tcPr>
                <w:p w14:paraId="76E94070">
                  <w:pPr>
                    <w:pStyle w:val="83"/>
                    <w:rPr>
                      <w:rFonts w:hint="default"/>
                    </w:rPr>
                  </w:pPr>
                  <w:r>
                    <w:t>t/a</w:t>
                  </w:r>
                </w:p>
              </w:tc>
              <w:tc>
                <w:tcPr>
                  <w:tcW w:w="520" w:type="pct"/>
                  <w:vAlign w:val="center"/>
                </w:tcPr>
                <w:p w14:paraId="6D59F52E">
                  <w:pPr>
                    <w:pStyle w:val="83"/>
                    <w:rPr>
                      <w:rFonts w:hint="default"/>
                    </w:rPr>
                  </w:pPr>
                  <w:r>
                    <w:t>1.11</w:t>
                  </w:r>
                </w:p>
              </w:tc>
              <w:tc>
                <w:tcPr>
                  <w:tcW w:w="520" w:type="pct"/>
                  <w:vAlign w:val="center"/>
                </w:tcPr>
                <w:p w14:paraId="2F1FE684">
                  <w:pPr>
                    <w:pStyle w:val="83"/>
                    <w:rPr>
                      <w:rFonts w:hint="default"/>
                    </w:rPr>
                  </w:pPr>
                  <w:r>
                    <w:t>0.42</w:t>
                  </w:r>
                </w:p>
              </w:tc>
              <w:tc>
                <w:tcPr>
                  <w:tcW w:w="520" w:type="pct"/>
                  <w:vAlign w:val="center"/>
                </w:tcPr>
                <w:p w14:paraId="75DB12B8">
                  <w:pPr>
                    <w:pStyle w:val="83"/>
                    <w:rPr>
                      <w:rFonts w:hint="default"/>
                    </w:rPr>
                  </w:pPr>
                  <w:r>
                    <w:t>0.59</w:t>
                  </w:r>
                </w:p>
              </w:tc>
              <w:tc>
                <w:tcPr>
                  <w:tcW w:w="578" w:type="pct"/>
                  <w:vAlign w:val="center"/>
                </w:tcPr>
                <w:p w14:paraId="706A0298">
                  <w:pPr>
                    <w:pStyle w:val="83"/>
                    <w:rPr>
                      <w:rFonts w:hint="default"/>
                    </w:rPr>
                  </w:pPr>
                  <w:r>
                    <w:t>0.13</w:t>
                  </w:r>
                </w:p>
              </w:tc>
              <w:tc>
                <w:tcPr>
                  <w:tcW w:w="502" w:type="pct"/>
                  <w:vAlign w:val="center"/>
                </w:tcPr>
                <w:p w14:paraId="2DF274D6">
                  <w:pPr>
                    <w:pStyle w:val="83"/>
                    <w:rPr>
                      <w:rFonts w:hint="default"/>
                    </w:rPr>
                  </w:pPr>
                  <w:r>
                    <w:t>0.028</w:t>
                  </w:r>
                </w:p>
              </w:tc>
              <w:tc>
                <w:tcPr>
                  <w:tcW w:w="479" w:type="pct"/>
                  <w:vAlign w:val="center"/>
                </w:tcPr>
                <w:p w14:paraId="4978F3B5">
                  <w:pPr>
                    <w:pStyle w:val="83"/>
                    <w:rPr>
                      <w:rFonts w:hint="default"/>
                    </w:rPr>
                  </w:pPr>
                  <w:r>
                    <w:t>0.55</w:t>
                  </w:r>
                </w:p>
              </w:tc>
            </w:tr>
            <w:tr w14:paraId="64D605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447" w:type="pct"/>
                  <w:gridSpan w:val="3"/>
                  <w:vAlign w:val="center"/>
                </w:tcPr>
                <w:p w14:paraId="313BEA89">
                  <w:pPr>
                    <w:pStyle w:val="83"/>
                    <w:rPr>
                      <w:rFonts w:hint="default"/>
                    </w:rPr>
                  </w:pPr>
                  <w:r>
                    <w:t>治理措施及工艺</w:t>
                  </w:r>
                </w:p>
              </w:tc>
              <w:tc>
                <w:tcPr>
                  <w:tcW w:w="3552" w:type="pct"/>
                  <w:gridSpan w:val="7"/>
                  <w:vAlign w:val="center"/>
                </w:tcPr>
                <w:p w14:paraId="62A16614">
                  <w:pPr>
                    <w:pStyle w:val="83"/>
                    <w:rPr>
                      <w:rFonts w:hint="default"/>
                    </w:rPr>
                  </w:pPr>
                  <w:bookmarkStart w:id="29" w:name="OLE_LINK20"/>
                  <w:r>
                    <w:t>水解酸化+高效厌氧+A/O+MBR+RO</w:t>
                  </w:r>
                  <w:bookmarkEnd w:id="29"/>
                </w:p>
              </w:tc>
            </w:tr>
            <w:tr w14:paraId="208429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97" w:type="pct"/>
                  <w:vMerge w:val="restart"/>
                  <w:vAlign w:val="center"/>
                </w:tcPr>
                <w:p w14:paraId="018D94C1">
                  <w:pPr>
                    <w:pStyle w:val="83"/>
                    <w:rPr>
                      <w:rFonts w:hint="default"/>
                    </w:rPr>
                  </w:pPr>
                  <w:r>
                    <w:t>废水回用量</w:t>
                  </w:r>
                </w:p>
              </w:tc>
              <w:tc>
                <w:tcPr>
                  <w:tcW w:w="404" w:type="pct"/>
                  <w:vMerge w:val="restart"/>
                  <w:vAlign w:val="center"/>
                </w:tcPr>
                <w:p w14:paraId="2F906457">
                  <w:pPr>
                    <w:pStyle w:val="83"/>
                    <w:rPr>
                      <w:rFonts w:hint="default"/>
                    </w:rPr>
                  </w:pPr>
                  <w:r>
                    <w:t>18.52</w:t>
                  </w:r>
                </w:p>
              </w:tc>
              <w:tc>
                <w:tcPr>
                  <w:tcW w:w="545" w:type="pct"/>
                  <w:vMerge w:val="restart"/>
                  <w:vAlign w:val="center"/>
                </w:tcPr>
                <w:p w14:paraId="5166283C">
                  <w:pPr>
                    <w:pStyle w:val="83"/>
                    <w:rPr>
                      <w:rFonts w:hint="default"/>
                    </w:rPr>
                  </w:pPr>
                  <w:r>
                    <w:t>6759.8</w:t>
                  </w:r>
                </w:p>
              </w:tc>
              <w:tc>
                <w:tcPr>
                  <w:tcW w:w="433" w:type="pct"/>
                  <w:vAlign w:val="center"/>
                </w:tcPr>
                <w:p w14:paraId="572267D7">
                  <w:pPr>
                    <w:pStyle w:val="83"/>
                    <w:rPr>
                      <w:rFonts w:hint="default"/>
                    </w:rPr>
                  </w:pPr>
                  <w:r>
                    <w:t>mg/L</w:t>
                  </w:r>
                </w:p>
              </w:tc>
              <w:tc>
                <w:tcPr>
                  <w:tcW w:w="520" w:type="pct"/>
                  <w:vAlign w:val="center"/>
                </w:tcPr>
                <w:p w14:paraId="5DF683C3">
                  <w:pPr>
                    <w:pStyle w:val="83"/>
                    <w:rPr>
                      <w:rFonts w:hint="default"/>
                    </w:rPr>
                  </w:pPr>
                  <w:r>
                    <w:t>4.00</w:t>
                  </w:r>
                </w:p>
              </w:tc>
              <w:tc>
                <w:tcPr>
                  <w:tcW w:w="520" w:type="pct"/>
                  <w:vAlign w:val="center"/>
                </w:tcPr>
                <w:p w14:paraId="5529B5D1">
                  <w:pPr>
                    <w:pStyle w:val="83"/>
                    <w:rPr>
                      <w:rFonts w:hint="default"/>
                    </w:rPr>
                  </w:pPr>
                  <w:r>
                    <w:t>1.00</w:t>
                  </w:r>
                </w:p>
              </w:tc>
              <w:tc>
                <w:tcPr>
                  <w:tcW w:w="520" w:type="pct"/>
                  <w:vAlign w:val="center"/>
                </w:tcPr>
                <w:p w14:paraId="3C30F4EF">
                  <w:pPr>
                    <w:pStyle w:val="83"/>
                    <w:rPr>
                      <w:rFonts w:hint="default"/>
                    </w:rPr>
                  </w:pPr>
                  <w:r>
                    <w:t>10.00</w:t>
                  </w:r>
                </w:p>
              </w:tc>
              <w:tc>
                <w:tcPr>
                  <w:tcW w:w="578" w:type="pct"/>
                  <w:vAlign w:val="center"/>
                </w:tcPr>
                <w:p w14:paraId="3D313EC7">
                  <w:pPr>
                    <w:pStyle w:val="83"/>
                    <w:rPr>
                      <w:rFonts w:hint="default"/>
                    </w:rPr>
                  </w:pPr>
                  <w:r>
                    <w:t>0.05</w:t>
                  </w:r>
                </w:p>
              </w:tc>
              <w:tc>
                <w:tcPr>
                  <w:tcW w:w="502" w:type="pct"/>
                  <w:vAlign w:val="center"/>
                </w:tcPr>
                <w:p w14:paraId="25423CD9">
                  <w:pPr>
                    <w:pStyle w:val="83"/>
                    <w:rPr>
                      <w:rFonts w:hint="default"/>
                    </w:rPr>
                  </w:pPr>
                  <w:r>
                    <w:t>0.10</w:t>
                  </w:r>
                </w:p>
              </w:tc>
              <w:tc>
                <w:tcPr>
                  <w:tcW w:w="479" w:type="pct"/>
                  <w:vAlign w:val="center"/>
                </w:tcPr>
                <w:p w14:paraId="79252187">
                  <w:pPr>
                    <w:pStyle w:val="83"/>
                    <w:rPr>
                      <w:rFonts w:hint="default"/>
                    </w:rPr>
                  </w:pPr>
                  <w:r>
                    <w:t>3.00</w:t>
                  </w:r>
                </w:p>
              </w:tc>
            </w:tr>
            <w:tr w14:paraId="742488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97" w:type="pct"/>
                  <w:vMerge w:val="continue"/>
                  <w:vAlign w:val="center"/>
                </w:tcPr>
                <w:p w14:paraId="09499343">
                  <w:pPr>
                    <w:pStyle w:val="83"/>
                    <w:rPr>
                      <w:rFonts w:hint="default"/>
                    </w:rPr>
                  </w:pPr>
                </w:p>
              </w:tc>
              <w:tc>
                <w:tcPr>
                  <w:tcW w:w="404" w:type="pct"/>
                  <w:vMerge w:val="continue"/>
                  <w:vAlign w:val="center"/>
                </w:tcPr>
                <w:p w14:paraId="66A33838">
                  <w:pPr>
                    <w:pStyle w:val="83"/>
                    <w:rPr>
                      <w:rFonts w:hint="default"/>
                    </w:rPr>
                  </w:pPr>
                </w:p>
              </w:tc>
              <w:tc>
                <w:tcPr>
                  <w:tcW w:w="545" w:type="pct"/>
                  <w:vMerge w:val="continue"/>
                  <w:vAlign w:val="center"/>
                </w:tcPr>
                <w:p w14:paraId="1EB0B61B">
                  <w:pPr>
                    <w:pStyle w:val="83"/>
                    <w:rPr>
                      <w:rFonts w:hint="default"/>
                    </w:rPr>
                  </w:pPr>
                </w:p>
              </w:tc>
              <w:tc>
                <w:tcPr>
                  <w:tcW w:w="433" w:type="pct"/>
                  <w:vAlign w:val="center"/>
                </w:tcPr>
                <w:p w14:paraId="7C46E3A6">
                  <w:pPr>
                    <w:pStyle w:val="83"/>
                    <w:rPr>
                      <w:rFonts w:hint="default"/>
                    </w:rPr>
                  </w:pPr>
                  <w:r>
                    <w:t>t/a</w:t>
                  </w:r>
                </w:p>
              </w:tc>
              <w:tc>
                <w:tcPr>
                  <w:tcW w:w="851" w:type="dxa"/>
                  <w:vAlign w:val="center"/>
                </w:tcPr>
                <w:p w14:paraId="46986033">
                  <w:pPr>
                    <w:pStyle w:val="83"/>
                    <w:rPr>
                      <w:rFonts w:hint="default"/>
                    </w:rPr>
                  </w:pPr>
                  <w:r>
                    <w:t>0.027</w:t>
                  </w:r>
                </w:p>
              </w:tc>
              <w:tc>
                <w:tcPr>
                  <w:tcW w:w="851" w:type="dxa"/>
                  <w:vAlign w:val="center"/>
                </w:tcPr>
                <w:p w14:paraId="5EAF58F8">
                  <w:pPr>
                    <w:pStyle w:val="83"/>
                    <w:rPr>
                      <w:rFonts w:hint="default"/>
                    </w:rPr>
                  </w:pPr>
                  <w:r>
                    <w:t>0.0068</w:t>
                  </w:r>
                </w:p>
              </w:tc>
              <w:tc>
                <w:tcPr>
                  <w:tcW w:w="851" w:type="dxa"/>
                  <w:vAlign w:val="center"/>
                </w:tcPr>
                <w:p w14:paraId="07F51723">
                  <w:pPr>
                    <w:pStyle w:val="83"/>
                    <w:rPr>
                      <w:rFonts w:hint="default"/>
                    </w:rPr>
                  </w:pPr>
                  <w:r>
                    <w:t>0.068</w:t>
                  </w:r>
                </w:p>
              </w:tc>
              <w:tc>
                <w:tcPr>
                  <w:tcW w:w="946" w:type="dxa"/>
                  <w:vAlign w:val="center"/>
                </w:tcPr>
                <w:p w14:paraId="6085428D">
                  <w:pPr>
                    <w:pStyle w:val="83"/>
                    <w:rPr>
                      <w:rFonts w:hint="default"/>
                    </w:rPr>
                  </w:pPr>
                  <w:r>
                    <w:t>0.0003</w:t>
                  </w:r>
                </w:p>
              </w:tc>
              <w:tc>
                <w:tcPr>
                  <w:tcW w:w="822" w:type="dxa"/>
                  <w:vAlign w:val="center"/>
                </w:tcPr>
                <w:p w14:paraId="7356F4D6">
                  <w:pPr>
                    <w:pStyle w:val="83"/>
                    <w:rPr>
                      <w:rFonts w:hint="default"/>
                    </w:rPr>
                  </w:pPr>
                  <w:r>
                    <w:t>0.0007</w:t>
                  </w:r>
                </w:p>
              </w:tc>
              <w:tc>
                <w:tcPr>
                  <w:tcW w:w="784" w:type="dxa"/>
                  <w:vAlign w:val="center"/>
                </w:tcPr>
                <w:p w14:paraId="69FB98DF">
                  <w:pPr>
                    <w:pStyle w:val="83"/>
                    <w:rPr>
                      <w:rFonts w:hint="default"/>
                    </w:rPr>
                  </w:pPr>
                  <w:r>
                    <w:t>0.02</w:t>
                  </w:r>
                </w:p>
              </w:tc>
            </w:tr>
            <w:tr w14:paraId="186DE1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447" w:type="pct"/>
                  <w:gridSpan w:val="3"/>
                  <w:vAlign w:val="center"/>
                </w:tcPr>
                <w:p w14:paraId="38A2742D">
                  <w:pPr>
                    <w:pStyle w:val="83"/>
                    <w:rPr>
                      <w:rFonts w:hint="default"/>
                    </w:rPr>
                  </w:pPr>
                  <w:r>
                    <w:t>废水回用水质标准</w:t>
                  </w:r>
                </w:p>
              </w:tc>
              <w:tc>
                <w:tcPr>
                  <w:tcW w:w="433" w:type="pct"/>
                  <w:vAlign w:val="center"/>
                </w:tcPr>
                <w:p w14:paraId="4B4FB4B2">
                  <w:pPr>
                    <w:pStyle w:val="83"/>
                    <w:rPr>
                      <w:rFonts w:hint="default"/>
                    </w:rPr>
                  </w:pPr>
                  <w:r>
                    <w:t>mg/L</w:t>
                  </w:r>
                </w:p>
              </w:tc>
              <w:tc>
                <w:tcPr>
                  <w:tcW w:w="520" w:type="pct"/>
                  <w:vAlign w:val="center"/>
                </w:tcPr>
                <w:p w14:paraId="4BD3DC0B">
                  <w:pPr>
                    <w:pStyle w:val="83"/>
                    <w:rPr>
                      <w:rFonts w:hint="default"/>
                    </w:rPr>
                  </w:pPr>
                  <w:r>
                    <w:t>50</w:t>
                  </w:r>
                </w:p>
              </w:tc>
              <w:tc>
                <w:tcPr>
                  <w:tcW w:w="520" w:type="pct"/>
                  <w:vAlign w:val="center"/>
                </w:tcPr>
                <w:p w14:paraId="19AD617F">
                  <w:pPr>
                    <w:pStyle w:val="83"/>
                    <w:rPr>
                      <w:rFonts w:hint="default"/>
                    </w:rPr>
                  </w:pPr>
                  <w:r>
                    <w:t>10</w:t>
                  </w:r>
                </w:p>
              </w:tc>
              <w:tc>
                <w:tcPr>
                  <w:tcW w:w="520" w:type="pct"/>
                  <w:vAlign w:val="center"/>
                </w:tcPr>
                <w:p w14:paraId="2B821443">
                  <w:pPr>
                    <w:pStyle w:val="83"/>
                    <w:rPr>
                      <w:rFonts w:hint="default"/>
                    </w:rPr>
                  </w:pPr>
                  <w:r>
                    <w:t>/</w:t>
                  </w:r>
                </w:p>
              </w:tc>
              <w:tc>
                <w:tcPr>
                  <w:tcW w:w="578" w:type="pct"/>
                  <w:vAlign w:val="center"/>
                </w:tcPr>
                <w:p w14:paraId="385020FD">
                  <w:pPr>
                    <w:pStyle w:val="83"/>
                    <w:rPr>
                      <w:rFonts w:hint="default"/>
                    </w:rPr>
                  </w:pPr>
                  <w:r>
                    <w:t>5</w:t>
                  </w:r>
                </w:p>
              </w:tc>
              <w:tc>
                <w:tcPr>
                  <w:tcW w:w="502" w:type="pct"/>
                  <w:vAlign w:val="center"/>
                </w:tcPr>
                <w:p w14:paraId="750E4ACC">
                  <w:pPr>
                    <w:pStyle w:val="83"/>
                    <w:rPr>
                      <w:rFonts w:hint="default"/>
                    </w:rPr>
                  </w:pPr>
                  <w:r>
                    <w:t>1</w:t>
                  </w:r>
                </w:p>
              </w:tc>
              <w:tc>
                <w:tcPr>
                  <w:tcW w:w="479" w:type="pct"/>
                  <w:vAlign w:val="center"/>
                </w:tcPr>
                <w:p w14:paraId="4058597D">
                  <w:pPr>
                    <w:pStyle w:val="83"/>
                    <w:rPr>
                      <w:rFonts w:hint="default"/>
                    </w:rPr>
                  </w:pPr>
                  <w:r>
                    <w:t>/</w:t>
                  </w:r>
                </w:p>
              </w:tc>
            </w:tr>
            <w:tr w14:paraId="48E043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447" w:type="pct"/>
                  <w:gridSpan w:val="3"/>
                  <w:vAlign w:val="center"/>
                </w:tcPr>
                <w:p w14:paraId="4A61BAB3">
                  <w:pPr>
                    <w:pStyle w:val="83"/>
                    <w:rPr>
                      <w:rFonts w:hint="default"/>
                    </w:rPr>
                  </w:pPr>
                  <w:r>
                    <w:t>达标性</w:t>
                  </w:r>
                </w:p>
              </w:tc>
              <w:tc>
                <w:tcPr>
                  <w:tcW w:w="433" w:type="pct"/>
                  <w:vAlign w:val="center"/>
                </w:tcPr>
                <w:p w14:paraId="22444277">
                  <w:pPr>
                    <w:pStyle w:val="83"/>
                    <w:rPr>
                      <w:rFonts w:hint="default"/>
                    </w:rPr>
                  </w:pPr>
                  <w:r>
                    <w:t>/</w:t>
                  </w:r>
                </w:p>
              </w:tc>
              <w:tc>
                <w:tcPr>
                  <w:tcW w:w="520" w:type="pct"/>
                  <w:vAlign w:val="center"/>
                </w:tcPr>
                <w:p w14:paraId="2FB6961D">
                  <w:pPr>
                    <w:pStyle w:val="83"/>
                    <w:rPr>
                      <w:rFonts w:hint="default"/>
                    </w:rPr>
                  </w:pPr>
                  <w:r>
                    <w:t>达标</w:t>
                  </w:r>
                </w:p>
              </w:tc>
              <w:tc>
                <w:tcPr>
                  <w:tcW w:w="520" w:type="pct"/>
                  <w:vAlign w:val="center"/>
                </w:tcPr>
                <w:p w14:paraId="0AA9A9EF">
                  <w:pPr>
                    <w:pStyle w:val="83"/>
                    <w:rPr>
                      <w:rFonts w:hint="default"/>
                    </w:rPr>
                  </w:pPr>
                  <w:r>
                    <w:t>达标</w:t>
                  </w:r>
                </w:p>
              </w:tc>
              <w:tc>
                <w:tcPr>
                  <w:tcW w:w="520" w:type="pct"/>
                  <w:vAlign w:val="center"/>
                </w:tcPr>
                <w:p w14:paraId="29E8EFAC">
                  <w:pPr>
                    <w:pStyle w:val="83"/>
                    <w:rPr>
                      <w:rFonts w:hint="default"/>
                    </w:rPr>
                  </w:pPr>
                  <w:r>
                    <w:t>达标</w:t>
                  </w:r>
                </w:p>
              </w:tc>
              <w:tc>
                <w:tcPr>
                  <w:tcW w:w="578" w:type="pct"/>
                  <w:vAlign w:val="center"/>
                </w:tcPr>
                <w:p w14:paraId="683F55A6">
                  <w:pPr>
                    <w:pStyle w:val="83"/>
                    <w:rPr>
                      <w:rFonts w:hint="default"/>
                    </w:rPr>
                  </w:pPr>
                  <w:r>
                    <w:t>达标</w:t>
                  </w:r>
                </w:p>
              </w:tc>
              <w:tc>
                <w:tcPr>
                  <w:tcW w:w="502" w:type="pct"/>
                  <w:vAlign w:val="center"/>
                </w:tcPr>
                <w:p w14:paraId="60C5BC09">
                  <w:pPr>
                    <w:pStyle w:val="83"/>
                    <w:rPr>
                      <w:rFonts w:hint="default"/>
                    </w:rPr>
                  </w:pPr>
                  <w:r>
                    <w:t>达标</w:t>
                  </w:r>
                </w:p>
              </w:tc>
              <w:tc>
                <w:tcPr>
                  <w:tcW w:w="479" w:type="pct"/>
                  <w:vAlign w:val="center"/>
                </w:tcPr>
                <w:p w14:paraId="1CCB9357">
                  <w:pPr>
                    <w:pStyle w:val="83"/>
                    <w:rPr>
                      <w:rFonts w:hint="default"/>
                    </w:rPr>
                  </w:pPr>
                  <w:r>
                    <w:t>达标</w:t>
                  </w:r>
                </w:p>
              </w:tc>
            </w:tr>
            <w:bookmarkEnd w:id="28"/>
          </w:tbl>
          <w:p w14:paraId="5E9AB456">
            <w:pPr>
              <w:pStyle w:val="13"/>
            </w:pPr>
            <w:r>
              <w:rPr>
                <w:rFonts w:hint="eastAsia"/>
              </w:rPr>
              <w:t>表4.2-8  本项目新增生活污水排放达标情况一览表</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87"/>
              <w:gridCol w:w="858"/>
              <w:gridCol w:w="858"/>
              <w:gridCol w:w="859"/>
              <w:gridCol w:w="856"/>
              <w:gridCol w:w="858"/>
              <w:gridCol w:w="856"/>
              <w:gridCol w:w="846"/>
              <w:gridCol w:w="7"/>
            </w:tblGrid>
            <w:tr w14:paraId="61368D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6" w:type="pct"/>
                  <w:vMerge w:val="restart"/>
                  <w:vAlign w:val="center"/>
                </w:tcPr>
                <w:p w14:paraId="70052DE4">
                  <w:pPr>
                    <w:pStyle w:val="83"/>
                    <w:rPr>
                      <w:rFonts w:hint="default"/>
                    </w:rPr>
                  </w:pPr>
                  <w:r>
                    <w:t>废水污染源</w:t>
                  </w:r>
                </w:p>
              </w:tc>
              <w:tc>
                <w:tcPr>
                  <w:tcW w:w="1048" w:type="pct"/>
                  <w:gridSpan w:val="2"/>
                  <w:vAlign w:val="center"/>
                </w:tcPr>
                <w:p w14:paraId="11BE7E30">
                  <w:pPr>
                    <w:pStyle w:val="83"/>
                    <w:rPr>
                      <w:rFonts w:hint="default"/>
                    </w:rPr>
                  </w:pPr>
                  <w:r>
                    <w:t>水量</w:t>
                  </w:r>
                </w:p>
              </w:tc>
              <w:tc>
                <w:tcPr>
                  <w:tcW w:w="525" w:type="pct"/>
                  <w:vMerge w:val="restart"/>
                  <w:vAlign w:val="center"/>
                </w:tcPr>
                <w:p w14:paraId="53FBC2BD">
                  <w:pPr>
                    <w:pStyle w:val="83"/>
                    <w:rPr>
                      <w:rFonts w:hint="default"/>
                    </w:rPr>
                  </w:pPr>
                  <w:r>
                    <w:t>单位</w:t>
                  </w:r>
                </w:p>
              </w:tc>
              <w:tc>
                <w:tcPr>
                  <w:tcW w:w="523" w:type="pct"/>
                  <w:vMerge w:val="restart"/>
                  <w:vAlign w:val="center"/>
                </w:tcPr>
                <w:p w14:paraId="7C6ABB8D">
                  <w:pPr>
                    <w:pStyle w:val="83"/>
                    <w:rPr>
                      <w:rFonts w:hint="default"/>
                    </w:rPr>
                  </w:pPr>
                  <w:r>
                    <w:t>COD</w:t>
                  </w:r>
                </w:p>
              </w:tc>
              <w:tc>
                <w:tcPr>
                  <w:tcW w:w="524" w:type="pct"/>
                  <w:vMerge w:val="restart"/>
                  <w:vAlign w:val="center"/>
                </w:tcPr>
                <w:p w14:paraId="25AA09D5">
                  <w:pPr>
                    <w:pStyle w:val="83"/>
                    <w:rPr>
                      <w:rFonts w:hint="default"/>
                    </w:rPr>
                  </w:pPr>
                  <w:r>
                    <w:t>BOD</w:t>
                  </w:r>
                  <w:r>
                    <w:rPr>
                      <w:vertAlign w:val="subscript"/>
                    </w:rPr>
                    <w:t>5</w:t>
                  </w:r>
                </w:p>
              </w:tc>
              <w:tc>
                <w:tcPr>
                  <w:tcW w:w="523" w:type="pct"/>
                  <w:vMerge w:val="restart"/>
                  <w:vAlign w:val="center"/>
                </w:tcPr>
                <w:p w14:paraId="074802BB">
                  <w:pPr>
                    <w:pStyle w:val="83"/>
                    <w:rPr>
                      <w:rFonts w:hint="default"/>
                    </w:rPr>
                  </w:pPr>
                  <w:r>
                    <w:t>SS</w:t>
                  </w:r>
                </w:p>
              </w:tc>
              <w:tc>
                <w:tcPr>
                  <w:tcW w:w="522" w:type="pct"/>
                  <w:gridSpan w:val="2"/>
                  <w:vMerge w:val="restart"/>
                  <w:vAlign w:val="center"/>
                </w:tcPr>
                <w:p w14:paraId="709D64F2">
                  <w:pPr>
                    <w:pStyle w:val="83"/>
                    <w:rPr>
                      <w:rFonts w:hint="default"/>
                    </w:rPr>
                  </w:pPr>
                  <w:r>
                    <w:t>氨氮</w:t>
                  </w:r>
                </w:p>
              </w:tc>
            </w:tr>
            <w:tr w14:paraId="21C317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6" w:type="pct"/>
                  <w:vMerge w:val="continue"/>
                  <w:vAlign w:val="center"/>
                </w:tcPr>
                <w:p w14:paraId="04E9DA7F">
                  <w:pPr>
                    <w:pStyle w:val="83"/>
                    <w:rPr>
                      <w:rFonts w:hint="default"/>
                    </w:rPr>
                  </w:pPr>
                </w:p>
              </w:tc>
              <w:tc>
                <w:tcPr>
                  <w:tcW w:w="524" w:type="pct"/>
                  <w:vAlign w:val="center"/>
                </w:tcPr>
                <w:p w14:paraId="1A6FED64">
                  <w:pPr>
                    <w:pStyle w:val="83"/>
                    <w:rPr>
                      <w:rFonts w:hint="default"/>
                    </w:rPr>
                  </w:pPr>
                  <w:r>
                    <w:t>m</w:t>
                  </w:r>
                  <w:r>
                    <w:rPr>
                      <w:vertAlign w:val="superscript"/>
                    </w:rPr>
                    <w:t>3</w:t>
                  </w:r>
                  <w:r>
                    <w:t>/d</w:t>
                  </w:r>
                </w:p>
              </w:tc>
              <w:tc>
                <w:tcPr>
                  <w:tcW w:w="523" w:type="pct"/>
                  <w:vAlign w:val="center"/>
                </w:tcPr>
                <w:p w14:paraId="52F2D218">
                  <w:pPr>
                    <w:pStyle w:val="83"/>
                    <w:rPr>
                      <w:rFonts w:hint="default"/>
                    </w:rPr>
                  </w:pPr>
                  <w:r>
                    <w:t>m</w:t>
                  </w:r>
                  <w:r>
                    <w:rPr>
                      <w:vertAlign w:val="superscript"/>
                    </w:rPr>
                    <w:t>3</w:t>
                  </w:r>
                  <w:r>
                    <w:t>/a</w:t>
                  </w:r>
                </w:p>
              </w:tc>
              <w:tc>
                <w:tcPr>
                  <w:tcW w:w="525" w:type="pct"/>
                  <w:vMerge w:val="continue"/>
                  <w:vAlign w:val="center"/>
                </w:tcPr>
                <w:p w14:paraId="4872C879">
                  <w:pPr>
                    <w:pStyle w:val="83"/>
                    <w:rPr>
                      <w:rFonts w:hint="default"/>
                    </w:rPr>
                  </w:pPr>
                </w:p>
              </w:tc>
              <w:tc>
                <w:tcPr>
                  <w:tcW w:w="523" w:type="pct"/>
                  <w:vMerge w:val="continue"/>
                  <w:vAlign w:val="center"/>
                </w:tcPr>
                <w:p w14:paraId="7681970E">
                  <w:pPr>
                    <w:pStyle w:val="83"/>
                    <w:rPr>
                      <w:rFonts w:hint="default"/>
                    </w:rPr>
                  </w:pPr>
                </w:p>
              </w:tc>
              <w:tc>
                <w:tcPr>
                  <w:tcW w:w="524" w:type="pct"/>
                  <w:vMerge w:val="continue"/>
                  <w:vAlign w:val="center"/>
                </w:tcPr>
                <w:p w14:paraId="648CF0C4">
                  <w:pPr>
                    <w:pStyle w:val="83"/>
                    <w:rPr>
                      <w:rFonts w:hint="default"/>
                    </w:rPr>
                  </w:pPr>
                </w:p>
              </w:tc>
              <w:tc>
                <w:tcPr>
                  <w:tcW w:w="523" w:type="pct"/>
                  <w:vMerge w:val="continue"/>
                  <w:vAlign w:val="center"/>
                </w:tcPr>
                <w:p w14:paraId="0DFD72A3">
                  <w:pPr>
                    <w:pStyle w:val="83"/>
                    <w:rPr>
                      <w:rFonts w:hint="default"/>
                    </w:rPr>
                  </w:pPr>
                </w:p>
              </w:tc>
              <w:tc>
                <w:tcPr>
                  <w:tcW w:w="522" w:type="pct"/>
                  <w:gridSpan w:val="2"/>
                  <w:vMerge w:val="continue"/>
                  <w:vAlign w:val="center"/>
                </w:tcPr>
                <w:p w14:paraId="4F238C1D">
                  <w:pPr>
                    <w:pStyle w:val="83"/>
                    <w:rPr>
                      <w:rFonts w:hint="default"/>
                    </w:rPr>
                  </w:pPr>
                </w:p>
              </w:tc>
            </w:tr>
            <w:tr w14:paraId="4DE583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6" w:type="pct"/>
                  <w:vMerge w:val="restart"/>
                  <w:vAlign w:val="center"/>
                </w:tcPr>
                <w:p w14:paraId="5469FAC5">
                  <w:pPr>
                    <w:pStyle w:val="83"/>
                    <w:rPr>
                      <w:rFonts w:hint="default"/>
                    </w:rPr>
                  </w:pPr>
                  <w:r>
                    <w:t>生活污水</w:t>
                  </w:r>
                </w:p>
              </w:tc>
              <w:tc>
                <w:tcPr>
                  <w:tcW w:w="524" w:type="pct"/>
                  <w:vMerge w:val="restart"/>
                  <w:vAlign w:val="center"/>
                </w:tcPr>
                <w:p w14:paraId="00C62CEA">
                  <w:pPr>
                    <w:pStyle w:val="83"/>
                    <w:rPr>
                      <w:rFonts w:hint="default"/>
                    </w:rPr>
                  </w:pPr>
                  <w:r>
                    <w:t>6.56</w:t>
                  </w:r>
                </w:p>
              </w:tc>
              <w:tc>
                <w:tcPr>
                  <w:tcW w:w="523" w:type="pct"/>
                  <w:vMerge w:val="restart"/>
                  <w:vAlign w:val="center"/>
                </w:tcPr>
                <w:p w14:paraId="4DB5BC36">
                  <w:pPr>
                    <w:pStyle w:val="83"/>
                    <w:rPr>
                      <w:rFonts w:hint="default"/>
                    </w:rPr>
                  </w:pPr>
                  <w:r>
                    <w:t>2394.4</w:t>
                  </w:r>
                </w:p>
              </w:tc>
              <w:tc>
                <w:tcPr>
                  <w:tcW w:w="525" w:type="pct"/>
                  <w:vAlign w:val="center"/>
                </w:tcPr>
                <w:p w14:paraId="50024E17">
                  <w:pPr>
                    <w:pStyle w:val="83"/>
                    <w:rPr>
                      <w:rFonts w:hint="default"/>
                    </w:rPr>
                  </w:pPr>
                  <w:r>
                    <w:t>mg/L</w:t>
                  </w:r>
                </w:p>
              </w:tc>
              <w:tc>
                <w:tcPr>
                  <w:tcW w:w="523" w:type="pct"/>
                  <w:vAlign w:val="center"/>
                </w:tcPr>
                <w:p w14:paraId="037AB1EF">
                  <w:pPr>
                    <w:pStyle w:val="83"/>
                    <w:rPr>
                      <w:rFonts w:hint="default"/>
                    </w:rPr>
                  </w:pPr>
                  <w:r>
                    <w:t>400</w:t>
                  </w:r>
                </w:p>
              </w:tc>
              <w:tc>
                <w:tcPr>
                  <w:tcW w:w="524" w:type="pct"/>
                  <w:vAlign w:val="center"/>
                </w:tcPr>
                <w:p w14:paraId="1508CEAE">
                  <w:pPr>
                    <w:pStyle w:val="83"/>
                    <w:rPr>
                      <w:rFonts w:hint="default"/>
                    </w:rPr>
                  </w:pPr>
                  <w:r>
                    <w:t>200</w:t>
                  </w:r>
                </w:p>
              </w:tc>
              <w:tc>
                <w:tcPr>
                  <w:tcW w:w="523" w:type="pct"/>
                  <w:vAlign w:val="center"/>
                </w:tcPr>
                <w:p w14:paraId="0DEDAD2D">
                  <w:pPr>
                    <w:pStyle w:val="83"/>
                    <w:rPr>
                      <w:rFonts w:hint="default"/>
                    </w:rPr>
                  </w:pPr>
                  <w:r>
                    <w:t>220</w:t>
                  </w:r>
                </w:p>
              </w:tc>
              <w:tc>
                <w:tcPr>
                  <w:tcW w:w="522" w:type="pct"/>
                  <w:gridSpan w:val="2"/>
                  <w:vAlign w:val="center"/>
                </w:tcPr>
                <w:p w14:paraId="72194128">
                  <w:pPr>
                    <w:pStyle w:val="83"/>
                    <w:rPr>
                      <w:rFonts w:hint="default"/>
                    </w:rPr>
                  </w:pPr>
                  <w:r>
                    <w:t>35</w:t>
                  </w:r>
                </w:p>
              </w:tc>
            </w:tr>
            <w:tr w14:paraId="44CE50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6" w:type="pct"/>
                  <w:vMerge w:val="continue"/>
                  <w:vAlign w:val="center"/>
                </w:tcPr>
                <w:p w14:paraId="78DFB7B8">
                  <w:pPr>
                    <w:pStyle w:val="83"/>
                    <w:rPr>
                      <w:rFonts w:hint="default"/>
                    </w:rPr>
                  </w:pPr>
                </w:p>
              </w:tc>
              <w:tc>
                <w:tcPr>
                  <w:tcW w:w="524" w:type="pct"/>
                  <w:vMerge w:val="continue"/>
                  <w:vAlign w:val="center"/>
                </w:tcPr>
                <w:p w14:paraId="3997FF70">
                  <w:pPr>
                    <w:pStyle w:val="83"/>
                    <w:rPr>
                      <w:rFonts w:hint="default"/>
                    </w:rPr>
                  </w:pPr>
                </w:p>
              </w:tc>
              <w:tc>
                <w:tcPr>
                  <w:tcW w:w="523" w:type="pct"/>
                  <w:vMerge w:val="continue"/>
                  <w:vAlign w:val="center"/>
                </w:tcPr>
                <w:p w14:paraId="172F2D41">
                  <w:pPr>
                    <w:pStyle w:val="83"/>
                    <w:rPr>
                      <w:rFonts w:hint="default"/>
                    </w:rPr>
                  </w:pPr>
                </w:p>
              </w:tc>
              <w:tc>
                <w:tcPr>
                  <w:tcW w:w="525" w:type="pct"/>
                  <w:vAlign w:val="center"/>
                </w:tcPr>
                <w:p w14:paraId="07E7C79F">
                  <w:pPr>
                    <w:pStyle w:val="83"/>
                    <w:rPr>
                      <w:rFonts w:hint="default"/>
                    </w:rPr>
                  </w:pPr>
                  <w:r>
                    <w:t>t/a</w:t>
                  </w:r>
                </w:p>
              </w:tc>
              <w:tc>
                <w:tcPr>
                  <w:tcW w:w="523" w:type="pct"/>
                  <w:vAlign w:val="center"/>
                </w:tcPr>
                <w:p w14:paraId="61E1CA4B">
                  <w:pPr>
                    <w:pStyle w:val="83"/>
                    <w:rPr>
                      <w:rFonts w:hint="default"/>
                    </w:rPr>
                  </w:pPr>
                  <w:r>
                    <w:t>0.96</w:t>
                  </w:r>
                </w:p>
              </w:tc>
              <w:tc>
                <w:tcPr>
                  <w:tcW w:w="524" w:type="pct"/>
                  <w:vAlign w:val="center"/>
                </w:tcPr>
                <w:p w14:paraId="2E1A8D8B">
                  <w:pPr>
                    <w:pStyle w:val="83"/>
                    <w:rPr>
                      <w:rFonts w:hint="default"/>
                    </w:rPr>
                  </w:pPr>
                  <w:r>
                    <w:t>0.48</w:t>
                  </w:r>
                </w:p>
              </w:tc>
              <w:tc>
                <w:tcPr>
                  <w:tcW w:w="523" w:type="pct"/>
                  <w:vAlign w:val="center"/>
                </w:tcPr>
                <w:p w14:paraId="4BB4CF5C">
                  <w:pPr>
                    <w:pStyle w:val="83"/>
                    <w:rPr>
                      <w:rFonts w:hint="default"/>
                    </w:rPr>
                  </w:pPr>
                  <w:r>
                    <w:t>0.53</w:t>
                  </w:r>
                </w:p>
              </w:tc>
              <w:tc>
                <w:tcPr>
                  <w:tcW w:w="522" w:type="pct"/>
                  <w:gridSpan w:val="2"/>
                  <w:vAlign w:val="center"/>
                </w:tcPr>
                <w:p w14:paraId="7283C94C">
                  <w:pPr>
                    <w:pStyle w:val="83"/>
                    <w:rPr>
                      <w:rFonts w:hint="default"/>
                    </w:rPr>
                  </w:pPr>
                  <w:r>
                    <w:t>0.084</w:t>
                  </w:r>
                </w:p>
              </w:tc>
            </w:tr>
            <w:tr w14:paraId="4EA00F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5" w:type="pct"/>
                <w:trHeight w:val="340" w:hRule="atLeast"/>
                <w:jc w:val="center"/>
              </w:trPr>
              <w:tc>
                <w:tcPr>
                  <w:tcW w:w="2383" w:type="pct"/>
                  <w:gridSpan w:val="3"/>
                  <w:vAlign w:val="center"/>
                </w:tcPr>
                <w:p w14:paraId="39EEAF78">
                  <w:pPr>
                    <w:pStyle w:val="83"/>
                    <w:rPr>
                      <w:rFonts w:hint="default"/>
                    </w:rPr>
                  </w:pPr>
                  <w:r>
                    <w:t>治理措施及工艺</w:t>
                  </w:r>
                </w:p>
              </w:tc>
              <w:tc>
                <w:tcPr>
                  <w:tcW w:w="2612" w:type="pct"/>
                  <w:gridSpan w:val="5"/>
                  <w:vAlign w:val="center"/>
                </w:tcPr>
                <w:p w14:paraId="14CE6FB4">
                  <w:pPr>
                    <w:pStyle w:val="83"/>
                    <w:rPr>
                      <w:rFonts w:hint="default"/>
                    </w:rPr>
                  </w:pPr>
                  <w:r>
                    <w:t>化粪池</w:t>
                  </w:r>
                </w:p>
              </w:tc>
            </w:tr>
            <w:tr w14:paraId="02DEF7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6" w:type="pct"/>
                  <w:vMerge w:val="restart"/>
                  <w:vAlign w:val="center"/>
                </w:tcPr>
                <w:p w14:paraId="6D7D9E6B">
                  <w:pPr>
                    <w:pStyle w:val="83"/>
                    <w:rPr>
                      <w:rFonts w:hint="default"/>
                    </w:rPr>
                  </w:pPr>
                  <w:r>
                    <w:t>厂内污水预处理后排放量</w:t>
                  </w:r>
                </w:p>
              </w:tc>
              <w:tc>
                <w:tcPr>
                  <w:tcW w:w="858" w:type="dxa"/>
                  <w:vMerge w:val="restart"/>
                  <w:vAlign w:val="center"/>
                </w:tcPr>
                <w:p w14:paraId="07336171">
                  <w:pPr>
                    <w:pStyle w:val="83"/>
                    <w:rPr>
                      <w:rFonts w:hint="default"/>
                    </w:rPr>
                  </w:pPr>
                  <w:r>
                    <w:t>6.56</w:t>
                  </w:r>
                </w:p>
              </w:tc>
              <w:tc>
                <w:tcPr>
                  <w:tcW w:w="858" w:type="dxa"/>
                  <w:vMerge w:val="restart"/>
                  <w:vAlign w:val="center"/>
                </w:tcPr>
                <w:p w14:paraId="592DD52F">
                  <w:pPr>
                    <w:pStyle w:val="83"/>
                    <w:rPr>
                      <w:rFonts w:hint="default"/>
                    </w:rPr>
                  </w:pPr>
                  <w:r>
                    <w:t>2394.4</w:t>
                  </w:r>
                </w:p>
              </w:tc>
              <w:tc>
                <w:tcPr>
                  <w:tcW w:w="525" w:type="pct"/>
                  <w:vAlign w:val="center"/>
                </w:tcPr>
                <w:p w14:paraId="4E586190">
                  <w:pPr>
                    <w:pStyle w:val="83"/>
                    <w:rPr>
                      <w:rFonts w:hint="default"/>
                    </w:rPr>
                  </w:pPr>
                  <w:r>
                    <w:t>mg/L</w:t>
                  </w:r>
                </w:p>
              </w:tc>
              <w:tc>
                <w:tcPr>
                  <w:tcW w:w="523" w:type="pct"/>
                  <w:vAlign w:val="center"/>
                </w:tcPr>
                <w:p w14:paraId="2FA3A3F6">
                  <w:pPr>
                    <w:pStyle w:val="83"/>
                    <w:rPr>
                      <w:rFonts w:hint="default"/>
                    </w:rPr>
                  </w:pPr>
                  <w:r>
                    <w:t>300</w:t>
                  </w:r>
                </w:p>
              </w:tc>
              <w:tc>
                <w:tcPr>
                  <w:tcW w:w="524" w:type="pct"/>
                  <w:vAlign w:val="center"/>
                </w:tcPr>
                <w:p w14:paraId="33D5D542">
                  <w:pPr>
                    <w:pStyle w:val="83"/>
                    <w:rPr>
                      <w:rFonts w:hint="default"/>
                    </w:rPr>
                  </w:pPr>
                  <w:r>
                    <w:t>170</w:t>
                  </w:r>
                </w:p>
              </w:tc>
              <w:tc>
                <w:tcPr>
                  <w:tcW w:w="523" w:type="pct"/>
                  <w:vAlign w:val="center"/>
                </w:tcPr>
                <w:p w14:paraId="2D6303FE">
                  <w:pPr>
                    <w:pStyle w:val="83"/>
                    <w:rPr>
                      <w:rFonts w:hint="default"/>
                    </w:rPr>
                  </w:pPr>
                  <w:r>
                    <w:t>154</w:t>
                  </w:r>
                </w:p>
              </w:tc>
              <w:tc>
                <w:tcPr>
                  <w:tcW w:w="522" w:type="pct"/>
                  <w:gridSpan w:val="2"/>
                  <w:vAlign w:val="center"/>
                </w:tcPr>
                <w:p w14:paraId="4A9CF7E5">
                  <w:pPr>
                    <w:pStyle w:val="83"/>
                    <w:rPr>
                      <w:rFonts w:hint="default"/>
                    </w:rPr>
                  </w:pPr>
                  <w:r>
                    <w:t>33.95</w:t>
                  </w:r>
                </w:p>
              </w:tc>
            </w:tr>
            <w:tr w14:paraId="34C7A1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6" w:type="pct"/>
                  <w:vMerge w:val="continue"/>
                  <w:vAlign w:val="center"/>
                </w:tcPr>
                <w:p w14:paraId="3EBAF518">
                  <w:pPr>
                    <w:pStyle w:val="83"/>
                    <w:rPr>
                      <w:rFonts w:hint="default"/>
                    </w:rPr>
                  </w:pPr>
                </w:p>
              </w:tc>
              <w:tc>
                <w:tcPr>
                  <w:tcW w:w="524" w:type="pct"/>
                  <w:vMerge w:val="continue"/>
                  <w:vAlign w:val="center"/>
                </w:tcPr>
                <w:p w14:paraId="2559603B">
                  <w:pPr>
                    <w:pStyle w:val="83"/>
                    <w:rPr>
                      <w:rFonts w:hint="default"/>
                    </w:rPr>
                  </w:pPr>
                </w:p>
              </w:tc>
              <w:tc>
                <w:tcPr>
                  <w:tcW w:w="523" w:type="pct"/>
                  <w:vMerge w:val="continue"/>
                  <w:vAlign w:val="center"/>
                </w:tcPr>
                <w:p w14:paraId="70CD7EFD">
                  <w:pPr>
                    <w:pStyle w:val="83"/>
                    <w:rPr>
                      <w:rFonts w:hint="default"/>
                    </w:rPr>
                  </w:pPr>
                </w:p>
              </w:tc>
              <w:tc>
                <w:tcPr>
                  <w:tcW w:w="525" w:type="pct"/>
                  <w:vAlign w:val="center"/>
                </w:tcPr>
                <w:p w14:paraId="168D9BA9">
                  <w:pPr>
                    <w:pStyle w:val="83"/>
                    <w:rPr>
                      <w:rFonts w:hint="default"/>
                    </w:rPr>
                  </w:pPr>
                  <w:r>
                    <w:t>t/a</w:t>
                  </w:r>
                </w:p>
              </w:tc>
              <w:tc>
                <w:tcPr>
                  <w:tcW w:w="523" w:type="pct"/>
                  <w:vAlign w:val="center"/>
                </w:tcPr>
                <w:p w14:paraId="51995DA9">
                  <w:pPr>
                    <w:pStyle w:val="83"/>
                    <w:rPr>
                      <w:rFonts w:hint="default"/>
                    </w:rPr>
                  </w:pPr>
                  <w:r>
                    <w:t>0.72</w:t>
                  </w:r>
                </w:p>
              </w:tc>
              <w:tc>
                <w:tcPr>
                  <w:tcW w:w="524" w:type="pct"/>
                  <w:vAlign w:val="center"/>
                </w:tcPr>
                <w:p w14:paraId="03AB103D">
                  <w:pPr>
                    <w:pStyle w:val="83"/>
                    <w:rPr>
                      <w:rFonts w:hint="default"/>
                    </w:rPr>
                  </w:pPr>
                  <w:r>
                    <w:t>0.41</w:t>
                  </w:r>
                </w:p>
              </w:tc>
              <w:tc>
                <w:tcPr>
                  <w:tcW w:w="523" w:type="pct"/>
                  <w:vAlign w:val="center"/>
                </w:tcPr>
                <w:p w14:paraId="549AA097">
                  <w:pPr>
                    <w:pStyle w:val="83"/>
                    <w:rPr>
                      <w:rFonts w:hint="default"/>
                    </w:rPr>
                  </w:pPr>
                  <w:r>
                    <w:t>0.37</w:t>
                  </w:r>
                </w:p>
              </w:tc>
              <w:tc>
                <w:tcPr>
                  <w:tcW w:w="522" w:type="pct"/>
                  <w:gridSpan w:val="2"/>
                  <w:vAlign w:val="center"/>
                </w:tcPr>
                <w:p w14:paraId="4B0FB60B">
                  <w:pPr>
                    <w:pStyle w:val="83"/>
                    <w:rPr>
                      <w:rFonts w:hint="default"/>
                    </w:rPr>
                  </w:pPr>
                  <w:r>
                    <w:t>0.08</w:t>
                  </w:r>
                </w:p>
              </w:tc>
            </w:tr>
            <w:tr w14:paraId="63295A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3" w:type="pct"/>
                  <w:gridSpan w:val="3"/>
                  <w:vAlign w:val="center"/>
                </w:tcPr>
                <w:p w14:paraId="697D66B9">
                  <w:pPr>
                    <w:pStyle w:val="83"/>
                    <w:rPr>
                      <w:rFonts w:hint="default"/>
                    </w:rPr>
                  </w:pPr>
                  <w:r>
                    <w:t>接管浓度限值</w:t>
                  </w:r>
                </w:p>
              </w:tc>
              <w:tc>
                <w:tcPr>
                  <w:tcW w:w="525" w:type="pct"/>
                  <w:vAlign w:val="center"/>
                </w:tcPr>
                <w:p w14:paraId="0ADAAB17">
                  <w:pPr>
                    <w:pStyle w:val="83"/>
                    <w:rPr>
                      <w:rFonts w:hint="default"/>
                    </w:rPr>
                  </w:pPr>
                  <w:r>
                    <w:t>mg/L</w:t>
                  </w:r>
                </w:p>
              </w:tc>
              <w:tc>
                <w:tcPr>
                  <w:tcW w:w="523" w:type="pct"/>
                  <w:vAlign w:val="center"/>
                </w:tcPr>
                <w:p w14:paraId="01E249B5">
                  <w:pPr>
                    <w:pStyle w:val="83"/>
                    <w:rPr>
                      <w:rFonts w:hint="default"/>
                    </w:rPr>
                  </w:pPr>
                  <w:r>
                    <w:t>500</w:t>
                  </w:r>
                </w:p>
              </w:tc>
              <w:tc>
                <w:tcPr>
                  <w:tcW w:w="524" w:type="pct"/>
                  <w:vAlign w:val="center"/>
                </w:tcPr>
                <w:p w14:paraId="613248A5">
                  <w:pPr>
                    <w:pStyle w:val="83"/>
                    <w:rPr>
                      <w:rFonts w:hint="default"/>
                    </w:rPr>
                  </w:pPr>
                  <w:r>
                    <w:t>300</w:t>
                  </w:r>
                </w:p>
              </w:tc>
              <w:tc>
                <w:tcPr>
                  <w:tcW w:w="523" w:type="pct"/>
                  <w:vAlign w:val="center"/>
                </w:tcPr>
                <w:p w14:paraId="6119BC02">
                  <w:pPr>
                    <w:pStyle w:val="83"/>
                    <w:rPr>
                      <w:rFonts w:hint="default"/>
                    </w:rPr>
                  </w:pPr>
                  <w:r>
                    <w:t>400</w:t>
                  </w:r>
                </w:p>
              </w:tc>
              <w:tc>
                <w:tcPr>
                  <w:tcW w:w="522" w:type="pct"/>
                  <w:gridSpan w:val="2"/>
                  <w:vAlign w:val="center"/>
                </w:tcPr>
                <w:p w14:paraId="334E6FF2">
                  <w:pPr>
                    <w:pStyle w:val="83"/>
                    <w:rPr>
                      <w:rFonts w:hint="default"/>
                    </w:rPr>
                  </w:pPr>
                  <w:r>
                    <w:t>45</w:t>
                  </w:r>
                </w:p>
              </w:tc>
            </w:tr>
            <w:tr w14:paraId="71C0BE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3" w:type="pct"/>
                  <w:gridSpan w:val="3"/>
                  <w:vAlign w:val="center"/>
                </w:tcPr>
                <w:p w14:paraId="4490138C">
                  <w:pPr>
                    <w:pStyle w:val="83"/>
                    <w:rPr>
                      <w:rFonts w:hint="default"/>
                    </w:rPr>
                  </w:pPr>
                  <w:r>
                    <w:t>达标性</w:t>
                  </w:r>
                </w:p>
              </w:tc>
              <w:tc>
                <w:tcPr>
                  <w:tcW w:w="525" w:type="pct"/>
                  <w:vAlign w:val="center"/>
                </w:tcPr>
                <w:p w14:paraId="664AC955">
                  <w:pPr>
                    <w:pStyle w:val="83"/>
                    <w:rPr>
                      <w:rFonts w:hint="default"/>
                    </w:rPr>
                  </w:pPr>
                  <w:r>
                    <w:t>/</w:t>
                  </w:r>
                </w:p>
              </w:tc>
              <w:tc>
                <w:tcPr>
                  <w:tcW w:w="523" w:type="pct"/>
                  <w:vAlign w:val="center"/>
                </w:tcPr>
                <w:p w14:paraId="5E1ABC29">
                  <w:pPr>
                    <w:pStyle w:val="83"/>
                    <w:rPr>
                      <w:rFonts w:hint="default"/>
                    </w:rPr>
                  </w:pPr>
                  <w:r>
                    <w:t>达标</w:t>
                  </w:r>
                </w:p>
              </w:tc>
              <w:tc>
                <w:tcPr>
                  <w:tcW w:w="524" w:type="pct"/>
                  <w:vAlign w:val="center"/>
                </w:tcPr>
                <w:p w14:paraId="42B15B85">
                  <w:pPr>
                    <w:pStyle w:val="83"/>
                    <w:rPr>
                      <w:rFonts w:hint="default"/>
                    </w:rPr>
                  </w:pPr>
                  <w:r>
                    <w:t>达标</w:t>
                  </w:r>
                </w:p>
              </w:tc>
              <w:tc>
                <w:tcPr>
                  <w:tcW w:w="523" w:type="pct"/>
                  <w:vAlign w:val="center"/>
                </w:tcPr>
                <w:p w14:paraId="2910C300">
                  <w:pPr>
                    <w:pStyle w:val="83"/>
                    <w:rPr>
                      <w:rFonts w:hint="default"/>
                    </w:rPr>
                  </w:pPr>
                  <w:r>
                    <w:t>达标</w:t>
                  </w:r>
                </w:p>
              </w:tc>
              <w:tc>
                <w:tcPr>
                  <w:tcW w:w="522" w:type="pct"/>
                  <w:gridSpan w:val="2"/>
                  <w:vAlign w:val="center"/>
                </w:tcPr>
                <w:p w14:paraId="0315ADFF">
                  <w:pPr>
                    <w:pStyle w:val="83"/>
                    <w:rPr>
                      <w:rFonts w:hint="default"/>
                    </w:rPr>
                  </w:pPr>
                  <w:r>
                    <w:t>达标</w:t>
                  </w:r>
                </w:p>
              </w:tc>
            </w:tr>
            <w:tr w14:paraId="0F1BFB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6" w:type="pct"/>
                  <w:vMerge w:val="restart"/>
                  <w:vAlign w:val="center"/>
                </w:tcPr>
                <w:p w14:paraId="0A6068D8">
                  <w:pPr>
                    <w:pStyle w:val="83"/>
                    <w:rPr>
                      <w:rFonts w:hint="default"/>
                    </w:rPr>
                  </w:pPr>
                  <w:r>
                    <w:t>滨海工业区污水处理厂处理后排入牛头湾</w:t>
                  </w:r>
                </w:p>
              </w:tc>
              <w:tc>
                <w:tcPr>
                  <w:tcW w:w="858" w:type="dxa"/>
                  <w:vMerge w:val="restart"/>
                  <w:vAlign w:val="center"/>
                </w:tcPr>
                <w:p w14:paraId="2FA2D719">
                  <w:pPr>
                    <w:pStyle w:val="83"/>
                    <w:rPr>
                      <w:rFonts w:hint="default"/>
                    </w:rPr>
                  </w:pPr>
                  <w:r>
                    <w:t>6.56</w:t>
                  </w:r>
                </w:p>
              </w:tc>
              <w:tc>
                <w:tcPr>
                  <w:tcW w:w="858" w:type="dxa"/>
                  <w:vMerge w:val="restart"/>
                  <w:vAlign w:val="center"/>
                </w:tcPr>
                <w:p w14:paraId="1522AF81">
                  <w:pPr>
                    <w:pStyle w:val="83"/>
                    <w:rPr>
                      <w:rFonts w:hint="default"/>
                    </w:rPr>
                  </w:pPr>
                  <w:r>
                    <w:t>2394.4</w:t>
                  </w:r>
                </w:p>
              </w:tc>
              <w:tc>
                <w:tcPr>
                  <w:tcW w:w="525" w:type="pct"/>
                  <w:vAlign w:val="center"/>
                </w:tcPr>
                <w:p w14:paraId="6EB39E09">
                  <w:pPr>
                    <w:pStyle w:val="83"/>
                    <w:rPr>
                      <w:rFonts w:hint="default"/>
                    </w:rPr>
                  </w:pPr>
                  <w:r>
                    <w:t>mg/L</w:t>
                  </w:r>
                </w:p>
              </w:tc>
              <w:tc>
                <w:tcPr>
                  <w:tcW w:w="523" w:type="pct"/>
                  <w:vAlign w:val="center"/>
                </w:tcPr>
                <w:p w14:paraId="7BC2A59E">
                  <w:pPr>
                    <w:pStyle w:val="83"/>
                    <w:rPr>
                      <w:rFonts w:hint="default"/>
                    </w:rPr>
                  </w:pPr>
                  <w:r>
                    <w:t>50</w:t>
                  </w:r>
                </w:p>
              </w:tc>
              <w:tc>
                <w:tcPr>
                  <w:tcW w:w="524" w:type="pct"/>
                  <w:vAlign w:val="center"/>
                </w:tcPr>
                <w:p w14:paraId="7558A365">
                  <w:pPr>
                    <w:pStyle w:val="83"/>
                    <w:rPr>
                      <w:rFonts w:hint="default"/>
                    </w:rPr>
                  </w:pPr>
                  <w:r>
                    <w:t>10</w:t>
                  </w:r>
                </w:p>
              </w:tc>
              <w:tc>
                <w:tcPr>
                  <w:tcW w:w="523" w:type="pct"/>
                  <w:vAlign w:val="center"/>
                </w:tcPr>
                <w:p w14:paraId="6481436A">
                  <w:pPr>
                    <w:pStyle w:val="83"/>
                    <w:rPr>
                      <w:rFonts w:hint="default"/>
                    </w:rPr>
                  </w:pPr>
                  <w:r>
                    <w:t>10</w:t>
                  </w:r>
                </w:p>
              </w:tc>
              <w:tc>
                <w:tcPr>
                  <w:tcW w:w="522" w:type="pct"/>
                  <w:gridSpan w:val="2"/>
                  <w:vAlign w:val="center"/>
                </w:tcPr>
                <w:p w14:paraId="4E041EBC">
                  <w:pPr>
                    <w:pStyle w:val="83"/>
                    <w:rPr>
                      <w:rFonts w:hint="default"/>
                    </w:rPr>
                  </w:pPr>
                  <w:r>
                    <w:t>5</w:t>
                  </w:r>
                </w:p>
              </w:tc>
            </w:tr>
            <w:tr w14:paraId="1D0199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6" w:type="pct"/>
                  <w:vMerge w:val="continue"/>
                  <w:vAlign w:val="center"/>
                </w:tcPr>
                <w:p w14:paraId="3F865222">
                  <w:pPr>
                    <w:pStyle w:val="83"/>
                    <w:rPr>
                      <w:rFonts w:hint="default"/>
                    </w:rPr>
                  </w:pPr>
                </w:p>
              </w:tc>
              <w:tc>
                <w:tcPr>
                  <w:tcW w:w="524" w:type="pct"/>
                  <w:vMerge w:val="continue"/>
                  <w:vAlign w:val="center"/>
                </w:tcPr>
                <w:p w14:paraId="1F09C329">
                  <w:pPr>
                    <w:pStyle w:val="83"/>
                    <w:rPr>
                      <w:rFonts w:hint="default"/>
                    </w:rPr>
                  </w:pPr>
                </w:p>
              </w:tc>
              <w:tc>
                <w:tcPr>
                  <w:tcW w:w="523" w:type="pct"/>
                  <w:vMerge w:val="continue"/>
                  <w:vAlign w:val="center"/>
                </w:tcPr>
                <w:p w14:paraId="5490C972">
                  <w:pPr>
                    <w:pStyle w:val="83"/>
                    <w:rPr>
                      <w:rFonts w:hint="default"/>
                    </w:rPr>
                  </w:pPr>
                </w:p>
              </w:tc>
              <w:tc>
                <w:tcPr>
                  <w:tcW w:w="525" w:type="pct"/>
                  <w:vAlign w:val="center"/>
                </w:tcPr>
                <w:p w14:paraId="518CF42D">
                  <w:pPr>
                    <w:pStyle w:val="83"/>
                    <w:rPr>
                      <w:rFonts w:hint="default"/>
                    </w:rPr>
                  </w:pPr>
                  <w:r>
                    <w:t>t/a</w:t>
                  </w:r>
                </w:p>
              </w:tc>
              <w:tc>
                <w:tcPr>
                  <w:tcW w:w="523" w:type="pct"/>
                  <w:vAlign w:val="center"/>
                </w:tcPr>
                <w:p w14:paraId="2780536B">
                  <w:pPr>
                    <w:pStyle w:val="83"/>
                    <w:rPr>
                      <w:rFonts w:hint="default"/>
                    </w:rPr>
                  </w:pPr>
                  <w:r>
                    <w:t>0.12</w:t>
                  </w:r>
                </w:p>
              </w:tc>
              <w:tc>
                <w:tcPr>
                  <w:tcW w:w="524" w:type="pct"/>
                  <w:vAlign w:val="center"/>
                </w:tcPr>
                <w:p w14:paraId="010CE706">
                  <w:pPr>
                    <w:pStyle w:val="83"/>
                    <w:rPr>
                      <w:rFonts w:hint="default"/>
                    </w:rPr>
                  </w:pPr>
                  <w:r>
                    <w:t>0.024</w:t>
                  </w:r>
                </w:p>
              </w:tc>
              <w:tc>
                <w:tcPr>
                  <w:tcW w:w="523" w:type="pct"/>
                  <w:vAlign w:val="center"/>
                </w:tcPr>
                <w:p w14:paraId="670778AA">
                  <w:pPr>
                    <w:pStyle w:val="83"/>
                    <w:rPr>
                      <w:rFonts w:hint="default"/>
                    </w:rPr>
                  </w:pPr>
                  <w:r>
                    <w:t>0.024</w:t>
                  </w:r>
                </w:p>
              </w:tc>
              <w:tc>
                <w:tcPr>
                  <w:tcW w:w="522" w:type="pct"/>
                  <w:gridSpan w:val="2"/>
                  <w:vAlign w:val="center"/>
                </w:tcPr>
                <w:p w14:paraId="24AD0766">
                  <w:pPr>
                    <w:pStyle w:val="83"/>
                    <w:rPr>
                      <w:rFonts w:hint="default"/>
                    </w:rPr>
                  </w:pPr>
                  <w:r>
                    <w:t>0.012</w:t>
                  </w:r>
                </w:p>
              </w:tc>
            </w:tr>
          </w:tbl>
          <w:p w14:paraId="6173BEA6">
            <w:pPr>
              <w:pStyle w:val="13"/>
            </w:pPr>
            <w:bookmarkStart w:id="30" w:name="_Hlk198070347"/>
            <w:r>
              <w:rPr>
                <w:rFonts w:hint="eastAsia"/>
              </w:rPr>
              <w:t>表4.2-9  本项目新增生产废水排放达标情况一览表</w:t>
            </w:r>
          </w:p>
          <w:tbl>
            <w:tblPr>
              <w:tblStyle w:val="17"/>
              <w:tblW w:w="497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749"/>
              <w:gridCol w:w="910"/>
              <w:gridCol w:w="676"/>
              <w:gridCol w:w="827"/>
              <w:gridCol w:w="827"/>
              <w:gridCol w:w="710"/>
              <w:gridCol w:w="822"/>
              <w:gridCol w:w="897"/>
              <w:gridCol w:w="737"/>
            </w:tblGrid>
            <w:tr w14:paraId="24B7C5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4" w:type="pct"/>
                  <w:vMerge w:val="restart"/>
                  <w:vAlign w:val="center"/>
                </w:tcPr>
                <w:p w14:paraId="3065E216">
                  <w:pPr>
                    <w:pStyle w:val="83"/>
                    <w:rPr>
                      <w:rFonts w:hint="default"/>
                    </w:rPr>
                  </w:pPr>
                  <w:r>
                    <w:t>废水污染源</w:t>
                  </w:r>
                </w:p>
              </w:tc>
              <w:tc>
                <w:tcPr>
                  <w:tcW w:w="1018" w:type="pct"/>
                  <w:gridSpan w:val="2"/>
                  <w:vAlign w:val="center"/>
                </w:tcPr>
                <w:p w14:paraId="4F9F4287">
                  <w:pPr>
                    <w:pStyle w:val="83"/>
                    <w:rPr>
                      <w:rFonts w:hint="default"/>
                    </w:rPr>
                  </w:pPr>
                  <w:r>
                    <w:t>水量</w:t>
                  </w:r>
                </w:p>
              </w:tc>
              <w:tc>
                <w:tcPr>
                  <w:tcW w:w="415" w:type="pct"/>
                  <w:vMerge w:val="restart"/>
                  <w:vAlign w:val="center"/>
                </w:tcPr>
                <w:p w14:paraId="2BC81B66">
                  <w:pPr>
                    <w:pStyle w:val="83"/>
                    <w:rPr>
                      <w:rFonts w:hint="default"/>
                    </w:rPr>
                  </w:pPr>
                  <w:r>
                    <w:t>单位</w:t>
                  </w:r>
                </w:p>
              </w:tc>
              <w:tc>
                <w:tcPr>
                  <w:tcW w:w="508" w:type="pct"/>
                  <w:vMerge w:val="restart"/>
                  <w:vAlign w:val="center"/>
                </w:tcPr>
                <w:p w14:paraId="36CFD02D">
                  <w:pPr>
                    <w:pStyle w:val="83"/>
                    <w:rPr>
                      <w:rFonts w:hint="default"/>
                    </w:rPr>
                  </w:pPr>
                  <w:r>
                    <w:t>COD</w:t>
                  </w:r>
                </w:p>
              </w:tc>
              <w:tc>
                <w:tcPr>
                  <w:tcW w:w="508" w:type="pct"/>
                  <w:vMerge w:val="restart"/>
                  <w:vAlign w:val="center"/>
                </w:tcPr>
                <w:p w14:paraId="5D722A0F">
                  <w:pPr>
                    <w:pStyle w:val="83"/>
                    <w:rPr>
                      <w:rFonts w:hint="default"/>
                    </w:rPr>
                  </w:pPr>
                  <w:r>
                    <w:t>BOD</w:t>
                  </w:r>
                  <w:r>
                    <w:rPr>
                      <w:vertAlign w:val="subscript"/>
                    </w:rPr>
                    <w:t>5</w:t>
                  </w:r>
                </w:p>
              </w:tc>
              <w:tc>
                <w:tcPr>
                  <w:tcW w:w="436" w:type="pct"/>
                  <w:vMerge w:val="restart"/>
                  <w:vAlign w:val="center"/>
                </w:tcPr>
                <w:p w14:paraId="7FC467DF">
                  <w:pPr>
                    <w:pStyle w:val="83"/>
                    <w:rPr>
                      <w:rFonts w:hint="default"/>
                    </w:rPr>
                  </w:pPr>
                  <w:r>
                    <w:t>SS</w:t>
                  </w:r>
                </w:p>
              </w:tc>
              <w:tc>
                <w:tcPr>
                  <w:tcW w:w="505" w:type="pct"/>
                  <w:vMerge w:val="restart"/>
                  <w:vAlign w:val="center"/>
                </w:tcPr>
                <w:p w14:paraId="2CD1E1D4">
                  <w:pPr>
                    <w:pStyle w:val="83"/>
                    <w:rPr>
                      <w:rFonts w:hint="default"/>
                    </w:rPr>
                  </w:pPr>
                  <w:r>
                    <w:t>氨氮</w:t>
                  </w:r>
                </w:p>
              </w:tc>
              <w:tc>
                <w:tcPr>
                  <w:tcW w:w="551" w:type="pct"/>
                  <w:vMerge w:val="restart"/>
                  <w:vAlign w:val="center"/>
                </w:tcPr>
                <w:p w14:paraId="0AD159C3">
                  <w:pPr>
                    <w:pStyle w:val="83"/>
                    <w:rPr>
                      <w:rFonts w:hint="default"/>
                    </w:rPr>
                  </w:pPr>
                  <w:r>
                    <w:t>石油类</w:t>
                  </w:r>
                </w:p>
              </w:tc>
              <w:tc>
                <w:tcPr>
                  <w:tcW w:w="452" w:type="pct"/>
                  <w:vMerge w:val="restart"/>
                  <w:vAlign w:val="center"/>
                </w:tcPr>
                <w:p w14:paraId="1C6D35DB">
                  <w:pPr>
                    <w:pStyle w:val="83"/>
                    <w:rPr>
                      <w:rFonts w:hint="default"/>
                    </w:rPr>
                  </w:pPr>
                  <w:r>
                    <w:t>TOC</w:t>
                  </w:r>
                </w:p>
              </w:tc>
            </w:tr>
            <w:tr w14:paraId="7229D4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4" w:type="pct"/>
                  <w:vMerge w:val="continue"/>
                  <w:vAlign w:val="center"/>
                </w:tcPr>
                <w:p w14:paraId="392F5933">
                  <w:pPr>
                    <w:pStyle w:val="83"/>
                    <w:rPr>
                      <w:rFonts w:hint="default"/>
                    </w:rPr>
                  </w:pPr>
                </w:p>
              </w:tc>
              <w:tc>
                <w:tcPr>
                  <w:tcW w:w="460" w:type="pct"/>
                  <w:vAlign w:val="center"/>
                </w:tcPr>
                <w:p w14:paraId="687DDB28">
                  <w:pPr>
                    <w:pStyle w:val="83"/>
                    <w:rPr>
                      <w:rFonts w:hint="default"/>
                    </w:rPr>
                  </w:pPr>
                  <w:r>
                    <w:t>m</w:t>
                  </w:r>
                  <w:r>
                    <w:rPr>
                      <w:vertAlign w:val="superscript"/>
                    </w:rPr>
                    <w:t>3</w:t>
                  </w:r>
                  <w:r>
                    <w:t>/d</w:t>
                  </w:r>
                </w:p>
              </w:tc>
              <w:tc>
                <w:tcPr>
                  <w:tcW w:w="557" w:type="pct"/>
                  <w:vAlign w:val="center"/>
                </w:tcPr>
                <w:p w14:paraId="3F4D815F">
                  <w:pPr>
                    <w:pStyle w:val="83"/>
                    <w:rPr>
                      <w:rFonts w:hint="default"/>
                    </w:rPr>
                  </w:pPr>
                  <w:r>
                    <w:t>m</w:t>
                  </w:r>
                  <w:r>
                    <w:rPr>
                      <w:vertAlign w:val="superscript"/>
                    </w:rPr>
                    <w:t>3</w:t>
                  </w:r>
                  <w:r>
                    <w:t>/a</w:t>
                  </w:r>
                </w:p>
              </w:tc>
              <w:tc>
                <w:tcPr>
                  <w:tcW w:w="415" w:type="pct"/>
                  <w:vMerge w:val="continue"/>
                  <w:vAlign w:val="center"/>
                </w:tcPr>
                <w:p w14:paraId="1B68EC4F">
                  <w:pPr>
                    <w:pStyle w:val="83"/>
                    <w:rPr>
                      <w:rFonts w:hint="default"/>
                    </w:rPr>
                  </w:pPr>
                </w:p>
              </w:tc>
              <w:tc>
                <w:tcPr>
                  <w:tcW w:w="508" w:type="pct"/>
                  <w:vMerge w:val="continue"/>
                  <w:vAlign w:val="center"/>
                </w:tcPr>
                <w:p w14:paraId="233E6187">
                  <w:pPr>
                    <w:pStyle w:val="83"/>
                    <w:rPr>
                      <w:rFonts w:hint="default"/>
                    </w:rPr>
                  </w:pPr>
                </w:p>
              </w:tc>
              <w:tc>
                <w:tcPr>
                  <w:tcW w:w="508" w:type="pct"/>
                  <w:vMerge w:val="continue"/>
                  <w:vAlign w:val="center"/>
                </w:tcPr>
                <w:p w14:paraId="2B302ED1">
                  <w:pPr>
                    <w:pStyle w:val="83"/>
                    <w:rPr>
                      <w:rFonts w:hint="default"/>
                    </w:rPr>
                  </w:pPr>
                </w:p>
              </w:tc>
              <w:tc>
                <w:tcPr>
                  <w:tcW w:w="436" w:type="pct"/>
                  <w:vMerge w:val="continue"/>
                  <w:vAlign w:val="center"/>
                </w:tcPr>
                <w:p w14:paraId="7280D94C">
                  <w:pPr>
                    <w:pStyle w:val="83"/>
                    <w:rPr>
                      <w:rFonts w:hint="default"/>
                    </w:rPr>
                  </w:pPr>
                </w:p>
              </w:tc>
              <w:tc>
                <w:tcPr>
                  <w:tcW w:w="505" w:type="pct"/>
                  <w:vMerge w:val="continue"/>
                  <w:vAlign w:val="center"/>
                </w:tcPr>
                <w:p w14:paraId="541D1C7D">
                  <w:pPr>
                    <w:pStyle w:val="83"/>
                    <w:rPr>
                      <w:rFonts w:hint="default"/>
                    </w:rPr>
                  </w:pPr>
                </w:p>
              </w:tc>
              <w:tc>
                <w:tcPr>
                  <w:tcW w:w="551" w:type="pct"/>
                  <w:vMerge w:val="continue"/>
                  <w:vAlign w:val="center"/>
                </w:tcPr>
                <w:p w14:paraId="7BDAC631">
                  <w:pPr>
                    <w:pStyle w:val="83"/>
                    <w:rPr>
                      <w:rFonts w:hint="default"/>
                    </w:rPr>
                  </w:pPr>
                </w:p>
              </w:tc>
              <w:tc>
                <w:tcPr>
                  <w:tcW w:w="452" w:type="pct"/>
                  <w:vMerge w:val="continue"/>
                  <w:vAlign w:val="center"/>
                </w:tcPr>
                <w:p w14:paraId="12F23D64">
                  <w:pPr>
                    <w:pStyle w:val="83"/>
                    <w:rPr>
                      <w:rFonts w:hint="default"/>
                    </w:rPr>
                  </w:pPr>
                </w:p>
              </w:tc>
            </w:tr>
            <w:tr w14:paraId="7E7EAA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4" w:type="pct"/>
                  <w:vMerge w:val="restart"/>
                  <w:vAlign w:val="center"/>
                </w:tcPr>
                <w:p w14:paraId="49D9AF3C">
                  <w:pPr>
                    <w:pStyle w:val="83"/>
                    <w:rPr>
                      <w:rFonts w:hint="default"/>
                    </w:rPr>
                  </w:pPr>
                  <w:r>
                    <w:t>污水站反渗透浓水</w:t>
                  </w:r>
                </w:p>
              </w:tc>
              <w:tc>
                <w:tcPr>
                  <w:tcW w:w="460" w:type="pct"/>
                  <w:vMerge w:val="restart"/>
                  <w:vAlign w:val="center"/>
                </w:tcPr>
                <w:p w14:paraId="3F245A74">
                  <w:pPr>
                    <w:pStyle w:val="83"/>
                    <w:rPr>
                      <w:rFonts w:hint="default"/>
                    </w:rPr>
                  </w:pPr>
                  <w:r>
                    <w:t>12.34</w:t>
                  </w:r>
                </w:p>
              </w:tc>
              <w:tc>
                <w:tcPr>
                  <w:tcW w:w="557" w:type="pct"/>
                  <w:vMerge w:val="restart"/>
                  <w:vAlign w:val="center"/>
                </w:tcPr>
                <w:p w14:paraId="70AEDCD2">
                  <w:pPr>
                    <w:pStyle w:val="83"/>
                    <w:rPr>
                      <w:rFonts w:hint="default"/>
                    </w:rPr>
                  </w:pPr>
                  <w:r>
                    <w:t>4504.1</w:t>
                  </w:r>
                </w:p>
              </w:tc>
              <w:tc>
                <w:tcPr>
                  <w:tcW w:w="415" w:type="pct"/>
                  <w:vAlign w:val="center"/>
                </w:tcPr>
                <w:p w14:paraId="7F5A4578">
                  <w:pPr>
                    <w:pStyle w:val="83"/>
                    <w:rPr>
                      <w:rFonts w:hint="default"/>
                    </w:rPr>
                  </w:pPr>
                  <w:r>
                    <w:t>mg/L</w:t>
                  </w:r>
                </w:p>
              </w:tc>
              <w:tc>
                <w:tcPr>
                  <w:tcW w:w="508" w:type="pct"/>
                  <w:vAlign w:val="center"/>
                </w:tcPr>
                <w:p w14:paraId="4527FD10">
                  <w:pPr>
                    <w:pStyle w:val="83"/>
                    <w:rPr>
                      <w:rFonts w:hint="default"/>
                    </w:rPr>
                  </w:pPr>
                  <w:r>
                    <w:t>70</w:t>
                  </w:r>
                </w:p>
              </w:tc>
              <w:tc>
                <w:tcPr>
                  <w:tcW w:w="508" w:type="pct"/>
                  <w:vAlign w:val="center"/>
                </w:tcPr>
                <w:p w14:paraId="2A241B04">
                  <w:pPr>
                    <w:pStyle w:val="83"/>
                    <w:rPr>
                      <w:rFonts w:hint="default"/>
                    </w:rPr>
                  </w:pPr>
                  <w:r>
                    <w:t>35</w:t>
                  </w:r>
                </w:p>
              </w:tc>
              <w:tc>
                <w:tcPr>
                  <w:tcW w:w="436" w:type="pct"/>
                  <w:vAlign w:val="center"/>
                </w:tcPr>
                <w:p w14:paraId="462D37E1">
                  <w:pPr>
                    <w:pStyle w:val="83"/>
                    <w:rPr>
                      <w:rFonts w:hint="default"/>
                    </w:rPr>
                  </w:pPr>
                  <w:r>
                    <w:t>20</w:t>
                  </w:r>
                </w:p>
              </w:tc>
              <w:tc>
                <w:tcPr>
                  <w:tcW w:w="505" w:type="pct"/>
                  <w:vAlign w:val="center"/>
                </w:tcPr>
                <w:p w14:paraId="4FC57AE5">
                  <w:pPr>
                    <w:pStyle w:val="83"/>
                    <w:rPr>
                      <w:rFonts w:hint="default"/>
                    </w:rPr>
                  </w:pPr>
                  <w:r>
                    <w:t>10</w:t>
                  </w:r>
                </w:p>
              </w:tc>
              <w:tc>
                <w:tcPr>
                  <w:tcW w:w="551" w:type="pct"/>
                  <w:vAlign w:val="center"/>
                </w:tcPr>
                <w:p w14:paraId="660879F5">
                  <w:pPr>
                    <w:pStyle w:val="83"/>
                    <w:rPr>
                      <w:rFonts w:hint="default"/>
                    </w:rPr>
                  </w:pPr>
                  <w:r>
                    <w:t>0.1</w:t>
                  </w:r>
                </w:p>
              </w:tc>
              <w:tc>
                <w:tcPr>
                  <w:tcW w:w="452" w:type="pct"/>
                  <w:vAlign w:val="center"/>
                </w:tcPr>
                <w:p w14:paraId="6E3B92E1">
                  <w:pPr>
                    <w:pStyle w:val="83"/>
                    <w:rPr>
                      <w:rFonts w:hint="default"/>
                    </w:rPr>
                  </w:pPr>
                  <w:r>
                    <w:t>25</w:t>
                  </w:r>
                </w:p>
              </w:tc>
            </w:tr>
            <w:tr w14:paraId="4DF964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4" w:type="pct"/>
                  <w:vMerge w:val="continue"/>
                  <w:vAlign w:val="center"/>
                </w:tcPr>
                <w:p w14:paraId="5C651471">
                  <w:pPr>
                    <w:pStyle w:val="83"/>
                    <w:rPr>
                      <w:rFonts w:hint="default"/>
                    </w:rPr>
                  </w:pPr>
                </w:p>
              </w:tc>
              <w:tc>
                <w:tcPr>
                  <w:tcW w:w="460" w:type="pct"/>
                  <w:vMerge w:val="continue"/>
                  <w:vAlign w:val="center"/>
                </w:tcPr>
                <w:p w14:paraId="2CCE1C2D">
                  <w:pPr>
                    <w:pStyle w:val="83"/>
                    <w:rPr>
                      <w:rFonts w:hint="default"/>
                    </w:rPr>
                  </w:pPr>
                </w:p>
              </w:tc>
              <w:tc>
                <w:tcPr>
                  <w:tcW w:w="557" w:type="pct"/>
                  <w:vMerge w:val="continue"/>
                  <w:vAlign w:val="center"/>
                </w:tcPr>
                <w:p w14:paraId="7A1BBE1D">
                  <w:pPr>
                    <w:pStyle w:val="83"/>
                    <w:rPr>
                      <w:rFonts w:hint="default"/>
                    </w:rPr>
                  </w:pPr>
                </w:p>
              </w:tc>
              <w:tc>
                <w:tcPr>
                  <w:tcW w:w="415" w:type="pct"/>
                  <w:vAlign w:val="center"/>
                </w:tcPr>
                <w:p w14:paraId="15596196">
                  <w:pPr>
                    <w:pStyle w:val="83"/>
                    <w:rPr>
                      <w:rFonts w:hint="default"/>
                    </w:rPr>
                  </w:pPr>
                  <w:r>
                    <w:t>t/a</w:t>
                  </w:r>
                </w:p>
              </w:tc>
              <w:tc>
                <w:tcPr>
                  <w:tcW w:w="508" w:type="pct"/>
                  <w:vAlign w:val="center"/>
                </w:tcPr>
                <w:p w14:paraId="2101857F">
                  <w:pPr>
                    <w:pStyle w:val="83"/>
                    <w:rPr>
                      <w:rFonts w:hint="default"/>
                    </w:rPr>
                  </w:pPr>
                  <w:r>
                    <w:t>0.3</w:t>
                  </w:r>
                </w:p>
              </w:tc>
              <w:tc>
                <w:tcPr>
                  <w:tcW w:w="508" w:type="pct"/>
                  <w:vAlign w:val="center"/>
                </w:tcPr>
                <w:p w14:paraId="526B0FFC">
                  <w:pPr>
                    <w:pStyle w:val="83"/>
                    <w:rPr>
                      <w:rFonts w:hint="default"/>
                    </w:rPr>
                  </w:pPr>
                  <w:r>
                    <w:t>0.16</w:t>
                  </w:r>
                </w:p>
              </w:tc>
              <w:tc>
                <w:tcPr>
                  <w:tcW w:w="436" w:type="pct"/>
                  <w:vAlign w:val="center"/>
                </w:tcPr>
                <w:p w14:paraId="70510EE2">
                  <w:pPr>
                    <w:pStyle w:val="83"/>
                    <w:rPr>
                      <w:rFonts w:hint="default"/>
                    </w:rPr>
                  </w:pPr>
                  <w:r>
                    <w:t>0.09</w:t>
                  </w:r>
                </w:p>
              </w:tc>
              <w:tc>
                <w:tcPr>
                  <w:tcW w:w="505" w:type="pct"/>
                  <w:vAlign w:val="center"/>
                </w:tcPr>
                <w:p w14:paraId="70B4FA38">
                  <w:pPr>
                    <w:pStyle w:val="83"/>
                    <w:rPr>
                      <w:rFonts w:hint="default"/>
                    </w:rPr>
                  </w:pPr>
                  <w:r>
                    <w:t>0.045</w:t>
                  </w:r>
                </w:p>
              </w:tc>
              <w:tc>
                <w:tcPr>
                  <w:tcW w:w="551" w:type="pct"/>
                  <w:vAlign w:val="center"/>
                </w:tcPr>
                <w:p w14:paraId="69F03BF0">
                  <w:pPr>
                    <w:pStyle w:val="83"/>
                    <w:rPr>
                      <w:rFonts w:hint="default"/>
                    </w:rPr>
                  </w:pPr>
                  <w:r>
                    <w:t>0.0005</w:t>
                  </w:r>
                </w:p>
              </w:tc>
              <w:tc>
                <w:tcPr>
                  <w:tcW w:w="452" w:type="pct"/>
                  <w:vAlign w:val="center"/>
                </w:tcPr>
                <w:p w14:paraId="4038614C">
                  <w:pPr>
                    <w:pStyle w:val="83"/>
                    <w:rPr>
                      <w:rFonts w:hint="default"/>
                    </w:rPr>
                  </w:pPr>
                  <w:r>
                    <w:t>0.11</w:t>
                  </w:r>
                </w:p>
              </w:tc>
            </w:tr>
            <w:tr w14:paraId="5B58ED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23" w:type="pct"/>
                  <w:gridSpan w:val="3"/>
                  <w:vAlign w:val="center"/>
                </w:tcPr>
                <w:p w14:paraId="739CA4D2">
                  <w:pPr>
                    <w:pStyle w:val="83"/>
                    <w:rPr>
                      <w:rFonts w:hint="default"/>
                    </w:rPr>
                  </w:pPr>
                  <w:r>
                    <w:t>治理措施及工艺</w:t>
                  </w:r>
                </w:p>
              </w:tc>
              <w:tc>
                <w:tcPr>
                  <w:tcW w:w="3376" w:type="pct"/>
                  <w:gridSpan w:val="7"/>
                  <w:vAlign w:val="center"/>
                </w:tcPr>
                <w:p w14:paraId="5B6C0DC4">
                  <w:pPr>
                    <w:pStyle w:val="83"/>
                    <w:rPr>
                      <w:rFonts w:hint="default"/>
                    </w:rPr>
                  </w:pPr>
                  <w:r>
                    <w:t>无</w:t>
                  </w:r>
                </w:p>
              </w:tc>
            </w:tr>
            <w:tr w14:paraId="4683F0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23" w:type="pct"/>
                  <w:gridSpan w:val="3"/>
                  <w:vAlign w:val="center"/>
                </w:tcPr>
                <w:p w14:paraId="7D9269F1">
                  <w:pPr>
                    <w:pStyle w:val="83"/>
                    <w:rPr>
                      <w:rFonts w:hint="default"/>
                    </w:rPr>
                  </w:pPr>
                  <w:r>
                    <w:t>接管浓度限值</w:t>
                  </w:r>
                </w:p>
              </w:tc>
              <w:tc>
                <w:tcPr>
                  <w:tcW w:w="415" w:type="pct"/>
                  <w:vAlign w:val="center"/>
                </w:tcPr>
                <w:p w14:paraId="74F73D81">
                  <w:pPr>
                    <w:pStyle w:val="83"/>
                    <w:rPr>
                      <w:rFonts w:hint="default"/>
                    </w:rPr>
                  </w:pPr>
                  <w:r>
                    <w:t>mg/L</w:t>
                  </w:r>
                </w:p>
              </w:tc>
              <w:tc>
                <w:tcPr>
                  <w:tcW w:w="508" w:type="pct"/>
                  <w:vAlign w:val="center"/>
                </w:tcPr>
                <w:p w14:paraId="4BFF80EA">
                  <w:pPr>
                    <w:pStyle w:val="83"/>
                    <w:rPr>
                      <w:rFonts w:hint="default"/>
                    </w:rPr>
                  </w:pPr>
                  <w:r>
                    <w:t>450</w:t>
                  </w:r>
                </w:p>
              </w:tc>
              <w:tc>
                <w:tcPr>
                  <w:tcW w:w="508" w:type="pct"/>
                  <w:vAlign w:val="center"/>
                </w:tcPr>
                <w:p w14:paraId="24015F03">
                  <w:pPr>
                    <w:pStyle w:val="83"/>
                    <w:rPr>
                      <w:rFonts w:hint="default"/>
                    </w:rPr>
                  </w:pPr>
                  <w:r>
                    <w:t>200</w:t>
                  </w:r>
                </w:p>
              </w:tc>
              <w:tc>
                <w:tcPr>
                  <w:tcW w:w="436" w:type="pct"/>
                  <w:vAlign w:val="center"/>
                </w:tcPr>
                <w:p w14:paraId="63A6ACEF">
                  <w:pPr>
                    <w:pStyle w:val="83"/>
                    <w:rPr>
                      <w:rFonts w:hint="default"/>
                    </w:rPr>
                  </w:pPr>
                  <w:r>
                    <w:t>250</w:t>
                  </w:r>
                </w:p>
              </w:tc>
              <w:tc>
                <w:tcPr>
                  <w:tcW w:w="505" w:type="pct"/>
                  <w:vAlign w:val="center"/>
                </w:tcPr>
                <w:p w14:paraId="0C454B88">
                  <w:pPr>
                    <w:pStyle w:val="83"/>
                    <w:rPr>
                      <w:rFonts w:hint="default"/>
                    </w:rPr>
                  </w:pPr>
                  <w:r>
                    <w:t>30</w:t>
                  </w:r>
                </w:p>
              </w:tc>
              <w:tc>
                <w:tcPr>
                  <w:tcW w:w="551" w:type="pct"/>
                  <w:vAlign w:val="center"/>
                </w:tcPr>
                <w:p w14:paraId="596F59CD">
                  <w:pPr>
                    <w:pStyle w:val="83"/>
                    <w:rPr>
                      <w:rFonts w:hint="default"/>
                    </w:rPr>
                  </w:pPr>
                  <w:r>
                    <w:t>15</w:t>
                  </w:r>
                </w:p>
              </w:tc>
              <w:tc>
                <w:tcPr>
                  <w:tcW w:w="452" w:type="pct"/>
                  <w:vAlign w:val="center"/>
                </w:tcPr>
                <w:p w14:paraId="1FD4EC8F">
                  <w:pPr>
                    <w:pStyle w:val="83"/>
                    <w:rPr>
                      <w:rFonts w:hint="default"/>
                    </w:rPr>
                  </w:pPr>
                  <w:r>
                    <w:t>150</w:t>
                  </w:r>
                </w:p>
              </w:tc>
            </w:tr>
            <w:tr w14:paraId="42117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23" w:type="pct"/>
                  <w:gridSpan w:val="3"/>
                  <w:vAlign w:val="center"/>
                </w:tcPr>
                <w:p w14:paraId="4EB52F08">
                  <w:pPr>
                    <w:pStyle w:val="83"/>
                    <w:rPr>
                      <w:rFonts w:hint="default"/>
                    </w:rPr>
                  </w:pPr>
                  <w:r>
                    <w:t>达标性</w:t>
                  </w:r>
                </w:p>
              </w:tc>
              <w:tc>
                <w:tcPr>
                  <w:tcW w:w="415" w:type="pct"/>
                  <w:vAlign w:val="center"/>
                </w:tcPr>
                <w:p w14:paraId="17DA2E5C">
                  <w:pPr>
                    <w:pStyle w:val="83"/>
                    <w:rPr>
                      <w:rFonts w:hint="default"/>
                    </w:rPr>
                  </w:pPr>
                  <w:r>
                    <w:t>/</w:t>
                  </w:r>
                </w:p>
              </w:tc>
              <w:tc>
                <w:tcPr>
                  <w:tcW w:w="508" w:type="pct"/>
                  <w:vAlign w:val="center"/>
                </w:tcPr>
                <w:p w14:paraId="28313AD7">
                  <w:pPr>
                    <w:pStyle w:val="83"/>
                    <w:rPr>
                      <w:rFonts w:hint="default"/>
                    </w:rPr>
                  </w:pPr>
                  <w:r>
                    <w:t>达标</w:t>
                  </w:r>
                </w:p>
              </w:tc>
              <w:tc>
                <w:tcPr>
                  <w:tcW w:w="508" w:type="pct"/>
                  <w:vAlign w:val="center"/>
                </w:tcPr>
                <w:p w14:paraId="03AB2586">
                  <w:pPr>
                    <w:pStyle w:val="83"/>
                    <w:rPr>
                      <w:rFonts w:hint="default"/>
                    </w:rPr>
                  </w:pPr>
                  <w:r>
                    <w:t>达标</w:t>
                  </w:r>
                </w:p>
              </w:tc>
              <w:tc>
                <w:tcPr>
                  <w:tcW w:w="436" w:type="pct"/>
                  <w:vAlign w:val="center"/>
                </w:tcPr>
                <w:p w14:paraId="57CB29DE">
                  <w:pPr>
                    <w:pStyle w:val="83"/>
                    <w:rPr>
                      <w:rFonts w:hint="default"/>
                    </w:rPr>
                  </w:pPr>
                  <w:r>
                    <w:t>达标</w:t>
                  </w:r>
                </w:p>
              </w:tc>
              <w:tc>
                <w:tcPr>
                  <w:tcW w:w="505" w:type="pct"/>
                  <w:vAlign w:val="center"/>
                </w:tcPr>
                <w:p w14:paraId="28121F96">
                  <w:pPr>
                    <w:pStyle w:val="83"/>
                    <w:rPr>
                      <w:rFonts w:hint="default"/>
                    </w:rPr>
                  </w:pPr>
                  <w:r>
                    <w:t>达标</w:t>
                  </w:r>
                </w:p>
              </w:tc>
              <w:tc>
                <w:tcPr>
                  <w:tcW w:w="551" w:type="pct"/>
                  <w:vAlign w:val="center"/>
                </w:tcPr>
                <w:p w14:paraId="5A529395">
                  <w:pPr>
                    <w:pStyle w:val="83"/>
                    <w:rPr>
                      <w:rFonts w:hint="default"/>
                    </w:rPr>
                  </w:pPr>
                  <w:r>
                    <w:t>达标</w:t>
                  </w:r>
                </w:p>
              </w:tc>
              <w:tc>
                <w:tcPr>
                  <w:tcW w:w="452" w:type="pct"/>
                  <w:vAlign w:val="center"/>
                </w:tcPr>
                <w:p w14:paraId="2CF4B005">
                  <w:pPr>
                    <w:pStyle w:val="83"/>
                    <w:rPr>
                      <w:rFonts w:hint="default"/>
                    </w:rPr>
                  </w:pPr>
                  <w:r>
                    <w:t>达标</w:t>
                  </w:r>
                </w:p>
              </w:tc>
            </w:tr>
            <w:tr w14:paraId="66A34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4" w:type="pct"/>
                  <w:vMerge w:val="restart"/>
                  <w:vAlign w:val="center"/>
                </w:tcPr>
                <w:p w14:paraId="322BEE20">
                  <w:pPr>
                    <w:pStyle w:val="83"/>
                    <w:rPr>
                      <w:rFonts w:hint="default"/>
                    </w:rPr>
                  </w:pPr>
                  <w:r>
                    <w:t>滨海工业区污水处理厂处理后排入牛头湾</w:t>
                  </w:r>
                </w:p>
              </w:tc>
              <w:tc>
                <w:tcPr>
                  <w:tcW w:w="460" w:type="pct"/>
                  <w:vMerge w:val="restart"/>
                  <w:vAlign w:val="center"/>
                </w:tcPr>
                <w:p w14:paraId="5A5AFDA4">
                  <w:pPr>
                    <w:pStyle w:val="83"/>
                    <w:rPr>
                      <w:rFonts w:hint="default"/>
                    </w:rPr>
                  </w:pPr>
                  <w:r>
                    <w:t>12.34</w:t>
                  </w:r>
                </w:p>
              </w:tc>
              <w:tc>
                <w:tcPr>
                  <w:tcW w:w="557" w:type="pct"/>
                  <w:vMerge w:val="restart"/>
                  <w:vAlign w:val="center"/>
                </w:tcPr>
                <w:p w14:paraId="6FC1695F">
                  <w:pPr>
                    <w:pStyle w:val="83"/>
                    <w:rPr>
                      <w:rFonts w:hint="default"/>
                    </w:rPr>
                  </w:pPr>
                  <w:r>
                    <w:t>4504.1</w:t>
                  </w:r>
                </w:p>
              </w:tc>
              <w:tc>
                <w:tcPr>
                  <w:tcW w:w="415" w:type="pct"/>
                  <w:vAlign w:val="center"/>
                </w:tcPr>
                <w:p w14:paraId="69F457D2">
                  <w:pPr>
                    <w:pStyle w:val="83"/>
                    <w:rPr>
                      <w:rFonts w:hint="default"/>
                    </w:rPr>
                  </w:pPr>
                  <w:r>
                    <w:t>mg/L</w:t>
                  </w:r>
                </w:p>
              </w:tc>
              <w:tc>
                <w:tcPr>
                  <w:tcW w:w="508" w:type="pct"/>
                  <w:vAlign w:val="center"/>
                </w:tcPr>
                <w:p w14:paraId="5DDA0C4C">
                  <w:pPr>
                    <w:pStyle w:val="83"/>
                    <w:rPr>
                      <w:rFonts w:hint="default"/>
                    </w:rPr>
                  </w:pPr>
                  <w:r>
                    <w:t>50</w:t>
                  </w:r>
                </w:p>
              </w:tc>
              <w:tc>
                <w:tcPr>
                  <w:tcW w:w="508" w:type="pct"/>
                  <w:vAlign w:val="center"/>
                </w:tcPr>
                <w:p w14:paraId="1116A6DD">
                  <w:pPr>
                    <w:pStyle w:val="83"/>
                    <w:rPr>
                      <w:rFonts w:hint="default"/>
                    </w:rPr>
                  </w:pPr>
                  <w:r>
                    <w:t>10</w:t>
                  </w:r>
                </w:p>
              </w:tc>
              <w:tc>
                <w:tcPr>
                  <w:tcW w:w="436" w:type="pct"/>
                  <w:vAlign w:val="center"/>
                </w:tcPr>
                <w:p w14:paraId="2D0C2B4D">
                  <w:pPr>
                    <w:pStyle w:val="83"/>
                    <w:rPr>
                      <w:rFonts w:hint="default"/>
                    </w:rPr>
                  </w:pPr>
                  <w:r>
                    <w:t>10</w:t>
                  </w:r>
                </w:p>
              </w:tc>
              <w:tc>
                <w:tcPr>
                  <w:tcW w:w="505" w:type="pct"/>
                  <w:vAlign w:val="center"/>
                </w:tcPr>
                <w:p w14:paraId="46E5F998">
                  <w:pPr>
                    <w:pStyle w:val="83"/>
                    <w:rPr>
                      <w:rFonts w:hint="default"/>
                    </w:rPr>
                  </w:pPr>
                  <w:r>
                    <w:t>5</w:t>
                  </w:r>
                </w:p>
              </w:tc>
              <w:tc>
                <w:tcPr>
                  <w:tcW w:w="551" w:type="pct"/>
                  <w:vAlign w:val="center"/>
                </w:tcPr>
                <w:p w14:paraId="7FA52723">
                  <w:pPr>
                    <w:pStyle w:val="83"/>
                    <w:rPr>
                      <w:rFonts w:hint="default"/>
                    </w:rPr>
                  </w:pPr>
                  <w:r>
                    <w:t>1</w:t>
                  </w:r>
                </w:p>
              </w:tc>
              <w:tc>
                <w:tcPr>
                  <w:tcW w:w="452" w:type="pct"/>
                  <w:vAlign w:val="center"/>
                </w:tcPr>
                <w:p w14:paraId="7DDB71A2">
                  <w:pPr>
                    <w:pStyle w:val="83"/>
                    <w:rPr>
                      <w:rFonts w:hint="default"/>
                    </w:rPr>
                  </w:pPr>
                  <w:r>
                    <w:t>/</w:t>
                  </w:r>
                </w:p>
              </w:tc>
            </w:tr>
            <w:tr w14:paraId="611267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4" w:type="pct"/>
                  <w:vMerge w:val="continue"/>
                  <w:vAlign w:val="center"/>
                </w:tcPr>
                <w:p w14:paraId="1FFC8FF1">
                  <w:pPr>
                    <w:pStyle w:val="83"/>
                    <w:rPr>
                      <w:rFonts w:hint="default"/>
                    </w:rPr>
                  </w:pPr>
                </w:p>
              </w:tc>
              <w:tc>
                <w:tcPr>
                  <w:tcW w:w="460" w:type="pct"/>
                  <w:vMerge w:val="continue"/>
                  <w:vAlign w:val="center"/>
                </w:tcPr>
                <w:p w14:paraId="372ADDBA">
                  <w:pPr>
                    <w:pStyle w:val="83"/>
                    <w:rPr>
                      <w:rFonts w:hint="default"/>
                    </w:rPr>
                  </w:pPr>
                </w:p>
              </w:tc>
              <w:tc>
                <w:tcPr>
                  <w:tcW w:w="557" w:type="pct"/>
                  <w:vMerge w:val="continue"/>
                  <w:vAlign w:val="center"/>
                </w:tcPr>
                <w:p w14:paraId="028905DC">
                  <w:pPr>
                    <w:pStyle w:val="83"/>
                    <w:rPr>
                      <w:rFonts w:hint="default"/>
                    </w:rPr>
                  </w:pPr>
                </w:p>
              </w:tc>
              <w:tc>
                <w:tcPr>
                  <w:tcW w:w="415" w:type="pct"/>
                  <w:vAlign w:val="center"/>
                </w:tcPr>
                <w:p w14:paraId="5DB281DE">
                  <w:pPr>
                    <w:pStyle w:val="83"/>
                    <w:rPr>
                      <w:rFonts w:hint="default"/>
                    </w:rPr>
                  </w:pPr>
                  <w:r>
                    <w:t>t/a</w:t>
                  </w:r>
                </w:p>
              </w:tc>
              <w:tc>
                <w:tcPr>
                  <w:tcW w:w="508" w:type="pct"/>
                  <w:vAlign w:val="center"/>
                </w:tcPr>
                <w:p w14:paraId="242CFD4A">
                  <w:pPr>
                    <w:pStyle w:val="83"/>
                    <w:rPr>
                      <w:rFonts w:hint="default"/>
                    </w:rPr>
                  </w:pPr>
                  <w:r>
                    <w:t>0.23</w:t>
                  </w:r>
                </w:p>
              </w:tc>
              <w:tc>
                <w:tcPr>
                  <w:tcW w:w="508" w:type="pct"/>
                  <w:vAlign w:val="center"/>
                </w:tcPr>
                <w:p w14:paraId="6CFDCFFB">
                  <w:pPr>
                    <w:pStyle w:val="83"/>
                    <w:rPr>
                      <w:rFonts w:hint="default"/>
                    </w:rPr>
                  </w:pPr>
                  <w:r>
                    <w:t>0.045</w:t>
                  </w:r>
                </w:p>
              </w:tc>
              <w:tc>
                <w:tcPr>
                  <w:tcW w:w="436" w:type="pct"/>
                  <w:vAlign w:val="center"/>
                </w:tcPr>
                <w:p w14:paraId="6020B0B1">
                  <w:pPr>
                    <w:pStyle w:val="83"/>
                    <w:rPr>
                      <w:rFonts w:hint="default"/>
                    </w:rPr>
                  </w:pPr>
                  <w:r>
                    <w:t>0.045</w:t>
                  </w:r>
                </w:p>
              </w:tc>
              <w:tc>
                <w:tcPr>
                  <w:tcW w:w="505" w:type="pct"/>
                  <w:vAlign w:val="center"/>
                </w:tcPr>
                <w:p w14:paraId="61274E57">
                  <w:pPr>
                    <w:pStyle w:val="83"/>
                    <w:rPr>
                      <w:rFonts w:hint="default"/>
                    </w:rPr>
                  </w:pPr>
                  <w:r>
                    <w:t>0.023</w:t>
                  </w:r>
                </w:p>
              </w:tc>
              <w:tc>
                <w:tcPr>
                  <w:tcW w:w="551" w:type="pct"/>
                  <w:vAlign w:val="center"/>
                </w:tcPr>
                <w:p w14:paraId="3BF549DB">
                  <w:pPr>
                    <w:pStyle w:val="83"/>
                    <w:rPr>
                      <w:rFonts w:hint="default"/>
                    </w:rPr>
                  </w:pPr>
                  <w:r>
                    <w:t>0.0045</w:t>
                  </w:r>
                </w:p>
              </w:tc>
              <w:tc>
                <w:tcPr>
                  <w:tcW w:w="452" w:type="pct"/>
                  <w:vAlign w:val="center"/>
                </w:tcPr>
                <w:p w14:paraId="4C1F1FC3">
                  <w:pPr>
                    <w:pStyle w:val="83"/>
                    <w:rPr>
                      <w:rFonts w:hint="default"/>
                    </w:rPr>
                  </w:pPr>
                  <w:r>
                    <w:t>/</w:t>
                  </w:r>
                </w:p>
              </w:tc>
            </w:tr>
            <w:bookmarkEnd w:id="30"/>
          </w:tbl>
          <w:p w14:paraId="1A17073C">
            <w:pPr>
              <w:ind w:firstLine="480"/>
            </w:pPr>
            <w:r>
              <w:rPr>
                <w:rFonts w:hint="eastAsia"/>
              </w:rPr>
              <w:t>由上表可知经厂区预处理后的废水可以满足接管要求，实现达标排放。</w:t>
            </w:r>
          </w:p>
          <w:p w14:paraId="007D5095">
            <w:pPr>
              <w:ind w:firstLine="480"/>
            </w:pPr>
            <w:r>
              <w:rPr>
                <w:rFonts w:hint="eastAsia"/>
              </w:rPr>
              <w:t>根据核算生产废水排水量及产能情况，项目单位产品基准排水量为0.25m</w:t>
            </w:r>
            <w:r>
              <w:rPr>
                <w:rFonts w:hint="eastAsia"/>
                <w:vertAlign w:val="superscript"/>
              </w:rPr>
              <w:t>3</w:t>
            </w:r>
            <w:r>
              <w:rPr>
                <w:rFonts w:hint="eastAsia"/>
              </w:rPr>
              <w:t>/t，符合《合成树脂工业污染物排放标准》（GB31572-2015，含2024年修改单）表3中“聚酰胺树脂”单位产品基准排水量的规定（单位产品基准排水量≤4.0m</w:t>
            </w:r>
            <w:r>
              <w:rPr>
                <w:rFonts w:hint="eastAsia"/>
                <w:vertAlign w:val="superscript"/>
              </w:rPr>
              <w:t>3</w:t>
            </w:r>
            <w:r>
              <w:rPr>
                <w:rFonts w:hint="eastAsia"/>
              </w:rPr>
              <w:t>/t产品）。</w:t>
            </w:r>
          </w:p>
          <w:p w14:paraId="6289180D">
            <w:pPr>
              <w:pStyle w:val="5"/>
            </w:pPr>
            <w:r>
              <w:rPr>
                <w:rFonts w:hint="eastAsia"/>
              </w:rPr>
              <w:t>4.2.2.3 废水治理措施可行性分析</w:t>
            </w:r>
          </w:p>
          <w:p w14:paraId="406CA635">
            <w:pPr>
              <w:ind w:firstLine="480"/>
            </w:pPr>
            <w:r>
              <w:rPr>
                <w:rFonts w:hint="eastAsia"/>
              </w:rPr>
              <w:t>1.废水治理措施</w:t>
            </w:r>
          </w:p>
          <w:p w14:paraId="23310B62">
            <w:pPr>
              <w:ind w:firstLine="480"/>
            </w:pPr>
            <w:r>
              <w:rPr>
                <w:rFonts w:hint="eastAsia"/>
              </w:rPr>
              <w:t>本项目生产废水经厂区现有综合废水处理站处理后回用于生产，污水站反渗透浓水通过市政污水管网纳入滨海工业区和初期雨水污水处理厂集中处理，尾水最终排入牛头湾海域。生活污水经化粪池处理后通过市政污水管网纳入滨海工业区污水处理厂集中处理，尾水最终排入牛头湾海域。</w:t>
            </w:r>
          </w:p>
          <w:p w14:paraId="2B8E770F">
            <w:pPr>
              <w:ind w:firstLine="480"/>
            </w:pPr>
            <w:r>
              <w:rPr>
                <w:rFonts w:hint="eastAsia"/>
              </w:rPr>
              <w:t>（1）综合废水处理站污水处理工艺方案</w:t>
            </w:r>
          </w:p>
          <w:p w14:paraId="137A46BB">
            <w:pPr>
              <w:ind w:firstLine="480"/>
            </w:pPr>
            <w:r>
              <w:rPr>
                <w:rFonts w:hint="eastAsia"/>
              </w:rPr>
              <w:t>本项目日需处理废水量为30.86m</w:t>
            </w:r>
            <w:r>
              <w:rPr>
                <w:rFonts w:hint="eastAsia"/>
                <w:vertAlign w:val="superscript"/>
              </w:rPr>
              <w:t>3</w:t>
            </w:r>
            <w:r>
              <w:rPr>
                <w:rFonts w:hint="eastAsia"/>
              </w:rPr>
              <w:t>/d，厂区现有综合废水处理站废水处理系统设计最大处理规模1100m</w:t>
            </w:r>
            <w:r>
              <w:rPr>
                <w:rFonts w:hint="eastAsia"/>
                <w:vertAlign w:val="superscript"/>
              </w:rPr>
              <w:t>3</w:t>
            </w:r>
            <w:r>
              <w:rPr>
                <w:rFonts w:hint="eastAsia"/>
              </w:rPr>
              <w:t>/d，现状处理规模783.75m</w:t>
            </w:r>
            <w:r>
              <w:rPr>
                <w:rFonts w:hint="eastAsia"/>
                <w:vertAlign w:val="superscript"/>
              </w:rPr>
              <w:t>3</w:t>
            </w:r>
            <w:r>
              <w:rPr>
                <w:rFonts w:hint="eastAsia"/>
              </w:rPr>
              <w:t>/d，剩余处理能力316.25m</w:t>
            </w:r>
            <w:r>
              <w:rPr>
                <w:rFonts w:hint="eastAsia"/>
                <w:vertAlign w:val="superscript"/>
              </w:rPr>
              <w:t>3</w:t>
            </w:r>
            <w:r>
              <w:rPr>
                <w:rFonts w:hint="eastAsia"/>
              </w:rPr>
              <w:t>/d，可满足项目废水的处理需求。</w:t>
            </w:r>
          </w:p>
          <w:p w14:paraId="54F823F6">
            <w:pPr>
              <w:ind w:firstLine="480"/>
            </w:pPr>
            <w:r>
              <w:rPr>
                <w:rFonts w:hint="eastAsia"/>
              </w:rPr>
              <w:t>污水站污水处理工艺采用“预水解酸化+IEPI高效厌氧+缺氧池/好氧池（A/O）+MBR+RO”为核心处理工艺。处理流程见图4.2-2。</w:t>
            </w:r>
          </w:p>
          <w:p w14:paraId="4E887EC4">
            <w:pPr>
              <w:pStyle w:val="6"/>
            </w:pPr>
            <w:r>
              <w:rPr>
                <w:rFonts w:hint="eastAsia"/>
              </w:rPr>
              <w:drawing>
                <wp:inline distT="0" distB="0" distL="0" distR="0">
                  <wp:extent cx="4956810" cy="2015490"/>
                  <wp:effectExtent l="0" t="0" r="0" b="381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4957276" cy="2016000"/>
                          </a:xfrm>
                          <a:prstGeom prst="rect">
                            <a:avLst/>
                          </a:prstGeom>
                          <a:noFill/>
                          <a:ln>
                            <a:noFill/>
                          </a:ln>
                        </pic:spPr>
                      </pic:pic>
                    </a:graphicData>
                  </a:graphic>
                </wp:inline>
              </w:drawing>
            </w:r>
          </w:p>
          <w:p w14:paraId="6573FC58">
            <w:pPr>
              <w:pStyle w:val="13"/>
            </w:pPr>
            <w:r>
              <w:rPr>
                <w:rFonts w:hint="eastAsia"/>
              </w:rPr>
              <w:t>图4.2-2  污水处理工艺流程示意图</w:t>
            </w:r>
          </w:p>
          <w:p w14:paraId="2DA49F53">
            <w:pPr>
              <w:ind w:firstLine="480"/>
            </w:pPr>
            <w:r>
              <w:rPr>
                <w:rFonts w:hint="eastAsia"/>
              </w:rPr>
              <w:t>①综合调节池</w:t>
            </w:r>
          </w:p>
          <w:p w14:paraId="1F810773">
            <w:pPr>
              <w:ind w:firstLine="480"/>
            </w:pPr>
            <w:r>
              <w:rPr>
                <w:rFonts w:hint="eastAsia"/>
              </w:rPr>
              <w:t>废水进入调节池匀质、匀量，保证各股废水混合均匀。</w:t>
            </w:r>
          </w:p>
          <w:p w14:paraId="34078784">
            <w:pPr>
              <w:ind w:firstLine="480"/>
            </w:pPr>
            <w:r>
              <w:rPr>
                <w:rFonts w:hint="eastAsia"/>
              </w:rPr>
              <w:t>②水解酸化生物处理</w:t>
            </w:r>
          </w:p>
          <w:p w14:paraId="1FE6AA66">
            <w:pPr>
              <w:ind w:firstLine="480"/>
            </w:pPr>
            <w:r>
              <w:rPr>
                <w:rFonts w:hint="eastAsia"/>
              </w:rPr>
              <w:t>将废水中某些大分子难降解的有机物转化为较易降解的小分子有机物，改善废水的可生化性，将废水中的有机氮转化成氨氮，硫酸盐也可进行初步的还原反应，为后续生化系统的脱氮提供良好条件。</w:t>
            </w:r>
          </w:p>
          <w:p w14:paraId="6F23BD8E">
            <w:pPr>
              <w:ind w:firstLine="480"/>
            </w:pPr>
            <w:r>
              <w:rPr>
                <w:rFonts w:hint="eastAsia"/>
              </w:rPr>
              <w:t>③IEPI高效厌氧塔</w:t>
            </w:r>
          </w:p>
          <w:p w14:paraId="492BDAC2">
            <w:pPr>
              <w:ind w:firstLine="480"/>
            </w:pPr>
            <w:r>
              <w:rPr>
                <w:rFonts w:hint="eastAsia"/>
              </w:rPr>
              <w:t>在反应器中，厌氧颗粒污泥将废水中的COD厌氧降解转化为沼气。两级分离内循环厌氧反应器是基于气体提升原理，由上升管和下降管中所含气体量的不同而产生的，受反应器气流的驱动，因此可达到自行调节。</w:t>
            </w:r>
          </w:p>
          <w:p w14:paraId="32742D27">
            <w:pPr>
              <w:ind w:firstLine="480"/>
            </w:pPr>
            <w:r>
              <w:rPr>
                <w:rFonts w:hint="eastAsia"/>
              </w:rPr>
              <w:t>④A/O生化池</w:t>
            </w:r>
          </w:p>
          <w:p w14:paraId="2DF5017E">
            <w:pPr>
              <w:ind w:firstLine="480"/>
            </w:pPr>
            <w:r>
              <w:rPr>
                <w:rFonts w:hint="eastAsia"/>
              </w:rPr>
              <w:t>在A池中的反硝化细菌利用从O池回流过来的生化水中的大量NO</w:t>
            </w:r>
            <w:r>
              <w:rPr>
                <w:rFonts w:hint="eastAsia"/>
                <w:vertAlign w:val="subscript"/>
              </w:rPr>
              <w:t>3</w:t>
            </w:r>
            <w:r>
              <w:rPr>
                <w:rFonts w:hint="eastAsia"/>
              </w:rPr>
              <w:t>-N作为电子受体，利用污水中存在的COD</w:t>
            </w:r>
            <w:r>
              <w:rPr>
                <w:rFonts w:hint="eastAsia"/>
                <w:vertAlign w:val="subscript"/>
              </w:rPr>
              <w:t>Cr</w:t>
            </w:r>
            <w:r>
              <w:rPr>
                <w:rFonts w:hint="eastAsia"/>
              </w:rPr>
              <w:t>作为碳源进行反硝化反应，氧化有机物，并将NO3-N还原为N2排入大气，并同时去除一部分的COD。然后污水被推流进入好氧区，使用微孔曝气装置进行充氧曝气，对好氧微生物进行供氧，以维持生物代谢，将COD氧化成CO</w:t>
            </w:r>
            <w:r>
              <w:rPr>
                <w:rFonts w:hint="eastAsia"/>
                <w:vertAlign w:val="subscript"/>
              </w:rPr>
              <w:t>2</w:t>
            </w:r>
            <w:r>
              <w:rPr>
                <w:rFonts w:hint="eastAsia"/>
              </w:rPr>
              <w:t>和H</w:t>
            </w:r>
            <w:r>
              <w:rPr>
                <w:rFonts w:hint="eastAsia"/>
                <w:vertAlign w:val="subscript"/>
              </w:rPr>
              <w:t>2</w:t>
            </w:r>
            <w:r>
              <w:rPr>
                <w:rFonts w:hint="eastAsia"/>
              </w:rPr>
              <w:t>O，在亚硝酸菌作用下将NH</w:t>
            </w:r>
            <w:r>
              <w:rPr>
                <w:rFonts w:hint="eastAsia"/>
                <w:vertAlign w:val="subscript"/>
              </w:rPr>
              <w:t>3</w:t>
            </w:r>
            <w:r>
              <w:rPr>
                <w:rFonts w:hint="eastAsia"/>
              </w:rPr>
              <w:t>-N氧化成NO</w:t>
            </w:r>
            <w:r>
              <w:rPr>
                <w:rFonts w:hint="eastAsia"/>
                <w:vertAlign w:val="subscript"/>
              </w:rPr>
              <w:t>3</w:t>
            </w:r>
            <w:r>
              <w:rPr>
                <w:rFonts w:hint="eastAsia"/>
              </w:rPr>
              <w:t>-N盐，经过硝化后的污水回流到缺氧段进行反硝化，利用污泥中的反硝化菌，在缺氧条件下，将NO</w:t>
            </w:r>
            <w:r>
              <w:rPr>
                <w:rFonts w:hint="eastAsia"/>
                <w:vertAlign w:val="subscript"/>
              </w:rPr>
              <w:t>3</w:t>
            </w:r>
            <w:r>
              <w:rPr>
                <w:rFonts w:hint="eastAsia"/>
              </w:rPr>
              <w:t>-N还原为气态氮释放。</w:t>
            </w:r>
          </w:p>
          <w:p w14:paraId="2B470DD3">
            <w:pPr>
              <w:ind w:firstLine="480"/>
            </w:pPr>
            <w:r>
              <w:rPr>
                <w:rFonts w:hint="eastAsia"/>
              </w:rPr>
              <w:t>⑤MBR膜生物反应</w:t>
            </w:r>
          </w:p>
          <w:p w14:paraId="5FEA2354">
            <w:pPr>
              <w:ind w:firstLine="480"/>
            </w:pPr>
            <w:r>
              <w:rPr>
                <w:rFonts w:hint="eastAsia"/>
              </w:rPr>
              <w:t>MBR膜生物反应处理技术是将分离工程中的膜分离技术与传统废水生化处理技术有机结合，不仅省去了二沉池的建设，而且大大提高了固液分离效率，并且由于曝气池中活性污泥浓度的增大和污泥中特效菌（特别是优势菌群）的出现，提高了生化反应速率。同时，通过降低F/M比减少剩余污泥产生量（甚至为零），从而基本解决了传统活性污泥法存在的许多突出问题。</w:t>
            </w:r>
          </w:p>
          <w:p w14:paraId="345A38E4">
            <w:pPr>
              <w:ind w:firstLine="480"/>
            </w:pPr>
            <w:r>
              <w:rPr>
                <w:rFonts w:hint="eastAsia"/>
              </w:rPr>
              <w:t>生化系统产生的剩余污泥则利用泵输送至污泥池浓缩后，经压泥机压滤。</w:t>
            </w:r>
          </w:p>
          <w:p w14:paraId="04454179">
            <w:pPr>
              <w:ind w:firstLine="480"/>
            </w:pPr>
            <w:r>
              <w:rPr>
                <w:rFonts w:hint="eastAsia"/>
              </w:rPr>
              <w:t>⑥反渗透（RO膜系统）</w:t>
            </w:r>
          </w:p>
          <w:p w14:paraId="6FED6CBC">
            <w:pPr>
              <w:ind w:firstLine="480"/>
            </w:pPr>
            <w:r>
              <w:rPr>
                <w:rFonts w:hint="eastAsia"/>
              </w:rPr>
              <w:t>依靠反渗透膜在压力下使溶液中的溶剂与溶质进行分离的过程。对于除盐系统来说，预处理水进入反渗透膜，在高压力的作用下，小分子（如水分子）透过半透膜进入淡水室，大分子则留在浓水室，最后排放。反渗透系统控制自动控制，根据程序进行过滤产水、加药、停机冲洗，有效地去除水中的溶解盐类、胶体、微生物、有机物等。</w:t>
            </w:r>
          </w:p>
          <w:p w14:paraId="027167D4">
            <w:pPr>
              <w:ind w:firstLine="480"/>
            </w:pPr>
            <w:r>
              <w:rPr>
                <w:rFonts w:hint="eastAsia"/>
              </w:rPr>
              <w:t>RO系统回用水用于企业冷却循环系统补水，反渗透浓水通过市政污水管网进入滨海工业区污水处理厂进行处理。</w:t>
            </w:r>
          </w:p>
          <w:p w14:paraId="53A8E97C">
            <w:pPr>
              <w:ind w:firstLine="480"/>
            </w:pPr>
            <w:r>
              <w:rPr>
                <w:rFonts w:hint="eastAsia"/>
              </w:rPr>
              <w:t>根据《排污许可证申请与核发技术规范化学纤维制造业》（HJ1102-2020）表A.2排污单位废水处理可行技术参照表，本项目涉及相关废水的治理措施可行性如表4.2-9所示。</w:t>
            </w:r>
          </w:p>
          <w:p w14:paraId="1212201B">
            <w:pPr>
              <w:pStyle w:val="13"/>
            </w:pPr>
            <w:r>
              <w:rPr>
                <w:rFonts w:hint="eastAsia"/>
              </w:rPr>
              <w:t>表4.2-9  与化学纤维制造业排污单位污水处理可行技术比较分析</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70"/>
              <w:gridCol w:w="716"/>
              <w:gridCol w:w="3368"/>
              <w:gridCol w:w="1715"/>
              <w:gridCol w:w="878"/>
              <w:gridCol w:w="1038"/>
            </w:tblGrid>
            <w:tr w14:paraId="1AEC65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5C665F0F">
                  <w:pPr>
                    <w:pStyle w:val="83"/>
                    <w:rPr>
                      <w:rFonts w:hint="default"/>
                    </w:rPr>
                  </w:pPr>
                  <w:r>
                    <w:t>类别</w:t>
                  </w:r>
                </w:p>
              </w:tc>
              <w:tc>
                <w:tcPr>
                  <w:tcW w:w="437" w:type="pct"/>
                  <w:vAlign w:val="center"/>
                </w:tcPr>
                <w:p w14:paraId="5E59A594">
                  <w:pPr>
                    <w:pStyle w:val="83"/>
                    <w:rPr>
                      <w:rFonts w:hint="default"/>
                    </w:rPr>
                  </w:pPr>
                  <w:r>
                    <w:t>废水类型</w:t>
                  </w:r>
                </w:p>
              </w:tc>
              <w:tc>
                <w:tcPr>
                  <w:tcW w:w="2056" w:type="pct"/>
                  <w:vAlign w:val="center"/>
                </w:tcPr>
                <w:p w14:paraId="30320485">
                  <w:pPr>
                    <w:pStyle w:val="83"/>
                    <w:rPr>
                      <w:rFonts w:hint="default"/>
                    </w:rPr>
                  </w:pPr>
                  <w:r>
                    <w:t>可行技术</w:t>
                  </w:r>
                </w:p>
              </w:tc>
              <w:tc>
                <w:tcPr>
                  <w:tcW w:w="1047" w:type="pct"/>
                  <w:vAlign w:val="center"/>
                </w:tcPr>
                <w:p w14:paraId="09E42F6C">
                  <w:pPr>
                    <w:pStyle w:val="83"/>
                    <w:rPr>
                      <w:rFonts w:hint="default"/>
                    </w:rPr>
                  </w:pPr>
                  <w:r>
                    <w:t>本项目</w:t>
                  </w:r>
                </w:p>
              </w:tc>
              <w:tc>
                <w:tcPr>
                  <w:tcW w:w="536" w:type="pct"/>
                  <w:vAlign w:val="center"/>
                </w:tcPr>
                <w:p w14:paraId="11FBF231">
                  <w:pPr>
                    <w:pStyle w:val="83"/>
                    <w:rPr>
                      <w:rFonts w:hint="default"/>
                    </w:rPr>
                  </w:pPr>
                  <w:r>
                    <w:t>符合性</w:t>
                  </w:r>
                </w:p>
              </w:tc>
              <w:tc>
                <w:tcPr>
                  <w:tcW w:w="634" w:type="pct"/>
                  <w:vAlign w:val="center"/>
                </w:tcPr>
                <w:p w14:paraId="0986FEDF">
                  <w:pPr>
                    <w:pStyle w:val="83"/>
                    <w:rPr>
                      <w:rFonts w:hint="default"/>
                    </w:rPr>
                  </w:pPr>
                  <w:r>
                    <w:t>备注</w:t>
                  </w:r>
                </w:p>
              </w:tc>
            </w:tr>
            <w:tr w14:paraId="305819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87" w:type="pct"/>
                  <w:vAlign w:val="center"/>
                </w:tcPr>
                <w:p w14:paraId="7A0E7E9F">
                  <w:pPr>
                    <w:pStyle w:val="83"/>
                    <w:rPr>
                      <w:rFonts w:hint="default"/>
                    </w:rPr>
                  </w:pPr>
                  <w:r>
                    <w:t>外排或回用废水</w:t>
                  </w:r>
                </w:p>
              </w:tc>
              <w:tc>
                <w:tcPr>
                  <w:tcW w:w="437" w:type="pct"/>
                  <w:vAlign w:val="center"/>
                </w:tcPr>
                <w:p w14:paraId="191C97F2">
                  <w:pPr>
                    <w:pStyle w:val="83"/>
                    <w:rPr>
                      <w:rFonts w:hint="default"/>
                    </w:rPr>
                  </w:pPr>
                  <w:r>
                    <w:t>工艺废水</w:t>
                  </w:r>
                </w:p>
              </w:tc>
              <w:tc>
                <w:tcPr>
                  <w:tcW w:w="2056" w:type="pct"/>
                  <w:vAlign w:val="center"/>
                </w:tcPr>
                <w:p w14:paraId="78FDCDE4">
                  <w:pPr>
                    <w:pStyle w:val="83"/>
                    <w:rPr>
                      <w:rFonts w:hint="default"/>
                    </w:rPr>
                  </w:pPr>
                  <w:r>
                    <w:t>预处理：中和、气浮、混凝沉淀、调节、水解酸化、厌氧；</w:t>
                  </w:r>
                </w:p>
                <w:p w14:paraId="3BD09FC3">
                  <w:pPr>
                    <w:pStyle w:val="83"/>
                    <w:rPr>
                      <w:rFonts w:hint="default"/>
                    </w:rPr>
                  </w:pPr>
                  <w:r>
                    <w:t>生化处理：活性污泥法、一体化微氧高浓缺氧/好氧法，短程硝化反硝化法、粉末活性炭工艺配套废炭再生系统，曝气生物滤池（BAF）、生物接触氧化法；</w:t>
                  </w:r>
                </w:p>
                <w:p w14:paraId="4D8DC019">
                  <w:pPr>
                    <w:pStyle w:val="83"/>
                    <w:rPr>
                      <w:rFonts w:hint="default"/>
                    </w:rPr>
                  </w:pPr>
                  <w:r>
                    <w:t>深度处理：臭氧氧化、臭氧催化氧化、曝气生物滤池（BAF）、生物接触氧化法、混凝沉淀、过滤、超滤（UF）、反渗透（RO）</w:t>
                  </w:r>
                </w:p>
              </w:tc>
              <w:tc>
                <w:tcPr>
                  <w:tcW w:w="1047" w:type="pct"/>
                  <w:vAlign w:val="center"/>
                </w:tcPr>
                <w:p w14:paraId="520F6B21">
                  <w:pPr>
                    <w:pStyle w:val="83"/>
                    <w:rPr>
                      <w:rFonts w:hint="default"/>
                    </w:rPr>
                  </w:pPr>
                  <w:r>
                    <w:t>预处理：综合调节+水解酸化+高效厌氧；</w:t>
                  </w:r>
                </w:p>
                <w:p w14:paraId="348DA7FB">
                  <w:pPr>
                    <w:pStyle w:val="83"/>
                    <w:rPr>
                      <w:rFonts w:hint="default"/>
                    </w:rPr>
                  </w:pPr>
                  <w:r>
                    <w:t>生化处理：厌氧/好氧+MBR；</w:t>
                  </w:r>
                </w:p>
                <w:p w14:paraId="39721D9A">
                  <w:pPr>
                    <w:pStyle w:val="83"/>
                    <w:rPr>
                      <w:rFonts w:hint="default"/>
                    </w:rPr>
                  </w:pPr>
                  <w:r>
                    <w:t>深度处理：反渗透（RO）</w:t>
                  </w:r>
                </w:p>
              </w:tc>
              <w:tc>
                <w:tcPr>
                  <w:tcW w:w="536" w:type="pct"/>
                  <w:vAlign w:val="center"/>
                </w:tcPr>
                <w:p w14:paraId="69E6797B">
                  <w:pPr>
                    <w:pStyle w:val="83"/>
                    <w:rPr>
                      <w:rFonts w:hint="default"/>
                    </w:rPr>
                  </w:pPr>
                  <w:r>
                    <w:t>符合</w:t>
                  </w:r>
                </w:p>
              </w:tc>
              <w:tc>
                <w:tcPr>
                  <w:tcW w:w="634" w:type="pct"/>
                  <w:vAlign w:val="center"/>
                </w:tcPr>
                <w:p w14:paraId="49CF4A09">
                  <w:pPr>
                    <w:pStyle w:val="83"/>
                    <w:rPr>
                      <w:rFonts w:hint="default"/>
                    </w:rPr>
                  </w:pPr>
                  <w:r>
                    <w:t>反渗透浓水通过市政污水管网进入滨海工业区污水处理厂处理，尾水排入牛头湾海域。</w:t>
                  </w:r>
                </w:p>
              </w:tc>
            </w:tr>
          </w:tbl>
          <w:p w14:paraId="3EE0DCD3">
            <w:pPr>
              <w:ind w:firstLine="480"/>
            </w:pPr>
            <w:r>
              <w:rPr>
                <w:rFonts w:hint="eastAsia"/>
              </w:rPr>
              <w:t>根据福建拓普检测技术有限公司出具的企业2025年度自行检测报告，污水处理站外排废水（反渗透浓水）中的污染因子浓度满足《合成树脂工业污染物排放标准》（GB31572-2015，含2024年修改单）表1水污染物排放限值间接排放标准，pH、SS、COD、BOD</w:t>
            </w:r>
            <w:r>
              <w:rPr>
                <w:rFonts w:hint="eastAsia"/>
                <w:vertAlign w:val="subscript"/>
              </w:rPr>
              <w:t>5</w:t>
            </w:r>
            <w:r>
              <w:rPr>
                <w:rFonts w:hint="eastAsia"/>
              </w:rPr>
              <w:t>、氨氮、总磷、总氮、总有机碳等污染物满足《福建永荣锦江股份有限公司生产废水排放标准协议》限值要求，石油类满足《污水排入城镇下水道水质标准》（GB/T31962-2015）表1中的B级标准，废水处理站处理工艺能够满足企业生产废水处理需求。根据福建山水环境检测有限公司出具的《永荣锦江股份有限公司年产1万吨低碳再生切片、改性工塑项目竣工环境保护验收检测报告》（报告编号：MRTR202503166），企业污水处理站回用水水质满足《城市污水再生利用工业用水水质》（GB/T19923-2024）中工艺与产品用水标准限值，可用于补充聚合工艺用水。本次扩建项目使用原料为企业现有工程产品和洁净边角料，所产生的生产废水同现有工程废水水质类似，根据污染源源强核算，废水经综合废水处理站处理后能够满足相应的标准限值要求。</w:t>
            </w:r>
          </w:p>
          <w:p w14:paraId="53847114">
            <w:pPr>
              <w:ind w:firstLine="480"/>
            </w:pPr>
            <w:r>
              <w:rPr>
                <w:rFonts w:hint="eastAsia"/>
              </w:rPr>
              <w:t>综上所述，本项目采取的废水处理措施是可行的。</w:t>
            </w:r>
          </w:p>
          <w:p w14:paraId="1AF2F1B9">
            <w:pPr>
              <w:ind w:firstLine="480"/>
            </w:pPr>
            <w:r>
              <w:rPr>
                <w:rFonts w:hint="eastAsia"/>
              </w:rPr>
              <w:t>2.项目废水排入福州市滨海工业区污水处理厂的可行性及影响分析</w:t>
            </w:r>
          </w:p>
          <w:p w14:paraId="752FF76F">
            <w:pPr>
              <w:ind w:firstLine="480"/>
            </w:pPr>
            <w:r>
              <w:rPr>
                <w:rFonts w:hint="eastAsia"/>
              </w:rPr>
              <w:t>（1）接管可行性</w:t>
            </w:r>
          </w:p>
          <w:p w14:paraId="4C344420">
            <w:pPr>
              <w:ind w:firstLine="480"/>
            </w:pPr>
            <w:r>
              <w:rPr>
                <w:rFonts w:hint="eastAsia"/>
              </w:rPr>
              <w:t>福州市滨海工业区污水处理厂服务范围包括滨海工业区、临空经济区、漳港片区、古槐镇、江田镇等片区，本项目位于福建省福州市长乐区临空经济区，属于福州市滨海污水处理厂服务区范围，项目污水通过周边市政污水管网进入福州市滨海污水处理厂统一处理后达标排放。目前临空经济区内的市政污水管网已经铺设完成并已经投入正常运行，企业已与滨海工业区污水处理厂签订接管协议，保证污水可接入市政污水管网。</w:t>
            </w:r>
          </w:p>
          <w:p w14:paraId="0C26618F">
            <w:pPr>
              <w:ind w:firstLine="480"/>
            </w:pPr>
            <w:r>
              <w:rPr>
                <w:rFonts w:hint="eastAsia"/>
              </w:rPr>
              <w:t>（2）设计进出水水质</w:t>
            </w:r>
          </w:p>
          <w:p w14:paraId="37796DF0">
            <w:pPr>
              <w:ind w:firstLine="480"/>
            </w:pPr>
            <w:r>
              <w:rPr>
                <w:rFonts w:hint="eastAsia"/>
              </w:rPr>
              <w:t>根据源强核算可知，项目废水经厂区预处理后排入市政污水管网内污染物排放浓度满足《合成树脂工业污染物排放标准》（GB31572-2015，含2024年修改单）表1水污染物排放限值间接排放标准，pH、SS、COD、BOD</w:t>
            </w:r>
            <w:r>
              <w:rPr>
                <w:rFonts w:hint="eastAsia"/>
                <w:vertAlign w:val="subscript"/>
              </w:rPr>
              <w:t>5</w:t>
            </w:r>
            <w:r>
              <w:rPr>
                <w:rFonts w:hint="eastAsia"/>
              </w:rPr>
              <w:t>、氨氮、总磷、总氮、总有机碳等污染物满足《福建永荣锦江股份有限公司生产废水排放标准协议》限值要求，石油类满足《污水排入城镇下水道水质标准》（GB/T31962-2015）表1中的B级标准。</w:t>
            </w:r>
          </w:p>
          <w:p w14:paraId="487B5280">
            <w:pPr>
              <w:ind w:firstLine="480"/>
            </w:pPr>
            <w:r>
              <w:rPr>
                <w:rFonts w:hint="eastAsia"/>
              </w:rPr>
              <w:t>项目废水所含污染因子浓度低，污染物成分简单，不含有腐蚀成分，污水可生化性高，因此从水质方面分析，项目废水预处理达标后符合滨海工业区污水处理厂接管水质要求，不会对污水处理厂水质负荷造成冲击。</w:t>
            </w:r>
          </w:p>
          <w:p w14:paraId="3E18C8D3">
            <w:pPr>
              <w:ind w:firstLine="480"/>
            </w:pPr>
            <w:r>
              <w:rPr>
                <w:rFonts w:hint="eastAsia"/>
              </w:rPr>
              <w:t>（3）处理能力及处理工艺</w:t>
            </w:r>
          </w:p>
          <w:p w14:paraId="57DD15B3">
            <w:pPr>
              <w:ind w:firstLine="480"/>
            </w:pPr>
            <w:r>
              <w:rPr>
                <w:rFonts w:hint="eastAsia"/>
              </w:rPr>
              <w:t>福州市滨海工业区污水处理厂位于长乐区松下镇南寨下村，康宏豆业仓储东侧，尾水排入牛头湾东南海域。污水处理厂设计处理规模为9万t/d，占地约54亩。污水处理采用“水解＋Carrousel氧化沟”工艺，污水处理厂排放口设置于牛头湾南面东南海域，排放口距离岸边300m，尾水采用连续排放方式，污水处理厂出水水质执行《城镇污水处理厂污染物排放标准》（GB18918-2002）一级A排放标准。根据调查，滨海工业区污水处理厂现状处理规模约为6.2万t/d，剩余处理能力2.8万t/d，本次扩建项目日新增外排污水量为12.34t/d，占剩余处理能力的0.044%。由此可见本次项目废水纳入福州市滨海工业区污水处理厂统一处理不会造成明显的负荷冲击。</w:t>
            </w:r>
          </w:p>
          <w:p w14:paraId="57966611">
            <w:pPr>
              <w:ind w:firstLine="480"/>
            </w:pPr>
            <w:r>
              <w:rPr>
                <w:rFonts w:hint="eastAsia"/>
              </w:rPr>
              <w:t>综上所述，本项目外排污水经厂区预处理后接入市政污水管网排入滨海工业集中区污水处理厂处理是可行的。</w:t>
            </w:r>
          </w:p>
          <w:p w14:paraId="3FD6858C">
            <w:pPr>
              <w:ind w:firstLine="480"/>
            </w:pPr>
            <w:r>
              <w:rPr>
                <w:rFonts w:hint="eastAsia"/>
              </w:rPr>
              <w:t>3.水环境影响分析结论</w:t>
            </w:r>
          </w:p>
          <w:p w14:paraId="23CE30DD">
            <w:pPr>
              <w:ind w:firstLine="480"/>
            </w:pPr>
            <w:r>
              <w:rPr>
                <w:rFonts w:hint="eastAsia"/>
              </w:rPr>
              <w:t>根据上述分析，本项目生产废水经综合废水处理站处理后回用于生产，污水站产生的反渗透浓水排入市政污水管网最终送往福州市滨海工业区污水处理厂集中处理达标后排放；生活污水经化粪池预处理后排入市政污水管网最终送往福州市滨海工业区污水处理厂集中处理达标后排放。项目废水水质、水量不会对污水处理厂造成负荷冲击。项目废水不直接排入地表水体，因此不会对区域地表水环境产生直接不利影响。</w:t>
            </w:r>
          </w:p>
          <w:p w14:paraId="3835626E">
            <w:pPr>
              <w:pStyle w:val="4"/>
              <w:spacing w:before="120" w:after="0" w:afterLines="0"/>
            </w:pPr>
            <w:r>
              <w:rPr>
                <w:rFonts w:hint="eastAsia"/>
              </w:rPr>
              <w:t>4.2.3 运营期噪声影响分析与措施</w:t>
            </w:r>
          </w:p>
          <w:p w14:paraId="730DEF1F">
            <w:pPr>
              <w:pStyle w:val="5"/>
            </w:pPr>
            <w:r>
              <w:rPr>
                <w:rFonts w:hint="eastAsia"/>
              </w:rPr>
              <w:t>4.2.3.1 噪声源强分析</w:t>
            </w:r>
          </w:p>
          <w:p w14:paraId="789B7E4E">
            <w:pPr>
              <w:ind w:firstLine="480"/>
            </w:pPr>
            <w:r>
              <w:rPr>
                <w:rFonts w:hint="eastAsia"/>
              </w:rPr>
              <w:t>本次工程噪声源主要来自车间各种生产设备，由于设备数量较多，根据相关资料和同类设备的类比调查，列出该项目主要车间的噪声声压级，详见表4.2-9。</w:t>
            </w:r>
          </w:p>
        </w:tc>
      </w:tr>
    </w:tbl>
    <w:p w14:paraId="1D1620BA">
      <w:pPr>
        <w:pStyle w:val="14"/>
        <w:ind w:firstLine="600"/>
        <w:jc w:val="center"/>
        <w:outlineLvl w:val="0"/>
        <w:rPr>
          <w:rFonts w:hint="eastAsia" w:ascii="黑体" w:hAnsi="黑体" w:eastAsia="黑体"/>
          <w:snapToGrid w:val="0"/>
          <w:sz w:val="30"/>
          <w:szCs w:val="30"/>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426"/>
        <w:gridCol w:w="13226"/>
      </w:tblGrid>
      <w:tr w14:paraId="7230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26" w:type="dxa"/>
            <w:vAlign w:val="center"/>
          </w:tcPr>
          <w:p w14:paraId="74F24780">
            <w:pPr>
              <w:pStyle w:val="14"/>
              <w:spacing w:before="0" w:beforeAutospacing="0" w:after="0" w:afterAutospacing="0"/>
              <w:ind w:firstLine="0" w:firstLineChars="0"/>
              <w:jc w:val="center"/>
              <w:outlineLvl w:val="0"/>
              <w:rPr>
                <w:rFonts w:ascii="Times New Roman" w:hAnsi="Times New Roman"/>
                <w:snapToGrid w:val="0"/>
                <w:sz w:val="21"/>
                <w:szCs w:val="21"/>
              </w:rPr>
            </w:pPr>
            <w:r>
              <w:rPr>
                <w:rFonts w:hint="eastAsia" w:ascii="Times New Roman" w:hAnsi="Times New Roman"/>
                <w:snapToGrid w:val="0"/>
                <w:sz w:val="21"/>
                <w:szCs w:val="21"/>
              </w:rPr>
              <w:t>运营期环境影响和保护措施</w:t>
            </w:r>
          </w:p>
        </w:tc>
        <w:tc>
          <w:tcPr>
            <w:tcW w:w="13226" w:type="dxa"/>
          </w:tcPr>
          <w:p w14:paraId="0DADF01D">
            <w:pPr>
              <w:spacing w:line="276" w:lineRule="auto"/>
              <w:ind w:firstLine="482"/>
              <w:jc w:val="center"/>
            </w:pPr>
            <w:r>
              <w:rPr>
                <w:rFonts w:hint="eastAsia" w:ascii="宋体" w:hAnsi="宋体"/>
                <w:b/>
              </w:rPr>
              <w:t>表</w:t>
            </w:r>
            <w:r>
              <w:rPr>
                <w:rFonts w:hint="eastAsia"/>
                <w:b/>
              </w:rPr>
              <w:t xml:space="preserve">4.2-10  </w:t>
            </w:r>
            <w:r>
              <w:rPr>
                <w:rFonts w:hint="eastAsia" w:ascii="宋体" w:hAnsi="宋体"/>
                <w:b/>
              </w:rPr>
              <w:t>项目设备噪声源强核算结果及相关参数一览表</w:t>
            </w:r>
          </w:p>
          <w:tbl>
            <w:tblPr>
              <w:tblStyle w:val="17"/>
              <w:tblpPr w:leftFromText="180" w:rightFromText="180" w:vertAnchor="text" w:tblpXSpec="center" w:tblpY="1"/>
              <w:tblOverlap w:val="never"/>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729"/>
              <w:gridCol w:w="721"/>
              <w:gridCol w:w="721"/>
              <w:gridCol w:w="1153"/>
              <w:gridCol w:w="867"/>
              <w:gridCol w:w="1442"/>
              <w:gridCol w:w="2296"/>
              <w:gridCol w:w="1135"/>
              <w:gridCol w:w="1133"/>
              <w:gridCol w:w="995"/>
              <w:gridCol w:w="818"/>
            </w:tblGrid>
            <w:tr w14:paraId="6BD31A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Merge w:val="restart"/>
                  <w:vAlign w:val="center"/>
                </w:tcPr>
                <w:p w14:paraId="64E150B0">
                  <w:pPr>
                    <w:pStyle w:val="83"/>
                    <w:rPr>
                      <w:rFonts w:hint="default"/>
                    </w:rPr>
                  </w:pPr>
                  <w:r>
                    <w:t>噪声设备</w:t>
                  </w:r>
                </w:p>
              </w:tc>
              <w:tc>
                <w:tcPr>
                  <w:tcW w:w="277" w:type="pct"/>
                  <w:vMerge w:val="restart"/>
                  <w:vAlign w:val="center"/>
                </w:tcPr>
                <w:p w14:paraId="32E16D12">
                  <w:pPr>
                    <w:pStyle w:val="83"/>
                    <w:rPr>
                      <w:rFonts w:hint="default"/>
                    </w:rPr>
                  </w:pPr>
                  <w:r>
                    <w:t>声源类型</w:t>
                  </w:r>
                </w:p>
              </w:tc>
              <w:tc>
                <w:tcPr>
                  <w:tcW w:w="277" w:type="pct"/>
                  <w:vMerge w:val="restart"/>
                  <w:vAlign w:val="center"/>
                </w:tcPr>
                <w:p w14:paraId="0D220C0E">
                  <w:pPr>
                    <w:pStyle w:val="83"/>
                    <w:rPr>
                      <w:rFonts w:hint="default"/>
                    </w:rPr>
                  </w:pPr>
                  <w:r>
                    <w:t>数量</w:t>
                  </w:r>
                </w:p>
              </w:tc>
              <w:tc>
                <w:tcPr>
                  <w:tcW w:w="776" w:type="pct"/>
                  <w:gridSpan w:val="2"/>
                  <w:vAlign w:val="center"/>
                </w:tcPr>
                <w:p w14:paraId="6E35379F">
                  <w:pPr>
                    <w:pStyle w:val="83"/>
                    <w:rPr>
                      <w:rFonts w:hint="default"/>
                    </w:rPr>
                  </w:pPr>
                  <w:r>
                    <w:t>噪声源强</w:t>
                  </w:r>
                </w:p>
              </w:tc>
              <w:tc>
                <w:tcPr>
                  <w:tcW w:w="1872" w:type="pct"/>
                  <w:gridSpan w:val="3"/>
                  <w:vAlign w:val="center"/>
                </w:tcPr>
                <w:p w14:paraId="0AA3B3FE">
                  <w:pPr>
                    <w:pStyle w:val="83"/>
                    <w:rPr>
                      <w:rFonts w:hint="default"/>
                    </w:rPr>
                  </w:pPr>
                  <w:r>
                    <w:t>降噪措施</w:t>
                  </w:r>
                </w:p>
              </w:tc>
              <w:tc>
                <w:tcPr>
                  <w:tcW w:w="817" w:type="pct"/>
                  <w:gridSpan w:val="2"/>
                  <w:vAlign w:val="center"/>
                </w:tcPr>
                <w:p w14:paraId="453CDA09">
                  <w:pPr>
                    <w:pStyle w:val="83"/>
                    <w:rPr>
                      <w:rFonts w:hint="default"/>
                    </w:rPr>
                  </w:pPr>
                  <w:r>
                    <w:t>噪声排放量</w:t>
                  </w:r>
                </w:p>
              </w:tc>
              <w:tc>
                <w:tcPr>
                  <w:tcW w:w="314" w:type="pct"/>
                  <w:vMerge w:val="restart"/>
                  <w:vAlign w:val="center"/>
                </w:tcPr>
                <w:p w14:paraId="4A855F0A">
                  <w:pPr>
                    <w:pStyle w:val="83"/>
                    <w:rPr>
                      <w:rFonts w:hint="default"/>
                    </w:rPr>
                  </w:pPr>
                  <w:r>
                    <w:t>持续时间</w:t>
                  </w:r>
                </w:p>
                <w:p w14:paraId="799BDF51">
                  <w:pPr>
                    <w:pStyle w:val="83"/>
                    <w:rPr>
                      <w:rFonts w:hint="default"/>
                    </w:rPr>
                  </w:pPr>
                  <w:r>
                    <w:t>h</w:t>
                  </w:r>
                </w:p>
              </w:tc>
            </w:tr>
            <w:tr w14:paraId="3364C6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Merge w:val="continue"/>
                  <w:vAlign w:val="center"/>
                </w:tcPr>
                <w:p w14:paraId="1CB4B4BA">
                  <w:pPr>
                    <w:pStyle w:val="83"/>
                    <w:rPr>
                      <w:rFonts w:hint="default"/>
                    </w:rPr>
                  </w:pPr>
                </w:p>
              </w:tc>
              <w:tc>
                <w:tcPr>
                  <w:tcW w:w="277" w:type="pct"/>
                  <w:vMerge w:val="continue"/>
                  <w:vAlign w:val="center"/>
                </w:tcPr>
                <w:p w14:paraId="5B85F9BE">
                  <w:pPr>
                    <w:pStyle w:val="83"/>
                    <w:rPr>
                      <w:rFonts w:hint="default"/>
                    </w:rPr>
                  </w:pPr>
                </w:p>
              </w:tc>
              <w:tc>
                <w:tcPr>
                  <w:tcW w:w="277" w:type="pct"/>
                  <w:vMerge w:val="continue"/>
                  <w:vAlign w:val="center"/>
                </w:tcPr>
                <w:p w14:paraId="3DCAD460">
                  <w:pPr>
                    <w:pStyle w:val="83"/>
                    <w:rPr>
                      <w:rFonts w:hint="default"/>
                    </w:rPr>
                  </w:pPr>
                </w:p>
              </w:tc>
              <w:tc>
                <w:tcPr>
                  <w:tcW w:w="443" w:type="pct"/>
                  <w:vAlign w:val="center"/>
                </w:tcPr>
                <w:p w14:paraId="2942455C">
                  <w:pPr>
                    <w:pStyle w:val="83"/>
                    <w:rPr>
                      <w:rFonts w:hint="default"/>
                    </w:rPr>
                  </w:pPr>
                  <w:r>
                    <w:t>核算方法</w:t>
                  </w:r>
                </w:p>
              </w:tc>
              <w:tc>
                <w:tcPr>
                  <w:tcW w:w="333" w:type="pct"/>
                  <w:vAlign w:val="center"/>
                </w:tcPr>
                <w:p w14:paraId="6E6BB622">
                  <w:pPr>
                    <w:pStyle w:val="83"/>
                    <w:rPr>
                      <w:rFonts w:hint="default"/>
                    </w:rPr>
                  </w:pPr>
                  <w:r>
                    <w:t>声源值</w:t>
                  </w:r>
                </w:p>
                <w:p w14:paraId="35371CC8">
                  <w:pPr>
                    <w:pStyle w:val="83"/>
                    <w:rPr>
                      <w:rFonts w:hint="default"/>
                    </w:rPr>
                  </w:pPr>
                  <w:r>
                    <w:t>dB(A)</w:t>
                  </w:r>
                </w:p>
              </w:tc>
              <w:tc>
                <w:tcPr>
                  <w:tcW w:w="554" w:type="pct"/>
                  <w:vAlign w:val="center"/>
                </w:tcPr>
                <w:p w14:paraId="1E57E3D3">
                  <w:pPr>
                    <w:pStyle w:val="83"/>
                    <w:rPr>
                      <w:rFonts w:hint="default"/>
                    </w:rPr>
                  </w:pPr>
                  <w:r>
                    <w:t>工艺</w:t>
                  </w:r>
                </w:p>
              </w:tc>
              <w:tc>
                <w:tcPr>
                  <w:tcW w:w="882" w:type="pct"/>
                  <w:vAlign w:val="center"/>
                </w:tcPr>
                <w:p w14:paraId="2CCBCDDA">
                  <w:pPr>
                    <w:pStyle w:val="83"/>
                    <w:rPr>
                      <w:rFonts w:hint="default"/>
                    </w:rPr>
                  </w:pPr>
                  <w:r>
                    <w:t>围护结构</w:t>
                  </w:r>
                </w:p>
              </w:tc>
              <w:tc>
                <w:tcPr>
                  <w:tcW w:w="436" w:type="pct"/>
                  <w:vAlign w:val="center"/>
                </w:tcPr>
                <w:p w14:paraId="21A4E084">
                  <w:pPr>
                    <w:pStyle w:val="83"/>
                    <w:rPr>
                      <w:rFonts w:hint="default"/>
                    </w:rPr>
                  </w:pPr>
                  <w:r>
                    <w:t>降噪效果dB(A)</w:t>
                  </w:r>
                </w:p>
              </w:tc>
              <w:tc>
                <w:tcPr>
                  <w:tcW w:w="435" w:type="pct"/>
                  <w:vAlign w:val="center"/>
                </w:tcPr>
                <w:p w14:paraId="4D45E3E5">
                  <w:pPr>
                    <w:pStyle w:val="83"/>
                    <w:rPr>
                      <w:rFonts w:hint="default"/>
                    </w:rPr>
                  </w:pPr>
                  <w:r>
                    <w:t>核算方法</w:t>
                  </w:r>
                </w:p>
              </w:tc>
              <w:tc>
                <w:tcPr>
                  <w:tcW w:w="382" w:type="pct"/>
                  <w:vAlign w:val="center"/>
                </w:tcPr>
                <w:p w14:paraId="0D44AE06">
                  <w:pPr>
                    <w:pStyle w:val="83"/>
                    <w:rPr>
                      <w:rFonts w:hint="default"/>
                    </w:rPr>
                  </w:pPr>
                  <w:r>
                    <w:t>声源值</w:t>
                  </w:r>
                </w:p>
                <w:p w14:paraId="1ED4C9E3">
                  <w:pPr>
                    <w:pStyle w:val="83"/>
                    <w:rPr>
                      <w:rFonts w:hint="default"/>
                    </w:rPr>
                  </w:pPr>
                  <w:r>
                    <w:t>dB(A)</w:t>
                  </w:r>
                </w:p>
              </w:tc>
              <w:tc>
                <w:tcPr>
                  <w:tcW w:w="314" w:type="pct"/>
                  <w:vMerge w:val="continue"/>
                  <w:vAlign w:val="center"/>
                </w:tcPr>
                <w:p w14:paraId="6451DBA9">
                  <w:pPr>
                    <w:pStyle w:val="83"/>
                    <w:rPr>
                      <w:rFonts w:hint="default"/>
                    </w:rPr>
                  </w:pPr>
                </w:p>
              </w:tc>
            </w:tr>
            <w:tr w14:paraId="293097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3C146A45">
                  <w:pPr>
                    <w:pStyle w:val="83"/>
                    <w:rPr>
                      <w:rFonts w:hint="default"/>
                    </w:rPr>
                  </w:pPr>
                  <w:r>
                    <w:t>纺丝卷绕机</w:t>
                  </w:r>
                </w:p>
              </w:tc>
              <w:tc>
                <w:tcPr>
                  <w:tcW w:w="277" w:type="pct"/>
                  <w:vAlign w:val="center"/>
                </w:tcPr>
                <w:p w14:paraId="763DA770">
                  <w:pPr>
                    <w:pStyle w:val="83"/>
                    <w:rPr>
                      <w:rFonts w:hint="default"/>
                    </w:rPr>
                  </w:pPr>
                  <w:r>
                    <w:t>频发</w:t>
                  </w:r>
                </w:p>
              </w:tc>
              <w:tc>
                <w:tcPr>
                  <w:tcW w:w="277" w:type="pct"/>
                  <w:vAlign w:val="center"/>
                </w:tcPr>
                <w:p w14:paraId="364D73BE">
                  <w:pPr>
                    <w:pStyle w:val="83"/>
                    <w:rPr>
                      <w:rFonts w:hint="default"/>
                    </w:rPr>
                  </w:pPr>
                  <w:r>
                    <w:t>32</w:t>
                  </w:r>
                </w:p>
              </w:tc>
              <w:tc>
                <w:tcPr>
                  <w:tcW w:w="443" w:type="pct"/>
                  <w:vAlign w:val="center"/>
                </w:tcPr>
                <w:p w14:paraId="545E03D5">
                  <w:pPr>
                    <w:pStyle w:val="83"/>
                    <w:rPr>
                      <w:rFonts w:hint="default"/>
                    </w:rPr>
                  </w:pPr>
                  <w:r>
                    <w:t>类比法</w:t>
                  </w:r>
                </w:p>
              </w:tc>
              <w:tc>
                <w:tcPr>
                  <w:tcW w:w="333" w:type="pct"/>
                  <w:vAlign w:val="center"/>
                </w:tcPr>
                <w:p w14:paraId="35C5EAFB">
                  <w:pPr>
                    <w:pStyle w:val="83"/>
                    <w:rPr>
                      <w:rFonts w:hint="default"/>
                    </w:rPr>
                  </w:pPr>
                  <w:r>
                    <w:t>85</w:t>
                  </w:r>
                </w:p>
              </w:tc>
              <w:tc>
                <w:tcPr>
                  <w:tcW w:w="554" w:type="pct"/>
                  <w:vAlign w:val="center"/>
                </w:tcPr>
                <w:p w14:paraId="04D4688B">
                  <w:pPr>
                    <w:pStyle w:val="83"/>
                    <w:rPr>
                      <w:rFonts w:hint="default"/>
                    </w:rPr>
                  </w:pPr>
                  <w:r>
                    <w:t>减振、隔声</w:t>
                  </w:r>
                </w:p>
              </w:tc>
              <w:tc>
                <w:tcPr>
                  <w:tcW w:w="882" w:type="pct"/>
                  <w:vAlign w:val="center"/>
                </w:tcPr>
                <w:p w14:paraId="63BB494D">
                  <w:pPr>
                    <w:pStyle w:val="83"/>
                    <w:rPr>
                      <w:rFonts w:hint="default"/>
                    </w:rPr>
                  </w:pPr>
                  <w:r>
                    <w:t>室内（钢筋砼结构）</w:t>
                  </w:r>
                </w:p>
              </w:tc>
              <w:tc>
                <w:tcPr>
                  <w:tcW w:w="436" w:type="pct"/>
                  <w:vAlign w:val="center"/>
                </w:tcPr>
                <w:p w14:paraId="22F800A4">
                  <w:pPr>
                    <w:pStyle w:val="83"/>
                    <w:rPr>
                      <w:rFonts w:hint="default"/>
                    </w:rPr>
                  </w:pPr>
                  <w:r>
                    <w:t>15</w:t>
                  </w:r>
                </w:p>
              </w:tc>
              <w:tc>
                <w:tcPr>
                  <w:tcW w:w="435" w:type="pct"/>
                  <w:vAlign w:val="center"/>
                </w:tcPr>
                <w:p w14:paraId="1F3D5C1C">
                  <w:pPr>
                    <w:pStyle w:val="83"/>
                    <w:rPr>
                      <w:rFonts w:hint="default"/>
                    </w:rPr>
                  </w:pPr>
                  <w:r>
                    <w:t>类比法</w:t>
                  </w:r>
                </w:p>
              </w:tc>
              <w:tc>
                <w:tcPr>
                  <w:tcW w:w="382" w:type="pct"/>
                  <w:vAlign w:val="center"/>
                </w:tcPr>
                <w:p w14:paraId="1003716C">
                  <w:pPr>
                    <w:pStyle w:val="83"/>
                    <w:rPr>
                      <w:rFonts w:hint="default"/>
                    </w:rPr>
                  </w:pPr>
                  <w:r>
                    <w:t>70</w:t>
                  </w:r>
                </w:p>
              </w:tc>
              <w:tc>
                <w:tcPr>
                  <w:tcW w:w="314" w:type="pct"/>
                  <w:vMerge w:val="restart"/>
                  <w:vAlign w:val="center"/>
                </w:tcPr>
                <w:p w14:paraId="6F22E824">
                  <w:pPr>
                    <w:pStyle w:val="83"/>
                    <w:rPr>
                      <w:rFonts w:hint="default"/>
                    </w:rPr>
                  </w:pPr>
                  <w:r>
                    <w:t>8760</w:t>
                  </w:r>
                </w:p>
              </w:tc>
            </w:tr>
            <w:tr w14:paraId="13041E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483E59E4">
                  <w:pPr>
                    <w:pStyle w:val="83"/>
                    <w:rPr>
                      <w:rFonts w:hint="default"/>
                    </w:rPr>
                  </w:pPr>
                  <w:r>
                    <w:t>空压机</w:t>
                  </w:r>
                </w:p>
              </w:tc>
              <w:tc>
                <w:tcPr>
                  <w:tcW w:w="277" w:type="pct"/>
                  <w:vAlign w:val="center"/>
                </w:tcPr>
                <w:p w14:paraId="1B0B558C">
                  <w:pPr>
                    <w:pStyle w:val="83"/>
                    <w:rPr>
                      <w:rFonts w:hint="default"/>
                    </w:rPr>
                  </w:pPr>
                  <w:r>
                    <w:t>频发</w:t>
                  </w:r>
                </w:p>
              </w:tc>
              <w:tc>
                <w:tcPr>
                  <w:tcW w:w="277" w:type="pct"/>
                  <w:vAlign w:val="center"/>
                </w:tcPr>
                <w:p w14:paraId="1CDDADE9">
                  <w:pPr>
                    <w:pStyle w:val="83"/>
                    <w:rPr>
                      <w:rFonts w:hint="default"/>
                    </w:rPr>
                  </w:pPr>
                  <w:r>
                    <w:t>1</w:t>
                  </w:r>
                </w:p>
              </w:tc>
              <w:tc>
                <w:tcPr>
                  <w:tcW w:w="443" w:type="pct"/>
                  <w:vAlign w:val="center"/>
                </w:tcPr>
                <w:p w14:paraId="7F657325">
                  <w:pPr>
                    <w:pStyle w:val="83"/>
                    <w:rPr>
                      <w:rFonts w:hint="default"/>
                    </w:rPr>
                  </w:pPr>
                  <w:r>
                    <w:t>类比法</w:t>
                  </w:r>
                </w:p>
              </w:tc>
              <w:tc>
                <w:tcPr>
                  <w:tcW w:w="333" w:type="pct"/>
                  <w:vAlign w:val="center"/>
                </w:tcPr>
                <w:p w14:paraId="71FF58C9">
                  <w:pPr>
                    <w:pStyle w:val="83"/>
                    <w:rPr>
                      <w:rFonts w:hint="default"/>
                    </w:rPr>
                  </w:pPr>
                  <w:r>
                    <w:t>80</w:t>
                  </w:r>
                </w:p>
              </w:tc>
              <w:tc>
                <w:tcPr>
                  <w:tcW w:w="554" w:type="pct"/>
                  <w:vAlign w:val="center"/>
                </w:tcPr>
                <w:p w14:paraId="6BFE0B15">
                  <w:pPr>
                    <w:pStyle w:val="83"/>
                    <w:rPr>
                      <w:rFonts w:hint="default"/>
                    </w:rPr>
                  </w:pPr>
                  <w:r>
                    <w:t>减振、隔声</w:t>
                  </w:r>
                </w:p>
              </w:tc>
              <w:tc>
                <w:tcPr>
                  <w:tcW w:w="882" w:type="pct"/>
                  <w:vAlign w:val="center"/>
                </w:tcPr>
                <w:p w14:paraId="0BFC0C68">
                  <w:pPr>
                    <w:pStyle w:val="83"/>
                    <w:rPr>
                      <w:rFonts w:hint="default"/>
                    </w:rPr>
                  </w:pPr>
                  <w:r>
                    <w:t>室内（钢筋砼结构）</w:t>
                  </w:r>
                </w:p>
              </w:tc>
              <w:tc>
                <w:tcPr>
                  <w:tcW w:w="436" w:type="pct"/>
                  <w:vAlign w:val="center"/>
                </w:tcPr>
                <w:p w14:paraId="5F74BB49">
                  <w:pPr>
                    <w:pStyle w:val="83"/>
                    <w:rPr>
                      <w:rFonts w:hint="default"/>
                    </w:rPr>
                  </w:pPr>
                  <w:r>
                    <w:t>15</w:t>
                  </w:r>
                </w:p>
              </w:tc>
              <w:tc>
                <w:tcPr>
                  <w:tcW w:w="435" w:type="pct"/>
                  <w:vAlign w:val="center"/>
                </w:tcPr>
                <w:p w14:paraId="1C41C0A1">
                  <w:pPr>
                    <w:pStyle w:val="83"/>
                    <w:rPr>
                      <w:rFonts w:hint="default"/>
                    </w:rPr>
                  </w:pPr>
                  <w:r>
                    <w:t>类比法</w:t>
                  </w:r>
                </w:p>
              </w:tc>
              <w:tc>
                <w:tcPr>
                  <w:tcW w:w="382" w:type="pct"/>
                  <w:vAlign w:val="center"/>
                </w:tcPr>
                <w:p w14:paraId="2187A38D">
                  <w:pPr>
                    <w:pStyle w:val="83"/>
                    <w:rPr>
                      <w:rFonts w:hint="default"/>
                    </w:rPr>
                  </w:pPr>
                  <w:r>
                    <w:t>65</w:t>
                  </w:r>
                </w:p>
              </w:tc>
              <w:tc>
                <w:tcPr>
                  <w:tcW w:w="314" w:type="pct"/>
                  <w:vMerge w:val="continue"/>
                  <w:vAlign w:val="center"/>
                </w:tcPr>
                <w:p w14:paraId="6B9A2180">
                  <w:pPr>
                    <w:pStyle w:val="83"/>
                    <w:rPr>
                      <w:rFonts w:hint="default"/>
                    </w:rPr>
                  </w:pPr>
                </w:p>
              </w:tc>
            </w:tr>
            <w:tr w14:paraId="2AC535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200241AD">
                  <w:pPr>
                    <w:pStyle w:val="83"/>
                    <w:rPr>
                      <w:rFonts w:hint="default"/>
                    </w:rPr>
                  </w:pPr>
                  <w:r>
                    <w:t>空调系统</w:t>
                  </w:r>
                </w:p>
              </w:tc>
              <w:tc>
                <w:tcPr>
                  <w:tcW w:w="277" w:type="pct"/>
                  <w:vAlign w:val="center"/>
                </w:tcPr>
                <w:p w14:paraId="119E58FA">
                  <w:pPr>
                    <w:pStyle w:val="83"/>
                    <w:rPr>
                      <w:rFonts w:hint="default"/>
                    </w:rPr>
                  </w:pPr>
                  <w:r>
                    <w:t>频发</w:t>
                  </w:r>
                </w:p>
              </w:tc>
              <w:tc>
                <w:tcPr>
                  <w:tcW w:w="277" w:type="pct"/>
                  <w:vAlign w:val="center"/>
                </w:tcPr>
                <w:p w14:paraId="02C81B1B">
                  <w:pPr>
                    <w:pStyle w:val="83"/>
                    <w:rPr>
                      <w:rFonts w:hint="default"/>
                    </w:rPr>
                  </w:pPr>
                  <w:r>
                    <w:t>2</w:t>
                  </w:r>
                </w:p>
              </w:tc>
              <w:tc>
                <w:tcPr>
                  <w:tcW w:w="443" w:type="pct"/>
                  <w:vAlign w:val="center"/>
                </w:tcPr>
                <w:p w14:paraId="51C49BB2">
                  <w:pPr>
                    <w:pStyle w:val="83"/>
                    <w:rPr>
                      <w:rFonts w:hint="default"/>
                    </w:rPr>
                  </w:pPr>
                  <w:r>
                    <w:t>类比法</w:t>
                  </w:r>
                </w:p>
              </w:tc>
              <w:tc>
                <w:tcPr>
                  <w:tcW w:w="333" w:type="pct"/>
                  <w:vAlign w:val="center"/>
                </w:tcPr>
                <w:p w14:paraId="7E95E10A">
                  <w:pPr>
                    <w:pStyle w:val="83"/>
                    <w:rPr>
                      <w:rFonts w:hint="default"/>
                    </w:rPr>
                  </w:pPr>
                  <w:r>
                    <w:t>85</w:t>
                  </w:r>
                </w:p>
              </w:tc>
              <w:tc>
                <w:tcPr>
                  <w:tcW w:w="554" w:type="pct"/>
                  <w:vAlign w:val="center"/>
                </w:tcPr>
                <w:p w14:paraId="56E74A9F">
                  <w:pPr>
                    <w:pStyle w:val="83"/>
                    <w:rPr>
                      <w:rFonts w:hint="default"/>
                    </w:rPr>
                  </w:pPr>
                  <w:r>
                    <w:t>减振、隔声</w:t>
                  </w:r>
                </w:p>
              </w:tc>
              <w:tc>
                <w:tcPr>
                  <w:tcW w:w="882" w:type="pct"/>
                  <w:vAlign w:val="center"/>
                </w:tcPr>
                <w:p w14:paraId="022697B2">
                  <w:pPr>
                    <w:pStyle w:val="83"/>
                    <w:rPr>
                      <w:rFonts w:hint="default"/>
                    </w:rPr>
                  </w:pPr>
                  <w:r>
                    <w:t>室内（钢筋砼结构）</w:t>
                  </w:r>
                </w:p>
              </w:tc>
              <w:tc>
                <w:tcPr>
                  <w:tcW w:w="436" w:type="pct"/>
                  <w:vAlign w:val="center"/>
                </w:tcPr>
                <w:p w14:paraId="1D964AA7">
                  <w:pPr>
                    <w:pStyle w:val="83"/>
                    <w:rPr>
                      <w:rFonts w:hint="default"/>
                    </w:rPr>
                  </w:pPr>
                  <w:r>
                    <w:t>15</w:t>
                  </w:r>
                </w:p>
              </w:tc>
              <w:tc>
                <w:tcPr>
                  <w:tcW w:w="435" w:type="pct"/>
                  <w:vAlign w:val="center"/>
                </w:tcPr>
                <w:p w14:paraId="29BAAAFC">
                  <w:pPr>
                    <w:pStyle w:val="83"/>
                    <w:rPr>
                      <w:rFonts w:hint="default"/>
                    </w:rPr>
                  </w:pPr>
                  <w:r>
                    <w:t>类比法</w:t>
                  </w:r>
                </w:p>
              </w:tc>
              <w:tc>
                <w:tcPr>
                  <w:tcW w:w="382" w:type="pct"/>
                  <w:vAlign w:val="center"/>
                </w:tcPr>
                <w:p w14:paraId="793E4682">
                  <w:pPr>
                    <w:pStyle w:val="83"/>
                    <w:rPr>
                      <w:rFonts w:hint="default"/>
                    </w:rPr>
                  </w:pPr>
                  <w:r>
                    <w:t>70</w:t>
                  </w:r>
                </w:p>
              </w:tc>
              <w:tc>
                <w:tcPr>
                  <w:tcW w:w="314" w:type="pct"/>
                  <w:vMerge w:val="continue"/>
                  <w:vAlign w:val="center"/>
                </w:tcPr>
                <w:p w14:paraId="6523D592">
                  <w:pPr>
                    <w:pStyle w:val="83"/>
                    <w:rPr>
                      <w:rFonts w:hint="default"/>
                    </w:rPr>
                  </w:pPr>
                </w:p>
              </w:tc>
            </w:tr>
            <w:tr w14:paraId="665F51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6A912CF4">
                  <w:pPr>
                    <w:pStyle w:val="83"/>
                    <w:rPr>
                      <w:rFonts w:hint="default"/>
                    </w:rPr>
                  </w:pPr>
                  <w:r>
                    <w:t>单体抽吸系统</w:t>
                  </w:r>
                </w:p>
              </w:tc>
              <w:tc>
                <w:tcPr>
                  <w:tcW w:w="277" w:type="pct"/>
                  <w:vAlign w:val="center"/>
                </w:tcPr>
                <w:p w14:paraId="5E7688CC">
                  <w:pPr>
                    <w:pStyle w:val="83"/>
                    <w:rPr>
                      <w:rFonts w:hint="default"/>
                    </w:rPr>
                  </w:pPr>
                  <w:r>
                    <w:t>频发</w:t>
                  </w:r>
                </w:p>
              </w:tc>
              <w:tc>
                <w:tcPr>
                  <w:tcW w:w="277" w:type="pct"/>
                  <w:vAlign w:val="center"/>
                </w:tcPr>
                <w:p w14:paraId="046AD321">
                  <w:pPr>
                    <w:pStyle w:val="83"/>
                    <w:rPr>
                      <w:rFonts w:hint="default"/>
                    </w:rPr>
                  </w:pPr>
                  <w:r>
                    <w:t>1</w:t>
                  </w:r>
                </w:p>
              </w:tc>
              <w:tc>
                <w:tcPr>
                  <w:tcW w:w="443" w:type="pct"/>
                  <w:vAlign w:val="center"/>
                </w:tcPr>
                <w:p w14:paraId="11324460">
                  <w:pPr>
                    <w:pStyle w:val="83"/>
                    <w:rPr>
                      <w:rFonts w:hint="default"/>
                    </w:rPr>
                  </w:pPr>
                  <w:r>
                    <w:t>类比法</w:t>
                  </w:r>
                </w:p>
              </w:tc>
              <w:tc>
                <w:tcPr>
                  <w:tcW w:w="333" w:type="pct"/>
                  <w:vAlign w:val="center"/>
                </w:tcPr>
                <w:p w14:paraId="5075D0DE">
                  <w:pPr>
                    <w:pStyle w:val="83"/>
                    <w:rPr>
                      <w:rFonts w:hint="default"/>
                    </w:rPr>
                  </w:pPr>
                  <w:r>
                    <w:t>85</w:t>
                  </w:r>
                </w:p>
              </w:tc>
              <w:tc>
                <w:tcPr>
                  <w:tcW w:w="554" w:type="pct"/>
                  <w:vAlign w:val="center"/>
                </w:tcPr>
                <w:p w14:paraId="52DAC51D">
                  <w:pPr>
                    <w:pStyle w:val="83"/>
                    <w:rPr>
                      <w:rFonts w:hint="default"/>
                    </w:rPr>
                  </w:pPr>
                  <w:r>
                    <w:t>减振、隔声</w:t>
                  </w:r>
                </w:p>
              </w:tc>
              <w:tc>
                <w:tcPr>
                  <w:tcW w:w="882" w:type="pct"/>
                  <w:vAlign w:val="center"/>
                </w:tcPr>
                <w:p w14:paraId="2DC8DC07">
                  <w:pPr>
                    <w:pStyle w:val="83"/>
                    <w:rPr>
                      <w:rFonts w:hint="default"/>
                    </w:rPr>
                  </w:pPr>
                  <w:r>
                    <w:t>室内（钢筋砼结构）</w:t>
                  </w:r>
                </w:p>
              </w:tc>
              <w:tc>
                <w:tcPr>
                  <w:tcW w:w="436" w:type="pct"/>
                  <w:vAlign w:val="center"/>
                </w:tcPr>
                <w:p w14:paraId="0DADC101">
                  <w:pPr>
                    <w:pStyle w:val="83"/>
                    <w:rPr>
                      <w:rFonts w:hint="default"/>
                    </w:rPr>
                  </w:pPr>
                  <w:r>
                    <w:t>15</w:t>
                  </w:r>
                </w:p>
              </w:tc>
              <w:tc>
                <w:tcPr>
                  <w:tcW w:w="435" w:type="pct"/>
                  <w:vAlign w:val="center"/>
                </w:tcPr>
                <w:p w14:paraId="5DD1E947">
                  <w:pPr>
                    <w:pStyle w:val="83"/>
                    <w:rPr>
                      <w:rFonts w:hint="default"/>
                    </w:rPr>
                  </w:pPr>
                  <w:r>
                    <w:t>类比法</w:t>
                  </w:r>
                </w:p>
              </w:tc>
              <w:tc>
                <w:tcPr>
                  <w:tcW w:w="382" w:type="pct"/>
                  <w:vAlign w:val="center"/>
                </w:tcPr>
                <w:p w14:paraId="58EF1F2F">
                  <w:pPr>
                    <w:pStyle w:val="83"/>
                    <w:rPr>
                      <w:rFonts w:hint="default"/>
                    </w:rPr>
                  </w:pPr>
                  <w:r>
                    <w:t>70</w:t>
                  </w:r>
                </w:p>
              </w:tc>
              <w:tc>
                <w:tcPr>
                  <w:tcW w:w="314" w:type="pct"/>
                  <w:vMerge w:val="continue"/>
                  <w:vAlign w:val="center"/>
                </w:tcPr>
                <w:p w14:paraId="688C3878">
                  <w:pPr>
                    <w:pStyle w:val="83"/>
                    <w:rPr>
                      <w:rFonts w:hint="default"/>
                    </w:rPr>
                  </w:pPr>
                </w:p>
              </w:tc>
            </w:tr>
            <w:tr w14:paraId="76802D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71B70F6F">
                  <w:pPr>
                    <w:pStyle w:val="83"/>
                    <w:rPr>
                      <w:rFonts w:hint="default"/>
                    </w:rPr>
                  </w:pPr>
                  <w:r>
                    <w:t>冷冻机</w:t>
                  </w:r>
                </w:p>
              </w:tc>
              <w:tc>
                <w:tcPr>
                  <w:tcW w:w="277" w:type="pct"/>
                  <w:vAlign w:val="center"/>
                </w:tcPr>
                <w:p w14:paraId="16D80FFC">
                  <w:pPr>
                    <w:pStyle w:val="83"/>
                    <w:rPr>
                      <w:rFonts w:hint="default"/>
                    </w:rPr>
                  </w:pPr>
                  <w:r>
                    <w:t>频发</w:t>
                  </w:r>
                </w:p>
              </w:tc>
              <w:tc>
                <w:tcPr>
                  <w:tcW w:w="277" w:type="pct"/>
                  <w:vAlign w:val="center"/>
                </w:tcPr>
                <w:p w14:paraId="79E9F75B">
                  <w:pPr>
                    <w:pStyle w:val="83"/>
                    <w:rPr>
                      <w:rFonts w:hint="default"/>
                    </w:rPr>
                  </w:pPr>
                  <w:r>
                    <w:t>1</w:t>
                  </w:r>
                </w:p>
              </w:tc>
              <w:tc>
                <w:tcPr>
                  <w:tcW w:w="443" w:type="pct"/>
                  <w:vAlign w:val="center"/>
                </w:tcPr>
                <w:p w14:paraId="1FC362D5">
                  <w:pPr>
                    <w:pStyle w:val="83"/>
                    <w:rPr>
                      <w:rFonts w:hint="default"/>
                    </w:rPr>
                  </w:pPr>
                  <w:r>
                    <w:t>类比法</w:t>
                  </w:r>
                </w:p>
              </w:tc>
              <w:tc>
                <w:tcPr>
                  <w:tcW w:w="333" w:type="pct"/>
                  <w:vAlign w:val="center"/>
                </w:tcPr>
                <w:p w14:paraId="25B35A20">
                  <w:pPr>
                    <w:pStyle w:val="83"/>
                    <w:rPr>
                      <w:rFonts w:hint="default"/>
                    </w:rPr>
                  </w:pPr>
                  <w:r>
                    <w:t>80</w:t>
                  </w:r>
                </w:p>
              </w:tc>
              <w:tc>
                <w:tcPr>
                  <w:tcW w:w="554" w:type="pct"/>
                  <w:vAlign w:val="center"/>
                </w:tcPr>
                <w:p w14:paraId="6C9541CF">
                  <w:pPr>
                    <w:pStyle w:val="83"/>
                    <w:rPr>
                      <w:rFonts w:hint="default"/>
                    </w:rPr>
                  </w:pPr>
                  <w:r>
                    <w:t>减振、隔声</w:t>
                  </w:r>
                </w:p>
              </w:tc>
              <w:tc>
                <w:tcPr>
                  <w:tcW w:w="882" w:type="pct"/>
                  <w:vAlign w:val="center"/>
                </w:tcPr>
                <w:p w14:paraId="350A8747">
                  <w:pPr>
                    <w:pStyle w:val="83"/>
                    <w:rPr>
                      <w:rFonts w:hint="default"/>
                    </w:rPr>
                  </w:pPr>
                  <w:r>
                    <w:t>室内（钢筋砼结构）</w:t>
                  </w:r>
                </w:p>
              </w:tc>
              <w:tc>
                <w:tcPr>
                  <w:tcW w:w="436" w:type="pct"/>
                  <w:vAlign w:val="center"/>
                </w:tcPr>
                <w:p w14:paraId="6FF489FA">
                  <w:pPr>
                    <w:pStyle w:val="83"/>
                    <w:rPr>
                      <w:rFonts w:hint="default"/>
                    </w:rPr>
                  </w:pPr>
                  <w:r>
                    <w:t>15</w:t>
                  </w:r>
                </w:p>
              </w:tc>
              <w:tc>
                <w:tcPr>
                  <w:tcW w:w="435" w:type="pct"/>
                  <w:vAlign w:val="center"/>
                </w:tcPr>
                <w:p w14:paraId="135E3E33">
                  <w:pPr>
                    <w:pStyle w:val="83"/>
                    <w:rPr>
                      <w:rFonts w:hint="default"/>
                    </w:rPr>
                  </w:pPr>
                  <w:r>
                    <w:t>类比法</w:t>
                  </w:r>
                </w:p>
              </w:tc>
              <w:tc>
                <w:tcPr>
                  <w:tcW w:w="382" w:type="pct"/>
                  <w:vAlign w:val="center"/>
                </w:tcPr>
                <w:p w14:paraId="2184E01A">
                  <w:pPr>
                    <w:pStyle w:val="83"/>
                    <w:rPr>
                      <w:rFonts w:hint="default"/>
                    </w:rPr>
                  </w:pPr>
                  <w:r>
                    <w:t>65</w:t>
                  </w:r>
                </w:p>
              </w:tc>
              <w:tc>
                <w:tcPr>
                  <w:tcW w:w="314" w:type="pct"/>
                  <w:vMerge w:val="continue"/>
                  <w:vAlign w:val="center"/>
                </w:tcPr>
                <w:p w14:paraId="01961A6B">
                  <w:pPr>
                    <w:pStyle w:val="83"/>
                    <w:rPr>
                      <w:rFonts w:hint="default"/>
                    </w:rPr>
                  </w:pPr>
                </w:p>
              </w:tc>
            </w:tr>
            <w:tr w14:paraId="597111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2E621F4D">
                  <w:pPr>
                    <w:pStyle w:val="83"/>
                    <w:rPr>
                      <w:rFonts w:hint="default"/>
                    </w:rPr>
                  </w:pPr>
                  <w:r>
                    <w:t>风机</w:t>
                  </w:r>
                </w:p>
              </w:tc>
              <w:tc>
                <w:tcPr>
                  <w:tcW w:w="277" w:type="pct"/>
                  <w:vAlign w:val="center"/>
                </w:tcPr>
                <w:p w14:paraId="05578E64">
                  <w:pPr>
                    <w:pStyle w:val="83"/>
                    <w:rPr>
                      <w:rFonts w:hint="default"/>
                    </w:rPr>
                  </w:pPr>
                  <w:r>
                    <w:t>频发</w:t>
                  </w:r>
                </w:p>
              </w:tc>
              <w:tc>
                <w:tcPr>
                  <w:tcW w:w="277" w:type="pct"/>
                  <w:vAlign w:val="center"/>
                </w:tcPr>
                <w:p w14:paraId="0AFE3566">
                  <w:pPr>
                    <w:pStyle w:val="83"/>
                    <w:rPr>
                      <w:rFonts w:hint="default"/>
                    </w:rPr>
                  </w:pPr>
                  <w:r>
                    <w:t>1</w:t>
                  </w:r>
                </w:p>
              </w:tc>
              <w:tc>
                <w:tcPr>
                  <w:tcW w:w="443" w:type="pct"/>
                  <w:vAlign w:val="center"/>
                </w:tcPr>
                <w:p w14:paraId="55533DD4">
                  <w:pPr>
                    <w:pStyle w:val="83"/>
                    <w:rPr>
                      <w:rFonts w:hint="default"/>
                    </w:rPr>
                  </w:pPr>
                  <w:r>
                    <w:t>类比法</w:t>
                  </w:r>
                </w:p>
              </w:tc>
              <w:tc>
                <w:tcPr>
                  <w:tcW w:w="333" w:type="pct"/>
                  <w:vAlign w:val="center"/>
                </w:tcPr>
                <w:p w14:paraId="7577DB8F">
                  <w:pPr>
                    <w:pStyle w:val="83"/>
                    <w:rPr>
                      <w:rFonts w:hint="default"/>
                    </w:rPr>
                  </w:pPr>
                  <w:r>
                    <w:t>85</w:t>
                  </w:r>
                </w:p>
              </w:tc>
              <w:tc>
                <w:tcPr>
                  <w:tcW w:w="554" w:type="pct"/>
                  <w:vAlign w:val="center"/>
                </w:tcPr>
                <w:p w14:paraId="122EEC39">
                  <w:pPr>
                    <w:pStyle w:val="83"/>
                    <w:rPr>
                      <w:rFonts w:hint="default"/>
                    </w:rPr>
                  </w:pPr>
                  <w:r>
                    <w:t>减振、隔声</w:t>
                  </w:r>
                </w:p>
              </w:tc>
              <w:tc>
                <w:tcPr>
                  <w:tcW w:w="882" w:type="pct"/>
                  <w:vAlign w:val="center"/>
                </w:tcPr>
                <w:p w14:paraId="2D28F025">
                  <w:pPr>
                    <w:pStyle w:val="83"/>
                    <w:rPr>
                      <w:rFonts w:hint="default"/>
                    </w:rPr>
                  </w:pPr>
                  <w:r>
                    <w:t>室内（钢筋砼结构）</w:t>
                  </w:r>
                </w:p>
              </w:tc>
              <w:tc>
                <w:tcPr>
                  <w:tcW w:w="436" w:type="pct"/>
                  <w:vAlign w:val="center"/>
                </w:tcPr>
                <w:p w14:paraId="16918014">
                  <w:pPr>
                    <w:pStyle w:val="83"/>
                    <w:rPr>
                      <w:rFonts w:hint="default"/>
                    </w:rPr>
                  </w:pPr>
                  <w:r>
                    <w:t>15</w:t>
                  </w:r>
                </w:p>
              </w:tc>
              <w:tc>
                <w:tcPr>
                  <w:tcW w:w="435" w:type="pct"/>
                  <w:vAlign w:val="center"/>
                </w:tcPr>
                <w:p w14:paraId="66EB416D">
                  <w:pPr>
                    <w:pStyle w:val="83"/>
                    <w:rPr>
                      <w:rFonts w:hint="default"/>
                    </w:rPr>
                  </w:pPr>
                  <w:r>
                    <w:t>类比法</w:t>
                  </w:r>
                </w:p>
              </w:tc>
              <w:tc>
                <w:tcPr>
                  <w:tcW w:w="382" w:type="pct"/>
                  <w:vAlign w:val="center"/>
                </w:tcPr>
                <w:p w14:paraId="6A39DB58">
                  <w:pPr>
                    <w:pStyle w:val="83"/>
                    <w:rPr>
                      <w:rFonts w:hint="default"/>
                    </w:rPr>
                  </w:pPr>
                  <w:r>
                    <w:t>70</w:t>
                  </w:r>
                </w:p>
              </w:tc>
              <w:tc>
                <w:tcPr>
                  <w:tcW w:w="314" w:type="pct"/>
                  <w:vMerge w:val="continue"/>
                  <w:vAlign w:val="center"/>
                </w:tcPr>
                <w:p w14:paraId="48A0BCA0">
                  <w:pPr>
                    <w:pStyle w:val="83"/>
                    <w:rPr>
                      <w:rFonts w:hint="default"/>
                    </w:rPr>
                  </w:pPr>
                </w:p>
              </w:tc>
            </w:tr>
            <w:tr w14:paraId="76B684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61A81223">
                  <w:pPr>
                    <w:pStyle w:val="83"/>
                    <w:rPr>
                      <w:rFonts w:hint="default"/>
                    </w:rPr>
                  </w:pPr>
                  <w:r>
                    <w:t>真空煅烧炉</w:t>
                  </w:r>
                </w:p>
              </w:tc>
              <w:tc>
                <w:tcPr>
                  <w:tcW w:w="277" w:type="pct"/>
                  <w:vAlign w:val="center"/>
                </w:tcPr>
                <w:p w14:paraId="07CCB092">
                  <w:pPr>
                    <w:pStyle w:val="83"/>
                    <w:rPr>
                      <w:rFonts w:hint="default"/>
                    </w:rPr>
                  </w:pPr>
                  <w:r>
                    <w:t>频发</w:t>
                  </w:r>
                </w:p>
              </w:tc>
              <w:tc>
                <w:tcPr>
                  <w:tcW w:w="277" w:type="pct"/>
                  <w:vAlign w:val="center"/>
                </w:tcPr>
                <w:p w14:paraId="529E7B13">
                  <w:pPr>
                    <w:pStyle w:val="83"/>
                    <w:rPr>
                      <w:rFonts w:hint="default"/>
                    </w:rPr>
                  </w:pPr>
                  <w:r>
                    <w:t>1</w:t>
                  </w:r>
                </w:p>
              </w:tc>
              <w:tc>
                <w:tcPr>
                  <w:tcW w:w="443" w:type="pct"/>
                  <w:vAlign w:val="center"/>
                </w:tcPr>
                <w:p w14:paraId="24E45DEC">
                  <w:pPr>
                    <w:pStyle w:val="83"/>
                    <w:rPr>
                      <w:rFonts w:hint="default"/>
                    </w:rPr>
                  </w:pPr>
                  <w:r>
                    <w:t>类比法</w:t>
                  </w:r>
                </w:p>
              </w:tc>
              <w:tc>
                <w:tcPr>
                  <w:tcW w:w="333" w:type="pct"/>
                  <w:vAlign w:val="center"/>
                </w:tcPr>
                <w:p w14:paraId="67F3EE4A">
                  <w:pPr>
                    <w:pStyle w:val="83"/>
                    <w:rPr>
                      <w:rFonts w:hint="default"/>
                    </w:rPr>
                  </w:pPr>
                  <w:r>
                    <w:t>70</w:t>
                  </w:r>
                </w:p>
              </w:tc>
              <w:tc>
                <w:tcPr>
                  <w:tcW w:w="554" w:type="pct"/>
                  <w:vAlign w:val="center"/>
                </w:tcPr>
                <w:p w14:paraId="140978A2">
                  <w:pPr>
                    <w:pStyle w:val="83"/>
                    <w:rPr>
                      <w:rFonts w:hint="default"/>
                    </w:rPr>
                  </w:pPr>
                  <w:r>
                    <w:t>减振、隔声</w:t>
                  </w:r>
                </w:p>
              </w:tc>
              <w:tc>
                <w:tcPr>
                  <w:tcW w:w="882" w:type="pct"/>
                  <w:vAlign w:val="center"/>
                </w:tcPr>
                <w:p w14:paraId="4A6599F8">
                  <w:pPr>
                    <w:pStyle w:val="83"/>
                    <w:rPr>
                      <w:rFonts w:hint="default"/>
                    </w:rPr>
                  </w:pPr>
                  <w:r>
                    <w:t>室内（钢筋砼结构）</w:t>
                  </w:r>
                </w:p>
              </w:tc>
              <w:tc>
                <w:tcPr>
                  <w:tcW w:w="436" w:type="pct"/>
                  <w:vAlign w:val="center"/>
                </w:tcPr>
                <w:p w14:paraId="36D0A4FF">
                  <w:pPr>
                    <w:pStyle w:val="83"/>
                    <w:rPr>
                      <w:rFonts w:hint="default"/>
                    </w:rPr>
                  </w:pPr>
                  <w:r>
                    <w:t>15</w:t>
                  </w:r>
                </w:p>
              </w:tc>
              <w:tc>
                <w:tcPr>
                  <w:tcW w:w="435" w:type="pct"/>
                  <w:vAlign w:val="center"/>
                </w:tcPr>
                <w:p w14:paraId="7D56A5AC">
                  <w:pPr>
                    <w:pStyle w:val="83"/>
                    <w:rPr>
                      <w:rFonts w:hint="default"/>
                    </w:rPr>
                  </w:pPr>
                  <w:r>
                    <w:t>类比法</w:t>
                  </w:r>
                </w:p>
              </w:tc>
              <w:tc>
                <w:tcPr>
                  <w:tcW w:w="382" w:type="pct"/>
                  <w:vAlign w:val="center"/>
                </w:tcPr>
                <w:p w14:paraId="001EABED">
                  <w:pPr>
                    <w:pStyle w:val="83"/>
                    <w:rPr>
                      <w:rFonts w:hint="default"/>
                    </w:rPr>
                  </w:pPr>
                  <w:r>
                    <w:t>55</w:t>
                  </w:r>
                </w:p>
              </w:tc>
              <w:tc>
                <w:tcPr>
                  <w:tcW w:w="314" w:type="pct"/>
                  <w:vMerge w:val="restart"/>
                  <w:vAlign w:val="center"/>
                </w:tcPr>
                <w:p w14:paraId="33B66110">
                  <w:pPr>
                    <w:pStyle w:val="83"/>
                    <w:rPr>
                      <w:rFonts w:hint="default"/>
                    </w:rPr>
                  </w:pPr>
                  <w:r>
                    <w:t>1728</w:t>
                  </w:r>
                </w:p>
              </w:tc>
            </w:tr>
            <w:tr w14:paraId="003D20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5318045F">
                  <w:pPr>
                    <w:pStyle w:val="83"/>
                    <w:rPr>
                      <w:rFonts w:hint="default"/>
                    </w:rPr>
                  </w:pPr>
                  <w:r>
                    <w:t>超声波清洗机</w:t>
                  </w:r>
                </w:p>
              </w:tc>
              <w:tc>
                <w:tcPr>
                  <w:tcW w:w="277" w:type="pct"/>
                  <w:vAlign w:val="center"/>
                </w:tcPr>
                <w:p w14:paraId="5B6C881A">
                  <w:pPr>
                    <w:pStyle w:val="83"/>
                    <w:rPr>
                      <w:rFonts w:hint="default"/>
                    </w:rPr>
                  </w:pPr>
                  <w:r>
                    <w:t>频发</w:t>
                  </w:r>
                </w:p>
              </w:tc>
              <w:tc>
                <w:tcPr>
                  <w:tcW w:w="277" w:type="pct"/>
                  <w:vAlign w:val="center"/>
                </w:tcPr>
                <w:p w14:paraId="6DAE343F">
                  <w:pPr>
                    <w:pStyle w:val="83"/>
                    <w:rPr>
                      <w:rFonts w:hint="default"/>
                    </w:rPr>
                  </w:pPr>
                  <w:r>
                    <w:t>2</w:t>
                  </w:r>
                </w:p>
              </w:tc>
              <w:tc>
                <w:tcPr>
                  <w:tcW w:w="443" w:type="pct"/>
                  <w:vAlign w:val="center"/>
                </w:tcPr>
                <w:p w14:paraId="4F1736D1">
                  <w:pPr>
                    <w:pStyle w:val="83"/>
                    <w:rPr>
                      <w:rFonts w:hint="default"/>
                    </w:rPr>
                  </w:pPr>
                  <w:r>
                    <w:t>类比法</w:t>
                  </w:r>
                </w:p>
              </w:tc>
              <w:tc>
                <w:tcPr>
                  <w:tcW w:w="333" w:type="pct"/>
                  <w:vAlign w:val="center"/>
                </w:tcPr>
                <w:p w14:paraId="489ED95A">
                  <w:pPr>
                    <w:pStyle w:val="83"/>
                    <w:rPr>
                      <w:rFonts w:hint="default"/>
                    </w:rPr>
                  </w:pPr>
                  <w:r>
                    <w:t>85</w:t>
                  </w:r>
                </w:p>
              </w:tc>
              <w:tc>
                <w:tcPr>
                  <w:tcW w:w="554" w:type="pct"/>
                  <w:vAlign w:val="center"/>
                </w:tcPr>
                <w:p w14:paraId="11051AFA">
                  <w:pPr>
                    <w:pStyle w:val="83"/>
                    <w:rPr>
                      <w:rFonts w:hint="default"/>
                    </w:rPr>
                  </w:pPr>
                  <w:r>
                    <w:t>减振、隔声</w:t>
                  </w:r>
                </w:p>
              </w:tc>
              <w:tc>
                <w:tcPr>
                  <w:tcW w:w="882" w:type="pct"/>
                  <w:vAlign w:val="center"/>
                </w:tcPr>
                <w:p w14:paraId="0BE8B507">
                  <w:pPr>
                    <w:pStyle w:val="83"/>
                    <w:rPr>
                      <w:rFonts w:hint="default"/>
                    </w:rPr>
                  </w:pPr>
                  <w:r>
                    <w:t>室内（钢筋砼结构）</w:t>
                  </w:r>
                </w:p>
              </w:tc>
              <w:tc>
                <w:tcPr>
                  <w:tcW w:w="436" w:type="pct"/>
                  <w:vAlign w:val="center"/>
                </w:tcPr>
                <w:p w14:paraId="7975769A">
                  <w:pPr>
                    <w:pStyle w:val="83"/>
                    <w:rPr>
                      <w:rFonts w:hint="default"/>
                    </w:rPr>
                  </w:pPr>
                  <w:r>
                    <w:t>15</w:t>
                  </w:r>
                </w:p>
              </w:tc>
              <w:tc>
                <w:tcPr>
                  <w:tcW w:w="435" w:type="pct"/>
                  <w:vAlign w:val="center"/>
                </w:tcPr>
                <w:p w14:paraId="2A53E077">
                  <w:pPr>
                    <w:pStyle w:val="83"/>
                    <w:rPr>
                      <w:rFonts w:hint="default"/>
                    </w:rPr>
                  </w:pPr>
                  <w:r>
                    <w:t>类比法</w:t>
                  </w:r>
                </w:p>
              </w:tc>
              <w:tc>
                <w:tcPr>
                  <w:tcW w:w="382" w:type="pct"/>
                  <w:vAlign w:val="center"/>
                </w:tcPr>
                <w:p w14:paraId="6ED70C12">
                  <w:pPr>
                    <w:pStyle w:val="83"/>
                    <w:rPr>
                      <w:rFonts w:hint="default"/>
                    </w:rPr>
                  </w:pPr>
                  <w:r>
                    <w:t>70</w:t>
                  </w:r>
                </w:p>
              </w:tc>
              <w:tc>
                <w:tcPr>
                  <w:tcW w:w="314" w:type="pct"/>
                  <w:vMerge w:val="continue"/>
                  <w:vAlign w:val="center"/>
                </w:tcPr>
                <w:p w14:paraId="4AF6FC62">
                  <w:pPr>
                    <w:pStyle w:val="83"/>
                    <w:rPr>
                      <w:rFonts w:hint="default"/>
                    </w:rPr>
                  </w:pPr>
                </w:p>
              </w:tc>
            </w:tr>
            <w:tr w14:paraId="05A75A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4415CE95">
                  <w:pPr>
                    <w:pStyle w:val="83"/>
                    <w:rPr>
                      <w:rFonts w:hint="default"/>
                    </w:rPr>
                  </w:pPr>
                  <w:r>
                    <w:t>单轴撕碎机</w:t>
                  </w:r>
                </w:p>
              </w:tc>
              <w:tc>
                <w:tcPr>
                  <w:tcW w:w="277" w:type="pct"/>
                  <w:vAlign w:val="center"/>
                </w:tcPr>
                <w:p w14:paraId="13A3076B">
                  <w:pPr>
                    <w:pStyle w:val="83"/>
                    <w:rPr>
                      <w:rFonts w:hint="default"/>
                    </w:rPr>
                  </w:pPr>
                  <w:r>
                    <w:t>频发</w:t>
                  </w:r>
                </w:p>
              </w:tc>
              <w:tc>
                <w:tcPr>
                  <w:tcW w:w="277" w:type="pct"/>
                  <w:vAlign w:val="center"/>
                </w:tcPr>
                <w:p w14:paraId="70605B33">
                  <w:pPr>
                    <w:pStyle w:val="83"/>
                    <w:rPr>
                      <w:rFonts w:hint="default"/>
                    </w:rPr>
                  </w:pPr>
                  <w:r>
                    <w:t>3</w:t>
                  </w:r>
                </w:p>
              </w:tc>
              <w:tc>
                <w:tcPr>
                  <w:tcW w:w="443" w:type="pct"/>
                  <w:vAlign w:val="center"/>
                </w:tcPr>
                <w:p w14:paraId="3B97B0BC">
                  <w:pPr>
                    <w:pStyle w:val="83"/>
                    <w:rPr>
                      <w:rFonts w:hint="default"/>
                    </w:rPr>
                  </w:pPr>
                  <w:r>
                    <w:t>类比法</w:t>
                  </w:r>
                </w:p>
              </w:tc>
              <w:tc>
                <w:tcPr>
                  <w:tcW w:w="333" w:type="pct"/>
                  <w:vAlign w:val="center"/>
                </w:tcPr>
                <w:p w14:paraId="4563E3DA">
                  <w:pPr>
                    <w:pStyle w:val="83"/>
                    <w:rPr>
                      <w:rFonts w:hint="default"/>
                    </w:rPr>
                  </w:pPr>
                  <w:r>
                    <w:t>80</w:t>
                  </w:r>
                </w:p>
              </w:tc>
              <w:tc>
                <w:tcPr>
                  <w:tcW w:w="554" w:type="pct"/>
                  <w:vAlign w:val="center"/>
                </w:tcPr>
                <w:p w14:paraId="24290DF2">
                  <w:pPr>
                    <w:pStyle w:val="83"/>
                    <w:rPr>
                      <w:rFonts w:hint="default"/>
                    </w:rPr>
                  </w:pPr>
                  <w:r>
                    <w:t>减振、隔声</w:t>
                  </w:r>
                </w:p>
              </w:tc>
              <w:tc>
                <w:tcPr>
                  <w:tcW w:w="882" w:type="pct"/>
                  <w:vAlign w:val="center"/>
                </w:tcPr>
                <w:p w14:paraId="5608B808">
                  <w:pPr>
                    <w:pStyle w:val="83"/>
                    <w:rPr>
                      <w:rFonts w:hint="default"/>
                    </w:rPr>
                  </w:pPr>
                  <w:r>
                    <w:t>室内（钢筋砼结构）</w:t>
                  </w:r>
                </w:p>
              </w:tc>
              <w:tc>
                <w:tcPr>
                  <w:tcW w:w="436" w:type="pct"/>
                  <w:vAlign w:val="center"/>
                </w:tcPr>
                <w:p w14:paraId="2788F0CF">
                  <w:pPr>
                    <w:pStyle w:val="83"/>
                    <w:rPr>
                      <w:rFonts w:hint="default"/>
                    </w:rPr>
                  </w:pPr>
                  <w:r>
                    <w:t>15</w:t>
                  </w:r>
                </w:p>
              </w:tc>
              <w:tc>
                <w:tcPr>
                  <w:tcW w:w="435" w:type="pct"/>
                  <w:vAlign w:val="center"/>
                </w:tcPr>
                <w:p w14:paraId="4B8B103D">
                  <w:pPr>
                    <w:pStyle w:val="83"/>
                    <w:rPr>
                      <w:rFonts w:hint="default"/>
                    </w:rPr>
                  </w:pPr>
                  <w:r>
                    <w:t>类比法</w:t>
                  </w:r>
                </w:p>
              </w:tc>
              <w:tc>
                <w:tcPr>
                  <w:tcW w:w="382" w:type="pct"/>
                  <w:vAlign w:val="center"/>
                </w:tcPr>
                <w:p w14:paraId="30FAC23D">
                  <w:pPr>
                    <w:pStyle w:val="83"/>
                    <w:rPr>
                      <w:rFonts w:hint="default"/>
                    </w:rPr>
                  </w:pPr>
                  <w:r>
                    <w:t>65</w:t>
                  </w:r>
                </w:p>
              </w:tc>
              <w:tc>
                <w:tcPr>
                  <w:tcW w:w="314" w:type="pct"/>
                  <w:vMerge w:val="restart"/>
                  <w:vAlign w:val="center"/>
                </w:tcPr>
                <w:p w14:paraId="1EFA5BFA">
                  <w:pPr>
                    <w:pStyle w:val="83"/>
                    <w:rPr>
                      <w:rFonts w:hint="default"/>
                    </w:rPr>
                  </w:pPr>
                  <w:r>
                    <w:t>2920</w:t>
                  </w:r>
                </w:p>
              </w:tc>
            </w:tr>
            <w:tr w14:paraId="338A9A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003611C5">
                  <w:pPr>
                    <w:pStyle w:val="83"/>
                    <w:rPr>
                      <w:rFonts w:hint="default"/>
                    </w:rPr>
                  </w:pPr>
                  <w:r>
                    <w:t>挤出造粒机</w:t>
                  </w:r>
                </w:p>
              </w:tc>
              <w:tc>
                <w:tcPr>
                  <w:tcW w:w="277" w:type="pct"/>
                  <w:vAlign w:val="center"/>
                </w:tcPr>
                <w:p w14:paraId="355467C4">
                  <w:pPr>
                    <w:pStyle w:val="83"/>
                    <w:rPr>
                      <w:rFonts w:hint="default"/>
                    </w:rPr>
                  </w:pPr>
                  <w:r>
                    <w:t>频发</w:t>
                  </w:r>
                </w:p>
              </w:tc>
              <w:tc>
                <w:tcPr>
                  <w:tcW w:w="277" w:type="pct"/>
                  <w:vAlign w:val="center"/>
                </w:tcPr>
                <w:p w14:paraId="021DA2B3">
                  <w:pPr>
                    <w:pStyle w:val="83"/>
                    <w:rPr>
                      <w:rFonts w:hint="default"/>
                    </w:rPr>
                  </w:pPr>
                  <w:r>
                    <w:t>4</w:t>
                  </w:r>
                </w:p>
              </w:tc>
              <w:tc>
                <w:tcPr>
                  <w:tcW w:w="443" w:type="pct"/>
                  <w:vAlign w:val="center"/>
                </w:tcPr>
                <w:p w14:paraId="45F75C62">
                  <w:pPr>
                    <w:pStyle w:val="83"/>
                    <w:rPr>
                      <w:rFonts w:hint="default"/>
                    </w:rPr>
                  </w:pPr>
                  <w:r>
                    <w:t>类比法</w:t>
                  </w:r>
                </w:p>
              </w:tc>
              <w:tc>
                <w:tcPr>
                  <w:tcW w:w="333" w:type="pct"/>
                  <w:vAlign w:val="center"/>
                </w:tcPr>
                <w:p w14:paraId="3D9FEDA7">
                  <w:pPr>
                    <w:pStyle w:val="83"/>
                    <w:rPr>
                      <w:rFonts w:hint="default"/>
                    </w:rPr>
                  </w:pPr>
                  <w:r>
                    <w:t>70</w:t>
                  </w:r>
                </w:p>
              </w:tc>
              <w:tc>
                <w:tcPr>
                  <w:tcW w:w="554" w:type="pct"/>
                  <w:vAlign w:val="center"/>
                </w:tcPr>
                <w:p w14:paraId="3B6CE62D">
                  <w:pPr>
                    <w:pStyle w:val="83"/>
                    <w:rPr>
                      <w:rFonts w:hint="default"/>
                    </w:rPr>
                  </w:pPr>
                  <w:r>
                    <w:t>减振、隔声</w:t>
                  </w:r>
                </w:p>
              </w:tc>
              <w:tc>
                <w:tcPr>
                  <w:tcW w:w="882" w:type="pct"/>
                  <w:vAlign w:val="center"/>
                </w:tcPr>
                <w:p w14:paraId="5BC72343">
                  <w:pPr>
                    <w:pStyle w:val="83"/>
                    <w:rPr>
                      <w:rFonts w:hint="default"/>
                    </w:rPr>
                  </w:pPr>
                  <w:r>
                    <w:t>室内（钢筋砼结构）</w:t>
                  </w:r>
                </w:p>
              </w:tc>
              <w:tc>
                <w:tcPr>
                  <w:tcW w:w="436" w:type="pct"/>
                  <w:vAlign w:val="center"/>
                </w:tcPr>
                <w:p w14:paraId="01A0B628">
                  <w:pPr>
                    <w:pStyle w:val="83"/>
                    <w:rPr>
                      <w:rFonts w:hint="default"/>
                    </w:rPr>
                  </w:pPr>
                  <w:r>
                    <w:t>15</w:t>
                  </w:r>
                </w:p>
              </w:tc>
              <w:tc>
                <w:tcPr>
                  <w:tcW w:w="435" w:type="pct"/>
                  <w:vAlign w:val="center"/>
                </w:tcPr>
                <w:p w14:paraId="0D78D6D4">
                  <w:pPr>
                    <w:pStyle w:val="83"/>
                    <w:rPr>
                      <w:rFonts w:hint="default"/>
                    </w:rPr>
                  </w:pPr>
                  <w:r>
                    <w:t>类比法</w:t>
                  </w:r>
                </w:p>
              </w:tc>
              <w:tc>
                <w:tcPr>
                  <w:tcW w:w="382" w:type="pct"/>
                  <w:vAlign w:val="center"/>
                </w:tcPr>
                <w:p w14:paraId="6FD642A1">
                  <w:pPr>
                    <w:pStyle w:val="83"/>
                    <w:rPr>
                      <w:rFonts w:hint="default"/>
                    </w:rPr>
                  </w:pPr>
                  <w:r>
                    <w:t>55</w:t>
                  </w:r>
                </w:p>
              </w:tc>
              <w:tc>
                <w:tcPr>
                  <w:tcW w:w="314" w:type="pct"/>
                  <w:vMerge w:val="continue"/>
                  <w:vAlign w:val="center"/>
                </w:tcPr>
                <w:p w14:paraId="09C70800">
                  <w:pPr>
                    <w:pStyle w:val="83"/>
                    <w:rPr>
                      <w:rFonts w:hint="default"/>
                    </w:rPr>
                  </w:pPr>
                </w:p>
              </w:tc>
            </w:tr>
            <w:tr w14:paraId="28397E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674D6B0F">
                  <w:pPr>
                    <w:pStyle w:val="83"/>
                    <w:rPr>
                      <w:rFonts w:hint="default"/>
                    </w:rPr>
                  </w:pPr>
                  <w:r>
                    <w:t>双锥真空干燥机</w:t>
                  </w:r>
                </w:p>
              </w:tc>
              <w:tc>
                <w:tcPr>
                  <w:tcW w:w="277" w:type="pct"/>
                  <w:vAlign w:val="center"/>
                </w:tcPr>
                <w:p w14:paraId="2011136A">
                  <w:pPr>
                    <w:pStyle w:val="83"/>
                    <w:rPr>
                      <w:rFonts w:hint="default"/>
                    </w:rPr>
                  </w:pPr>
                  <w:r>
                    <w:t>频发</w:t>
                  </w:r>
                </w:p>
              </w:tc>
              <w:tc>
                <w:tcPr>
                  <w:tcW w:w="277" w:type="pct"/>
                  <w:vAlign w:val="center"/>
                </w:tcPr>
                <w:p w14:paraId="4A2291BD">
                  <w:pPr>
                    <w:pStyle w:val="83"/>
                    <w:rPr>
                      <w:rFonts w:hint="default"/>
                    </w:rPr>
                  </w:pPr>
                  <w:r>
                    <w:t>2</w:t>
                  </w:r>
                </w:p>
              </w:tc>
              <w:tc>
                <w:tcPr>
                  <w:tcW w:w="443" w:type="pct"/>
                  <w:vAlign w:val="center"/>
                </w:tcPr>
                <w:p w14:paraId="2B3DDD66">
                  <w:pPr>
                    <w:pStyle w:val="83"/>
                    <w:rPr>
                      <w:rFonts w:hint="default"/>
                    </w:rPr>
                  </w:pPr>
                  <w:r>
                    <w:t>类比法</w:t>
                  </w:r>
                </w:p>
              </w:tc>
              <w:tc>
                <w:tcPr>
                  <w:tcW w:w="333" w:type="pct"/>
                  <w:vAlign w:val="center"/>
                </w:tcPr>
                <w:p w14:paraId="7F634E71">
                  <w:pPr>
                    <w:pStyle w:val="83"/>
                    <w:rPr>
                      <w:rFonts w:hint="default"/>
                    </w:rPr>
                  </w:pPr>
                  <w:r>
                    <w:t>85</w:t>
                  </w:r>
                </w:p>
              </w:tc>
              <w:tc>
                <w:tcPr>
                  <w:tcW w:w="554" w:type="pct"/>
                  <w:vAlign w:val="center"/>
                </w:tcPr>
                <w:p w14:paraId="1FC554B1">
                  <w:pPr>
                    <w:pStyle w:val="83"/>
                    <w:rPr>
                      <w:rFonts w:hint="default"/>
                    </w:rPr>
                  </w:pPr>
                  <w:r>
                    <w:t>减振、隔声</w:t>
                  </w:r>
                </w:p>
              </w:tc>
              <w:tc>
                <w:tcPr>
                  <w:tcW w:w="882" w:type="pct"/>
                  <w:vAlign w:val="center"/>
                </w:tcPr>
                <w:p w14:paraId="704EC5B7">
                  <w:pPr>
                    <w:pStyle w:val="83"/>
                    <w:rPr>
                      <w:rFonts w:hint="default"/>
                    </w:rPr>
                  </w:pPr>
                  <w:r>
                    <w:t>室内（钢筋砼结构）</w:t>
                  </w:r>
                </w:p>
              </w:tc>
              <w:tc>
                <w:tcPr>
                  <w:tcW w:w="436" w:type="pct"/>
                  <w:vAlign w:val="center"/>
                </w:tcPr>
                <w:p w14:paraId="1903FF42">
                  <w:pPr>
                    <w:pStyle w:val="83"/>
                    <w:rPr>
                      <w:rFonts w:hint="default"/>
                    </w:rPr>
                  </w:pPr>
                  <w:r>
                    <w:t>15</w:t>
                  </w:r>
                </w:p>
              </w:tc>
              <w:tc>
                <w:tcPr>
                  <w:tcW w:w="435" w:type="pct"/>
                  <w:vAlign w:val="center"/>
                </w:tcPr>
                <w:p w14:paraId="49645188">
                  <w:pPr>
                    <w:pStyle w:val="83"/>
                    <w:rPr>
                      <w:rFonts w:hint="default"/>
                    </w:rPr>
                  </w:pPr>
                  <w:r>
                    <w:t>类比法</w:t>
                  </w:r>
                </w:p>
              </w:tc>
              <w:tc>
                <w:tcPr>
                  <w:tcW w:w="382" w:type="pct"/>
                  <w:vAlign w:val="center"/>
                </w:tcPr>
                <w:p w14:paraId="28989DFB">
                  <w:pPr>
                    <w:pStyle w:val="83"/>
                    <w:rPr>
                      <w:rFonts w:hint="default"/>
                    </w:rPr>
                  </w:pPr>
                  <w:r>
                    <w:t>70</w:t>
                  </w:r>
                </w:p>
              </w:tc>
              <w:tc>
                <w:tcPr>
                  <w:tcW w:w="314" w:type="pct"/>
                  <w:vMerge w:val="continue"/>
                  <w:vAlign w:val="center"/>
                </w:tcPr>
                <w:p w14:paraId="01F17C48">
                  <w:pPr>
                    <w:pStyle w:val="83"/>
                    <w:rPr>
                      <w:rFonts w:hint="default"/>
                    </w:rPr>
                  </w:pPr>
                </w:p>
              </w:tc>
            </w:tr>
            <w:tr w14:paraId="63D4DB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40AFD10E">
                  <w:pPr>
                    <w:pStyle w:val="83"/>
                    <w:rPr>
                      <w:rFonts w:hint="default"/>
                    </w:rPr>
                  </w:pPr>
                  <w:r>
                    <w:t>多段式蜂巢转轮分子筛除湿机</w:t>
                  </w:r>
                </w:p>
              </w:tc>
              <w:tc>
                <w:tcPr>
                  <w:tcW w:w="277" w:type="pct"/>
                  <w:vAlign w:val="center"/>
                </w:tcPr>
                <w:p w14:paraId="33F3D895">
                  <w:pPr>
                    <w:pStyle w:val="83"/>
                    <w:rPr>
                      <w:rFonts w:hint="default"/>
                    </w:rPr>
                  </w:pPr>
                  <w:r>
                    <w:t>频发</w:t>
                  </w:r>
                </w:p>
              </w:tc>
              <w:tc>
                <w:tcPr>
                  <w:tcW w:w="277" w:type="pct"/>
                  <w:vAlign w:val="center"/>
                </w:tcPr>
                <w:p w14:paraId="2CC8A572">
                  <w:pPr>
                    <w:pStyle w:val="83"/>
                    <w:rPr>
                      <w:rFonts w:hint="default"/>
                    </w:rPr>
                  </w:pPr>
                  <w:r>
                    <w:t>3</w:t>
                  </w:r>
                </w:p>
              </w:tc>
              <w:tc>
                <w:tcPr>
                  <w:tcW w:w="443" w:type="pct"/>
                  <w:vAlign w:val="center"/>
                </w:tcPr>
                <w:p w14:paraId="287FCDAC">
                  <w:pPr>
                    <w:pStyle w:val="83"/>
                    <w:rPr>
                      <w:rFonts w:hint="default"/>
                    </w:rPr>
                  </w:pPr>
                  <w:r>
                    <w:t>类比法</w:t>
                  </w:r>
                </w:p>
              </w:tc>
              <w:tc>
                <w:tcPr>
                  <w:tcW w:w="333" w:type="pct"/>
                  <w:vAlign w:val="center"/>
                </w:tcPr>
                <w:p w14:paraId="4A020F5C">
                  <w:pPr>
                    <w:pStyle w:val="83"/>
                    <w:rPr>
                      <w:rFonts w:hint="default"/>
                    </w:rPr>
                  </w:pPr>
                  <w:r>
                    <w:t>85</w:t>
                  </w:r>
                </w:p>
              </w:tc>
              <w:tc>
                <w:tcPr>
                  <w:tcW w:w="554" w:type="pct"/>
                  <w:vAlign w:val="center"/>
                </w:tcPr>
                <w:p w14:paraId="4C140806">
                  <w:pPr>
                    <w:pStyle w:val="83"/>
                    <w:rPr>
                      <w:rFonts w:hint="default"/>
                    </w:rPr>
                  </w:pPr>
                  <w:r>
                    <w:t>减振、隔声</w:t>
                  </w:r>
                </w:p>
              </w:tc>
              <w:tc>
                <w:tcPr>
                  <w:tcW w:w="882" w:type="pct"/>
                  <w:vAlign w:val="center"/>
                </w:tcPr>
                <w:p w14:paraId="3784B296">
                  <w:pPr>
                    <w:pStyle w:val="83"/>
                    <w:rPr>
                      <w:rFonts w:hint="default"/>
                    </w:rPr>
                  </w:pPr>
                  <w:r>
                    <w:t>室内（钢筋砼结构）</w:t>
                  </w:r>
                </w:p>
              </w:tc>
              <w:tc>
                <w:tcPr>
                  <w:tcW w:w="436" w:type="pct"/>
                  <w:vAlign w:val="center"/>
                </w:tcPr>
                <w:p w14:paraId="78C3E740">
                  <w:pPr>
                    <w:pStyle w:val="83"/>
                    <w:rPr>
                      <w:rFonts w:hint="default"/>
                    </w:rPr>
                  </w:pPr>
                  <w:r>
                    <w:t>15</w:t>
                  </w:r>
                </w:p>
              </w:tc>
              <w:tc>
                <w:tcPr>
                  <w:tcW w:w="435" w:type="pct"/>
                  <w:vAlign w:val="center"/>
                </w:tcPr>
                <w:p w14:paraId="0E8B7C63">
                  <w:pPr>
                    <w:pStyle w:val="83"/>
                    <w:rPr>
                      <w:rFonts w:hint="default"/>
                    </w:rPr>
                  </w:pPr>
                  <w:r>
                    <w:t>类比法</w:t>
                  </w:r>
                </w:p>
              </w:tc>
              <w:tc>
                <w:tcPr>
                  <w:tcW w:w="382" w:type="pct"/>
                  <w:vAlign w:val="center"/>
                </w:tcPr>
                <w:p w14:paraId="182F9871">
                  <w:pPr>
                    <w:pStyle w:val="83"/>
                    <w:rPr>
                      <w:rFonts w:hint="default"/>
                    </w:rPr>
                  </w:pPr>
                  <w:r>
                    <w:t>70</w:t>
                  </w:r>
                </w:p>
              </w:tc>
              <w:tc>
                <w:tcPr>
                  <w:tcW w:w="314" w:type="pct"/>
                  <w:vMerge w:val="continue"/>
                  <w:vAlign w:val="center"/>
                </w:tcPr>
                <w:p w14:paraId="74F7DC8C">
                  <w:pPr>
                    <w:pStyle w:val="83"/>
                    <w:rPr>
                      <w:rFonts w:hint="default"/>
                    </w:rPr>
                  </w:pPr>
                </w:p>
              </w:tc>
            </w:tr>
            <w:tr w14:paraId="6B0B67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664" w:type="pct"/>
                  <w:vAlign w:val="center"/>
                </w:tcPr>
                <w:p w14:paraId="77EAF6FD">
                  <w:pPr>
                    <w:pStyle w:val="83"/>
                    <w:rPr>
                      <w:rFonts w:hint="default"/>
                    </w:rPr>
                  </w:pPr>
                  <w:r>
                    <w:t>风机</w:t>
                  </w:r>
                </w:p>
              </w:tc>
              <w:tc>
                <w:tcPr>
                  <w:tcW w:w="277" w:type="pct"/>
                  <w:vAlign w:val="center"/>
                </w:tcPr>
                <w:p w14:paraId="0C124D96">
                  <w:pPr>
                    <w:pStyle w:val="83"/>
                    <w:rPr>
                      <w:rFonts w:hint="default"/>
                    </w:rPr>
                  </w:pPr>
                  <w:r>
                    <w:t>频发</w:t>
                  </w:r>
                </w:p>
              </w:tc>
              <w:tc>
                <w:tcPr>
                  <w:tcW w:w="277" w:type="pct"/>
                  <w:vAlign w:val="center"/>
                </w:tcPr>
                <w:p w14:paraId="353728C4">
                  <w:pPr>
                    <w:pStyle w:val="83"/>
                    <w:rPr>
                      <w:rFonts w:hint="default"/>
                    </w:rPr>
                  </w:pPr>
                  <w:r>
                    <w:t>1</w:t>
                  </w:r>
                </w:p>
              </w:tc>
              <w:tc>
                <w:tcPr>
                  <w:tcW w:w="443" w:type="pct"/>
                  <w:vAlign w:val="center"/>
                </w:tcPr>
                <w:p w14:paraId="2023C6AA">
                  <w:pPr>
                    <w:pStyle w:val="83"/>
                    <w:rPr>
                      <w:rFonts w:hint="default"/>
                    </w:rPr>
                  </w:pPr>
                  <w:r>
                    <w:t>类比法</w:t>
                  </w:r>
                </w:p>
              </w:tc>
              <w:tc>
                <w:tcPr>
                  <w:tcW w:w="333" w:type="pct"/>
                  <w:vAlign w:val="center"/>
                </w:tcPr>
                <w:p w14:paraId="17892AF9">
                  <w:pPr>
                    <w:pStyle w:val="83"/>
                    <w:rPr>
                      <w:rFonts w:hint="default"/>
                    </w:rPr>
                  </w:pPr>
                  <w:r>
                    <w:t>85</w:t>
                  </w:r>
                </w:p>
              </w:tc>
              <w:tc>
                <w:tcPr>
                  <w:tcW w:w="554" w:type="pct"/>
                  <w:vAlign w:val="center"/>
                </w:tcPr>
                <w:p w14:paraId="04424350">
                  <w:pPr>
                    <w:pStyle w:val="83"/>
                    <w:rPr>
                      <w:rFonts w:hint="default"/>
                    </w:rPr>
                  </w:pPr>
                  <w:r>
                    <w:t>减振、隔声</w:t>
                  </w:r>
                </w:p>
              </w:tc>
              <w:tc>
                <w:tcPr>
                  <w:tcW w:w="882" w:type="pct"/>
                  <w:vAlign w:val="center"/>
                </w:tcPr>
                <w:p w14:paraId="7D1D1805">
                  <w:pPr>
                    <w:pStyle w:val="83"/>
                    <w:rPr>
                      <w:rFonts w:hint="default"/>
                    </w:rPr>
                  </w:pPr>
                  <w:r>
                    <w:t>室内（钢筋砼结构）</w:t>
                  </w:r>
                </w:p>
              </w:tc>
              <w:tc>
                <w:tcPr>
                  <w:tcW w:w="436" w:type="pct"/>
                  <w:vAlign w:val="center"/>
                </w:tcPr>
                <w:p w14:paraId="602F6E5A">
                  <w:pPr>
                    <w:pStyle w:val="83"/>
                    <w:rPr>
                      <w:rFonts w:hint="default"/>
                    </w:rPr>
                  </w:pPr>
                  <w:r>
                    <w:t>15</w:t>
                  </w:r>
                </w:p>
              </w:tc>
              <w:tc>
                <w:tcPr>
                  <w:tcW w:w="435" w:type="pct"/>
                  <w:vAlign w:val="center"/>
                </w:tcPr>
                <w:p w14:paraId="16A95A53">
                  <w:pPr>
                    <w:pStyle w:val="83"/>
                    <w:rPr>
                      <w:rFonts w:hint="default"/>
                    </w:rPr>
                  </w:pPr>
                  <w:r>
                    <w:t>类比法</w:t>
                  </w:r>
                </w:p>
              </w:tc>
              <w:tc>
                <w:tcPr>
                  <w:tcW w:w="382" w:type="pct"/>
                  <w:vAlign w:val="center"/>
                </w:tcPr>
                <w:p w14:paraId="79FADDA4">
                  <w:pPr>
                    <w:pStyle w:val="83"/>
                    <w:rPr>
                      <w:rFonts w:hint="default"/>
                    </w:rPr>
                  </w:pPr>
                  <w:r>
                    <w:t>70</w:t>
                  </w:r>
                </w:p>
              </w:tc>
              <w:tc>
                <w:tcPr>
                  <w:tcW w:w="314" w:type="pct"/>
                  <w:vMerge w:val="continue"/>
                  <w:vAlign w:val="center"/>
                </w:tcPr>
                <w:p w14:paraId="2815E553">
                  <w:pPr>
                    <w:pStyle w:val="83"/>
                    <w:rPr>
                      <w:rFonts w:hint="default"/>
                    </w:rPr>
                  </w:pPr>
                </w:p>
              </w:tc>
            </w:tr>
          </w:tbl>
          <w:p w14:paraId="2F949550">
            <w:pPr>
              <w:pStyle w:val="14"/>
              <w:spacing w:beforeAutospacing="0" w:after="0" w:afterAutospacing="0" w:line="276" w:lineRule="auto"/>
              <w:ind w:firstLine="600"/>
              <w:jc w:val="center"/>
              <w:outlineLvl w:val="0"/>
              <w:rPr>
                <w:rFonts w:hint="eastAsia" w:ascii="黑体" w:hAnsi="黑体" w:eastAsia="黑体"/>
                <w:snapToGrid w:val="0"/>
                <w:sz w:val="30"/>
                <w:szCs w:val="30"/>
              </w:rPr>
            </w:pPr>
          </w:p>
        </w:tc>
      </w:tr>
    </w:tbl>
    <w:p w14:paraId="59EE3E3F">
      <w:pPr>
        <w:pStyle w:val="14"/>
        <w:ind w:firstLine="600"/>
        <w:jc w:val="center"/>
        <w:outlineLvl w:val="0"/>
        <w:rPr>
          <w:rFonts w:hint="eastAsia" w:ascii="黑体" w:hAnsi="黑体" w:eastAsia="黑体"/>
          <w:snapToGrid w:val="0"/>
          <w:sz w:val="30"/>
          <w:szCs w:val="30"/>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1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385"/>
      </w:tblGrid>
      <w:tr w14:paraId="4691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3D6DD04">
            <w:pPr>
              <w:pStyle w:val="14"/>
              <w:spacing w:before="0" w:beforeAutospacing="0" w:after="0" w:afterAutospacing="0"/>
              <w:ind w:firstLine="0" w:firstLineChars="0"/>
              <w:jc w:val="center"/>
              <w:outlineLvl w:val="0"/>
              <w:rPr>
                <w:rFonts w:ascii="Times New Roman" w:hAnsi="Times New Roman"/>
                <w:snapToGrid w:val="0"/>
                <w:sz w:val="21"/>
                <w:szCs w:val="21"/>
              </w:rPr>
            </w:pPr>
            <w:r>
              <w:rPr>
                <w:rFonts w:hint="eastAsia" w:ascii="Times New Roman" w:hAnsi="Times New Roman"/>
                <w:snapToGrid w:val="0"/>
                <w:sz w:val="21"/>
                <w:szCs w:val="21"/>
              </w:rPr>
              <w:t>运营期环境影响和保护措施</w:t>
            </w:r>
          </w:p>
        </w:tc>
        <w:tc>
          <w:tcPr>
            <w:tcW w:w="8385" w:type="dxa"/>
          </w:tcPr>
          <w:p w14:paraId="04E9AC09">
            <w:pPr>
              <w:ind w:firstLine="480"/>
            </w:pPr>
            <w:r>
              <w:rPr>
                <w:rFonts w:hint="eastAsia"/>
              </w:rPr>
              <w:t>在设计中除了选用低噪设备外，对于产生的较高噪声设备，增设隔声房、隔声罩，气流进出口消声器等设施可以降噪15～20dB。</w:t>
            </w:r>
          </w:p>
          <w:p w14:paraId="137996FC">
            <w:pPr>
              <w:pStyle w:val="5"/>
            </w:pPr>
            <w:r>
              <w:rPr>
                <w:rFonts w:hint="eastAsia"/>
              </w:rPr>
              <w:t>4.2.3.2 运营期声环境影响分析</w:t>
            </w:r>
          </w:p>
          <w:p w14:paraId="3AA2007D">
            <w:pPr>
              <w:ind w:firstLine="480"/>
            </w:pPr>
            <w:r>
              <w:rPr>
                <w:rFonts w:hint="eastAsia"/>
              </w:rPr>
              <w:t>本项目产生的噪声主要为机械的撞击、摩擦、运转等引起的机械性噪声以及由于空气动力引起的空气动力性噪声，在通过减噪措施后正常情况下，设备噪声压级在55~70dB（A）之间。</w:t>
            </w:r>
          </w:p>
          <w:p w14:paraId="73F98510">
            <w:pPr>
              <w:ind w:firstLine="480"/>
            </w:pPr>
            <w:r>
              <w:rPr>
                <w:rFonts w:hint="eastAsia"/>
              </w:rPr>
              <w:t>项目噪声预测方法采用《环境影响评价技术导则声环境》（HJ2.4-2021）推荐的模式。计算模式为：</w:t>
            </w:r>
          </w:p>
          <w:p w14:paraId="4672A5DB">
            <w:pPr>
              <w:ind w:firstLine="480"/>
            </w:pPr>
            <w:r>
              <w:rPr>
                <w:rFonts w:hint="eastAsia"/>
              </w:rPr>
              <w:t>（1）点声源衰减公式</w:t>
            </w:r>
          </w:p>
          <w:p w14:paraId="3751A3E4">
            <w:pPr>
              <w:ind w:firstLine="480"/>
            </w:pPr>
            <w:r>
              <w:rPr>
                <w:rFonts w:hint="eastAsia"/>
              </w:rPr>
              <w:t>噪声室外传播声级衰减计算模式</w:t>
            </w:r>
          </w:p>
          <w:p w14:paraId="520939CB">
            <w:pPr>
              <w:ind w:firstLine="0" w:firstLineChars="0"/>
              <w:jc w:val="center"/>
            </w:pPr>
            <m:oMathPara>
              <m:oMathParaPr>
                <m:jc m:val="center"/>
              </m:oMathParaPr>
              <m:oMath>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Ai</m:t>
                    </m:r>
                    <m:ctrlPr>
                      <w:rPr>
                        <w:rFonts w:hint="eastAsia" w:ascii="Cambria Math" w:hAnsi="Cambria Math"/>
                      </w:rPr>
                    </m:ctrlPr>
                  </m:sub>
                </m:sSub>
                <m:r>
                  <m:rPr>
                    <m:sty m:val="p"/>
                  </m:rPr>
                  <w:rPr>
                    <w:rFonts w:hint="eastAsia" w:ascii="Cambria Math" w:hAnsi="Cambria Math"/>
                  </w:rPr>
                  <m:t>=</m:t>
                </m:r>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Wi</m:t>
                    </m:r>
                    <m:ctrlPr>
                      <w:rPr>
                        <w:rFonts w:hint="eastAsia" w:ascii="Cambria Math" w:hAnsi="Cambria Math"/>
                      </w:rPr>
                    </m:ctrlPr>
                  </m:sub>
                </m:sSub>
                <m:r>
                  <m:rPr>
                    <m:sty m:val="p"/>
                  </m:rPr>
                  <w:rPr>
                    <w:rFonts w:hint="eastAsia" w:ascii="Cambria Math" w:hAnsi="Cambria Math"/>
                  </w:rPr>
                  <m:t>−TL−20</m:t>
                </m:r>
                <m:sSub>
                  <m:sSubPr>
                    <m:ctrlPr>
                      <w:rPr>
                        <w:rFonts w:hint="eastAsia" w:ascii="Cambria Math" w:hAnsi="Cambria Math"/>
                      </w:rPr>
                    </m:ctrlPr>
                  </m:sSubPr>
                  <m:e>
                    <m:r>
                      <m:rPr>
                        <m:sty m:val="p"/>
                      </m:rPr>
                      <w:rPr>
                        <w:rFonts w:hint="eastAsia" w:ascii="Cambria Math" w:hAnsi="Cambria Math"/>
                      </w:rPr>
                      <m:t>Lg</m:t>
                    </m:r>
                    <m:ctrlPr>
                      <w:rPr>
                        <w:rFonts w:hint="eastAsia" w:ascii="Cambria Math" w:hAnsi="Cambria Math"/>
                      </w:rPr>
                    </m:ctrlPr>
                  </m:e>
                  <m:sub>
                    <m:r>
                      <m:rPr>
                        <m:sty m:val="p"/>
                      </m:rPr>
                      <w:rPr>
                        <w:rFonts w:hint="eastAsia" w:ascii="Cambria Math" w:hAnsi="Cambria Math"/>
                      </w:rPr>
                      <m:t>rij</m:t>
                    </m:r>
                    <m:ctrlPr>
                      <w:rPr>
                        <w:rFonts w:hint="eastAsia" w:ascii="Cambria Math" w:hAnsi="Cambria Math"/>
                      </w:rPr>
                    </m:ctrlPr>
                  </m:sub>
                </m:sSub>
              </m:oMath>
            </m:oMathPara>
          </w:p>
          <w:p w14:paraId="46FB0407">
            <w:pPr>
              <w:ind w:firstLine="480"/>
            </w:pPr>
            <w:r>
              <w:rPr>
                <w:rFonts w:hint="eastAsia"/>
              </w:rPr>
              <w:t>式中：</w:t>
            </w:r>
            <m:oMath>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Ai</m:t>
                  </m:r>
                  <m:ctrlPr>
                    <w:rPr>
                      <w:rFonts w:hint="eastAsia" w:ascii="Cambria Math" w:hAnsi="Cambria Math"/>
                    </w:rPr>
                  </m:ctrlPr>
                </m:sub>
              </m:sSub>
            </m:oMath>
            <w:r>
              <w:rPr>
                <w:rFonts w:hint="eastAsia"/>
              </w:rPr>
              <w:t>——i声源在预测点产生的A声级，dB(A)；</w:t>
            </w:r>
          </w:p>
          <w:p w14:paraId="26D64DDF">
            <w:pPr>
              <w:ind w:firstLine="1200" w:firstLineChars="500"/>
            </w:pPr>
            <w:r>
              <w:rPr>
                <w:rFonts w:hint="eastAsia"/>
              </w:rPr>
              <w:t>rij——i声源至预测点j的距离，m；</w:t>
            </w:r>
          </w:p>
          <w:p w14:paraId="067628E0">
            <w:pPr>
              <w:ind w:firstLine="1200" w:firstLineChars="500"/>
            </w:pPr>
            <m:oMath>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Wi</m:t>
                  </m:r>
                  <m:ctrlPr>
                    <w:rPr>
                      <w:rFonts w:hint="eastAsia" w:ascii="Cambria Math" w:hAnsi="Cambria Math"/>
                    </w:rPr>
                  </m:ctrlPr>
                </m:sub>
              </m:sSub>
            </m:oMath>
            <w:r>
              <w:rPr>
                <w:rFonts w:hint="eastAsia"/>
              </w:rPr>
              <w:t>—噪声源的等效声级，dB(A)；</w:t>
            </w:r>
          </w:p>
          <w:p w14:paraId="7E0ACA13">
            <w:pPr>
              <w:ind w:firstLine="1200" w:firstLineChars="500"/>
            </w:pPr>
            <m:oMath>
              <m:r>
                <m:rPr>
                  <m:sty m:val="p"/>
                </m:rPr>
                <w:rPr>
                  <w:rFonts w:hint="eastAsia" w:ascii="Cambria Math" w:hAnsi="Cambria Math"/>
                </w:rPr>
                <m:t>TL</m:t>
              </m:r>
            </m:oMath>
            <w:r>
              <w:rPr>
                <w:rFonts w:hint="eastAsia"/>
              </w:rPr>
              <w:t>—大气吸收、屏障屏蔽、地面效应等引起的噪声衰减，本项目取5dB（A）。</w:t>
            </w:r>
          </w:p>
          <w:p w14:paraId="7EF73DA6">
            <w:pPr>
              <w:ind w:firstLine="480"/>
            </w:pPr>
            <w:r>
              <w:rPr>
                <w:rFonts w:hint="eastAsia"/>
              </w:rPr>
              <w:t>（2）室内声场扩散衰减公式</w:t>
            </w:r>
          </w:p>
          <w:p w14:paraId="6E050828">
            <w:pPr>
              <w:ind w:firstLine="0" w:firstLineChars="0"/>
              <w:jc w:val="center"/>
            </w:pPr>
            <m:oMathPara>
              <m:oMath>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p1</m:t>
                    </m:r>
                    <m:ctrlPr>
                      <w:rPr>
                        <w:rFonts w:hint="eastAsia" w:ascii="Cambria Math" w:hAnsi="Cambria Math"/>
                      </w:rPr>
                    </m:ctrlPr>
                  </m:sub>
                </m:sSub>
                <m:r>
                  <m:rPr>
                    <m:sty m:val="p"/>
                  </m:rPr>
                  <w:rPr>
                    <w:rFonts w:hint="eastAsia" w:ascii="Cambria Math" w:hAnsi="Cambria Math"/>
                  </w:rPr>
                  <m:t>=</m:t>
                </m:r>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w</m:t>
                    </m:r>
                    <m:ctrlPr>
                      <w:rPr>
                        <w:rFonts w:hint="eastAsia" w:ascii="Cambria Math" w:hAnsi="Cambria Math"/>
                      </w:rPr>
                    </m:ctrlPr>
                  </m:sub>
                </m:sSub>
                <m:r>
                  <m:rPr>
                    <m:sty m:val="p"/>
                  </m:rPr>
                  <w:rPr>
                    <w:rFonts w:hint="eastAsia" w:ascii="Cambria Math" w:hAnsi="Cambria Math"/>
                  </w:rPr>
                  <m:t>+10lg</m:t>
                </m:r>
                <m:d>
                  <m:dPr>
                    <m:ctrlPr>
                      <w:rPr>
                        <w:rFonts w:hint="eastAsia" w:ascii="Cambria Math" w:hAnsi="Cambria Math"/>
                      </w:rPr>
                    </m:ctrlPr>
                  </m:dPr>
                  <m:e>
                    <m:f>
                      <m:fPr>
                        <m:ctrlPr>
                          <w:rPr>
                            <w:rFonts w:hint="eastAsia" w:ascii="Cambria Math" w:hAnsi="Cambria Math"/>
                          </w:rPr>
                        </m:ctrlPr>
                      </m:fPr>
                      <m:num>
                        <m:r>
                          <m:rPr>
                            <m:sty m:val="p"/>
                          </m:rPr>
                          <w:rPr>
                            <w:rFonts w:hint="eastAsia" w:ascii="Cambria Math" w:hAnsi="Cambria Math"/>
                          </w:rPr>
                          <m:t>Q</m:t>
                        </m:r>
                        <m:ctrlPr>
                          <w:rPr>
                            <w:rFonts w:hint="eastAsia" w:ascii="Cambria Math" w:hAnsi="Cambria Math"/>
                          </w:rPr>
                        </m:ctrlPr>
                      </m:num>
                      <m:den>
                        <m:r>
                          <m:rPr>
                            <m:sty m:val="p"/>
                          </m:rPr>
                          <w:rPr>
                            <w:rFonts w:hint="eastAsia" w:ascii="Cambria Math" w:hAnsi="Cambria Math"/>
                          </w:rPr>
                          <m:t>4π</m:t>
                        </m:r>
                        <m:sSup>
                          <m:sSupPr>
                            <m:ctrlPr>
                              <w:rPr>
                                <w:rFonts w:hint="eastAsia" w:ascii="Cambria Math" w:hAnsi="Cambria Math"/>
                              </w:rPr>
                            </m:ctrlPr>
                          </m:sSupPr>
                          <m:e>
                            <m:r>
                              <m:rPr>
                                <m:sty m:val="p"/>
                              </m:rPr>
                              <w:rPr>
                                <w:rFonts w:hint="eastAsia" w:ascii="Cambria Math" w:hAnsi="Cambria Math"/>
                              </w:rPr>
                              <m:t>r</m:t>
                            </m:r>
                            <m:ctrlPr>
                              <w:rPr>
                                <w:rFonts w:hint="eastAsia" w:ascii="Cambria Math" w:hAnsi="Cambria Math"/>
                              </w:rPr>
                            </m:ctrlPr>
                          </m:e>
                          <m:sup>
                            <m:r>
                              <m:rPr>
                                <m:sty m:val="p"/>
                              </m:rPr>
                              <w:rPr>
                                <w:rFonts w:hint="eastAsia" w:ascii="Cambria Math" w:hAnsi="Cambria Math"/>
                              </w:rPr>
                              <m:t>2</m:t>
                            </m:r>
                            <m:ctrlPr>
                              <w:rPr>
                                <w:rFonts w:hint="eastAsia" w:ascii="Cambria Math" w:hAnsi="Cambria Math"/>
                              </w:rPr>
                            </m:ctrlPr>
                          </m:sup>
                        </m:sSup>
                        <m:ctrlPr>
                          <w:rPr>
                            <w:rFonts w:hint="eastAsia" w:ascii="Cambria Math" w:hAnsi="Cambria Math"/>
                          </w:rPr>
                        </m:ctrlPr>
                      </m:den>
                    </m:f>
                    <m:r>
                      <m:rPr>
                        <m:sty m:val="p"/>
                      </m:rPr>
                      <w:rPr>
                        <w:rFonts w:hint="eastAsia" w:ascii="Cambria Math" w:hAnsi="Cambria Math"/>
                      </w:rPr>
                      <m:t>+</m:t>
                    </m:r>
                    <m:f>
                      <m:fPr>
                        <m:ctrlPr>
                          <w:rPr>
                            <w:rFonts w:hint="eastAsia" w:ascii="Cambria Math" w:hAnsi="Cambria Math"/>
                          </w:rPr>
                        </m:ctrlPr>
                      </m:fPr>
                      <m:num>
                        <m:r>
                          <m:rPr>
                            <m:sty m:val="p"/>
                          </m:rPr>
                          <w:rPr>
                            <w:rFonts w:hint="eastAsia" w:ascii="Cambria Math" w:hAnsi="Cambria Math"/>
                          </w:rPr>
                          <m:t>4</m:t>
                        </m:r>
                        <m:ctrlPr>
                          <w:rPr>
                            <w:rFonts w:hint="eastAsia" w:ascii="Cambria Math" w:hAnsi="Cambria Math"/>
                          </w:rPr>
                        </m:ctrlPr>
                      </m:num>
                      <m:den>
                        <m:r>
                          <m:rPr>
                            <m:sty m:val="p"/>
                          </m:rPr>
                          <w:rPr>
                            <w:rFonts w:hint="eastAsia" w:ascii="Cambria Math" w:hAnsi="Cambria Math"/>
                          </w:rPr>
                          <m:t>R</m:t>
                        </m:r>
                        <m:ctrlPr>
                          <w:rPr>
                            <w:rFonts w:hint="eastAsia" w:ascii="Cambria Math" w:hAnsi="Cambria Math"/>
                          </w:rPr>
                        </m:ctrlPr>
                      </m:den>
                    </m:f>
                    <m:ctrlPr>
                      <w:rPr>
                        <w:rFonts w:hint="eastAsia" w:ascii="Cambria Math" w:hAnsi="Cambria Math"/>
                      </w:rPr>
                    </m:ctrlPr>
                  </m:e>
                </m:d>
              </m:oMath>
            </m:oMathPara>
          </w:p>
          <w:p w14:paraId="5216D44D">
            <w:pPr>
              <w:ind w:firstLine="480"/>
            </w:pPr>
            <w:r>
              <w:rPr>
                <w:rFonts w:hint="eastAsia"/>
              </w:rPr>
              <w:t>式中：</w:t>
            </w:r>
            <m:oMath>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p1</m:t>
                  </m:r>
                  <m:ctrlPr>
                    <w:rPr>
                      <w:rFonts w:hint="eastAsia" w:ascii="Cambria Math" w:hAnsi="Cambria Math"/>
                    </w:rPr>
                  </m:ctrlPr>
                </m:sub>
              </m:sSub>
            </m:oMath>
            <w:r>
              <w:rPr>
                <w:rFonts w:hint="eastAsia"/>
              </w:rPr>
              <w:t>——预测点的噪声级，dB；</w:t>
            </w:r>
          </w:p>
          <w:p w14:paraId="50DB6BDB">
            <w:pPr>
              <w:ind w:firstLine="1200" w:firstLineChars="500"/>
            </w:pPr>
            <m:oMath>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w</m:t>
                  </m:r>
                  <m:ctrlPr>
                    <w:rPr>
                      <w:rFonts w:hint="eastAsia" w:ascii="Cambria Math" w:hAnsi="Cambria Math"/>
                    </w:rPr>
                  </m:ctrlPr>
                </m:sub>
              </m:sSub>
            </m:oMath>
            <w:r>
              <w:rPr>
                <w:rFonts w:hint="eastAsia"/>
              </w:rPr>
              <w:t>——点声源声功率级，dB；</w:t>
            </w:r>
          </w:p>
          <w:p w14:paraId="0CC5A141">
            <w:pPr>
              <w:ind w:firstLine="1200" w:firstLineChars="500"/>
            </w:pPr>
            <m:oMath>
              <m:r>
                <m:rPr>
                  <m:sty m:val="p"/>
                </m:rPr>
                <w:rPr>
                  <w:rFonts w:hint="eastAsia" w:ascii="Cambria Math" w:hAnsi="Cambria Math"/>
                </w:rPr>
                <m:t>Q</m:t>
              </m:r>
            </m:oMath>
            <w:r>
              <w:rPr>
                <w:rFonts w:hint="eastAsia"/>
              </w:rPr>
              <w:t>——指向性因数（当声源放在房间中心时，</w:t>
            </w:r>
            <m:oMath>
              <m:r>
                <m:rPr>
                  <m:sty m:val="p"/>
                </m:rPr>
                <w:rPr>
                  <w:rFonts w:hint="eastAsia" w:ascii="Cambria Math" w:hAnsi="Cambria Math"/>
                </w:rPr>
                <m:t>Q</m:t>
              </m:r>
            </m:oMath>
            <w:r>
              <w:rPr>
                <w:rFonts w:hint="eastAsia"/>
              </w:rPr>
              <w:t>=1；当放在一面墙的中心时，</w:t>
            </w:r>
            <m:oMath>
              <m:r>
                <m:rPr>
                  <m:sty m:val="p"/>
                </m:rPr>
                <w:rPr>
                  <w:rFonts w:hint="eastAsia" w:ascii="Cambria Math" w:hAnsi="Cambria Math"/>
                </w:rPr>
                <m:t>Q</m:t>
              </m:r>
            </m:oMath>
            <w:r>
              <w:rPr>
                <w:rFonts w:hint="eastAsia"/>
              </w:rPr>
              <w:t>=2；当放在两面墙夹角处时，</w:t>
            </w:r>
            <m:oMath>
              <m:r>
                <m:rPr>
                  <m:sty m:val="p"/>
                </m:rPr>
                <w:rPr>
                  <w:rFonts w:hint="eastAsia" w:ascii="Cambria Math" w:hAnsi="Cambria Math"/>
                </w:rPr>
                <m:t>Q</m:t>
              </m:r>
            </m:oMath>
            <w:r>
              <w:rPr>
                <w:rFonts w:hint="eastAsia"/>
              </w:rPr>
              <w:t>=4；当放在三面墙夹角处时，</w:t>
            </w:r>
            <m:oMath>
              <m:r>
                <m:rPr>
                  <m:sty m:val="p"/>
                </m:rPr>
                <w:rPr>
                  <w:rFonts w:hint="eastAsia" w:ascii="Cambria Math" w:hAnsi="Cambria Math"/>
                </w:rPr>
                <m:t>Q</m:t>
              </m:r>
            </m:oMath>
            <w:r>
              <w:rPr>
                <w:rFonts w:hint="eastAsia"/>
              </w:rPr>
              <w:t>=8）；</w:t>
            </w:r>
          </w:p>
          <w:p w14:paraId="14C7F549">
            <w:pPr>
              <w:ind w:firstLine="1200" w:firstLineChars="500"/>
            </w:pPr>
            <m:oMath>
              <m:r>
                <m:rPr>
                  <m:sty m:val="p"/>
                </m:rPr>
                <w:rPr>
                  <w:rFonts w:hint="eastAsia" w:ascii="Cambria Math" w:hAnsi="Cambria Math"/>
                </w:rPr>
                <m:t>r</m:t>
              </m:r>
            </m:oMath>
            <w:r>
              <w:rPr>
                <w:rFonts w:hint="eastAsia"/>
              </w:rPr>
              <w:t>——声源到靠近围护结构某点处的距离，m；</w:t>
            </w:r>
          </w:p>
          <w:p w14:paraId="5619AD9C">
            <w:pPr>
              <w:ind w:firstLine="1200" w:firstLineChars="500"/>
            </w:pPr>
            <m:oMath>
              <m:r>
                <m:rPr>
                  <m:sty m:val="p"/>
                </m:rPr>
                <w:rPr>
                  <w:rFonts w:hint="eastAsia" w:ascii="Cambria Math" w:hAnsi="Cambria Math"/>
                </w:rPr>
                <m:t>R</m:t>
              </m:r>
            </m:oMath>
            <w:r>
              <w:rPr>
                <w:rFonts w:hint="eastAsia"/>
              </w:rPr>
              <w:t>——房间常数（</w:t>
            </w:r>
            <m:oMath>
              <m:r>
                <m:rPr>
                  <m:sty m:val="p"/>
                </m:rPr>
                <w:rPr>
                  <w:rFonts w:hint="eastAsia" w:ascii="Cambria Math" w:hAnsi="Cambria Math"/>
                </w:rPr>
                <m:t>R=</m:t>
              </m:r>
              <m:f>
                <m:fPr>
                  <m:type m:val="lin"/>
                  <m:ctrlPr>
                    <w:rPr>
                      <w:rFonts w:hint="eastAsia" w:ascii="Cambria Math" w:hAnsi="Cambria Math"/>
                    </w:rPr>
                  </m:ctrlPr>
                </m:fPr>
                <m:num>
                  <m:r>
                    <m:rPr>
                      <m:sty m:val="p"/>
                    </m:rPr>
                    <w:rPr>
                      <w:rFonts w:hint="eastAsia" w:ascii="Cambria Math" w:hAnsi="Cambria Math"/>
                    </w:rPr>
                    <m:t>Sa</m:t>
                  </m:r>
                  <m:ctrlPr>
                    <w:rPr>
                      <w:rFonts w:hint="eastAsia" w:ascii="Cambria Math" w:hAnsi="Cambria Math"/>
                    </w:rPr>
                  </m:ctrlPr>
                </m:num>
                <m:den>
                  <m:d>
                    <m:dPr>
                      <m:begChr m:val="（"/>
                      <m:endChr m:val="）"/>
                      <m:ctrlPr>
                        <w:rPr>
                          <w:rFonts w:hint="eastAsia" w:ascii="Cambria Math" w:hAnsi="Cambria Math"/>
                        </w:rPr>
                      </m:ctrlPr>
                    </m:dPr>
                    <m:e>
                      <m:r>
                        <m:rPr>
                          <m:sty m:val="p"/>
                        </m:rPr>
                        <w:rPr>
                          <w:rFonts w:hint="eastAsia" w:ascii="Cambria Math" w:hAnsi="Cambria Math"/>
                        </w:rPr>
                        <m:t>1−a</m:t>
                      </m:r>
                      <m:ctrlPr>
                        <w:rPr>
                          <w:rFonts w:hint="eastAsia" w:ascii="Cambria Math" w:hAnsi="Cambria Math"/>
                        </w:rPr>
                      </m:ctrlPr>
                    </m:e>
                  </m:d>
                  <m:ctrlPr>
                    <w:rPr>
                      <w:rFonts w:hint="eastAsia" w:ascii="Cambria Math" w:hAnsi="Cambria Math"/>
                    </w:rPr>
                  </m:ctrlPr>
                </m:den>
              </m:f>
            </m:oMath>
            <w:r>
              <w:rPr>
                <w:rFonts w:hint="eastAsia"/>
              </w:rPr>
              <w:t>，</w:t>
            </w:r>
            <m:oMath>
              <m:r>
                <m:rPr>
                  <m:sty m:val="p"/>
                </m:rPr>
                <w:rPr>
                  <w:rFonts w:hint="eastAsia" w:ascii="Cambria Math" w:hAnsi="Cambria Math"/>
                </w:rPr>
                <m:t>S</m:t>
              </m:r>
            </m:oMath>
            <w:r>
              <w:rPr>
                <w:rFonts w:hint="eastAsia"/>
              </w:rPr>
              <w:t>为房间内表面面积，m2；</w:t>
            </w:r>
            <m:oMath>
              <m:r>
                <m:rPr>
                  <m:sty m:val="p"/>
                </m:rPr>
                <w:rPr>
                  <w:rFonts w:hint="eastAsia" w:ascii="Cambria Math" w:hAnsi="Cambria Math"/>
                </w:rPr>
                <m:t>a</m:t>
              </m:r>
            </m:oMath>
            <w:r>
              <w:rPr>
                <w:rFonts w:hint="eastAsia"/>
              </w:rPr>
              <w:t>为平均吸声系数）。</w:t>
            </w:r>
          </w:p>
          <w:p w14:paraId="32262D70">
            <w:pPr>
              <w:ind w:firstLine="480"/>
            </w:pPr>
            <w:r>
              <w:rPr>
                <w:rFonts w:hint="eastAsia"/>
              </w:rPr>
              <w:t>（3）噪声级的叠加公式</w:t>
            </w:r>
          </w:p>
          <w:p w14:paraId="7DA9ED83">
            <w:pPr>
              <w:ind w:firstLine="480"/>
            </w:pPr>
            <w:r>
              <w:rPr>
                <w:rFonts w:hint="eastAsia"/>
              </w:rPr>
              <w:t>对于相距较远的两个或两个以上噪声源同时存在时，它们对远处某一点（预测点）的声压级必须按能量叠加，该点的总声压级可用下面的公式进行计算：</w:t>
            </w:r>
          </w:p>
          <w:p w14:paraId="7B09B3E5">
            <w:pPr>
              <w:ind w:firstLine="0" w:firstLineChars="0"/>
              <w:jc w:val="center"/>
            </w:pPr>
            <w:r>
              <w:rPr>
                <w:rFonts w:hint="eastAsia"/>
                <w:lang w:val="zh-CN"/>
              </w:rPr>
              <w:object>
                <v:shape id="_x0000_i1030" o:spt="75" type="#_x0000_t75" style="height:34.95pt;width:256.85pt;" o:ole="t" filled="f" o:preferrelative="t" stroked="f" coordsize="21600,21600">
                  <v:path/>
                  <v:fill on="f" focussize="0,0"/>
                  <v:stroke on="f" joinstyle="miter"/>
                  <v:imagedata r:id="rId41" o:title=""/>
                  <o:lock v:ext="edit" aspectratio="t"/>
                  <w10:wrap type="none"/>
                  <w10:anchorlock/>
                </v:shape>
                <o:OLEObject Type="Embed" ProgID="Equation.3" ShapeID="_x0000_i1030" DrawAspect="Content" ObjectID="_1468075729" r:id="rId40">
                  <o:LockedField>false</o:LockedField>
                </o:OLEObject>
              </w:object>
            </w:r>
          </w:p>
          <w:p w14:paraId="3E475B64">
            <w:pPr>
              <w:ind w:firstLine="480"/>
            </w:pPr>
            <w:r>
              <w:rPr>
                <w:rFonts w:hint="eastAsia"/>
              </w:rPr>
              <w:t>式中：</w:t>
            </w:r>
            <m:oMath>
              <m:r>
                <m:rPr>
                  <m:sty m:val="p"/>
                </m:rPr>
                <w:rPr>
                  <w:rFonts w:hint="eastAsia" w:ascii="Cambria Math" w:hAnsi="Cambria Math"/>
                </w:rPr>
                <m:t>T</m:t>
              </m:r>
            </m:oMath>
            <w:r>
              <w:rPr>
                <w:rFonts w:hint="eastAsia"/>
              </w:rPr>
              <w:t>——计算等效声级的时间；</w:t>
            </w:r>
          </w:p>
          <w:p w14:paraId="5289E744">
            <w:pPr>
              <w:ind w:firstLine="1200" w:firstLineChars="500"/>
            </w:pPr>
            <m:oMath>
              <m:r>
                <m:rPr>
                  <m:sty m:val="p"/>
                </m:rPr>
                <w:rPr>
                  <w:rFonts w:hint="eastAsia" w:ascii="Cambria Math" w:hAnsi="Cambria Math"/>
                </w:rPr>
                <m:t>N</m:t>
              </m:r>
            </m:oMath>
            <w:r>
              <w:rPr>
                <w:rFonts w:hint="eastAsia"/>
              </w:rPr>
              <w:t>——室外声源个数；</w:t>
            </w:r>
          </w:p>
          <w:p w14:paraId="0F79F0AD">
            <w:pPr>
              <w:ind w:firstLine="1200" w:firstLineChars="500"/>
            </w:pPr>
            <m:oMath>
              <m:r>
                <m:rPr>
                  <m:sty m:val="p"/>
                </m:rPr>
                <w:rPr>
                  <w:rFonts w:hint="eastAsia" w:ascii="Cambria Math" w:hAnsi="Cambria Math"/>
                </w:rPr>
                <m:t>M</m:t>
              </m:r>
            </m:oMath>
            <w:r>
              <w:rPr>
                <w:rFonts w:hint="eastAsia"/>
              </w:rPr>
              <w:t>——等效室外声源个数。</w:t>
            </w:r>
          </w:p>
          <w:p w14:paraId="5412CF93">
            <w:pPr>
              <w:ind w:firstLine="480"/>
            </w:pPr>
            <w:r>
              <w:rPr>
                <w:rFonts w:hint="eastAsia"/>
              </w:rPr>
              <w:t>（4）预测点的预测等效声级Leq（A）计算公式</w:t>
            </w:r>
          </w:p>
          <w:p w14:paraId="70B2131D">
            <w:pPr>
              <w:ind w:firstLine="0" w:firstLineChars="0"/>
              <w:jc w:val="center"/>
            </w:pPr>
            <w:r>
              <w:rPr>
                <w:rFonts w:hint="eastAsia"/>
              </w:rPr>
              <w:drawing>
                <wp:inline distT="0" distB="0" distL="114300" distR="114300">
                  <wp:extent cx="1981200" cy="254000"/>
                  <wp:effectExtent l="0" t="0" r="0" b="13970"/>
                  <wp:docPr id="27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52"/>
                          <pic:cNvPicPr>
                            <a:picLocks noChangeAspect="1"/>
                          </pic:cNvPicPr>
                        </pic:nvPicPr>
                        <pic:blipFill>
                          <a:blip r:embed="rId42" cstate="print"/>
                          <a:stretch>
                            <a:fillRect/>
                          </a:stretch>
                        </pic:blipFill>
                        <pic:spPr>
                          <a:xfrm>
                            <a:off x="0" y="0"/>
                            <a:ext cx="1981200" cy="254000"/>
                          </a:xfrm>
                          <a:prstGeom prst="rect">
                            <a:avLst/>
                          </a:prstGeom>
                          <a:noFill/>
                          <a:ln>
                            <a:noFill/>
                          </a:ln>
                        </pic:spPr>
                      </pic:pic>
                    </a:graphicData>
                  </a:graphic>
                </wp:inline>
              </w:drawing>
            </w:r>
          </w:p>
          <w:p w14:paraId="7A944222">
            <w:pPr>
              <w:ind w:firstLine="480"/>
            </w:pPr>
            <w:r>
              <w:rPr>
                <w:rFonts w:hint="eastAsia"/>
              </w:rPr>
              <w:t>式中：</w:t>
            </w:r>
            <m:oMath>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eq</m:t>
                  </m:r>
                  <m:ctrlPr>
                    <w:rPr>
                      <w:rFonts w:hint="eastAsia" w:ascii="Cambria Math" w:hAnsi="Cambria Math"/>
                    </w:rPr>
                  </m:ctrlPr>
                </m:sub>
              </m:sSub>
              <m:d>
                <m:dPr>
                  <m:ctrlPr>
                    <w:rPr>
                      <w:rFonts w:hint="eastAsia" w:ascii="Cambria Math" w:hAnsi="Cambria Math"/>
                    </w:rPr>
                  </m:ctrlPr>
                </m:dPr>
                <m:e>
                  <m:r>
                    <m:rPr>
                      <m:sty m:val="p"/>
                    </m:rPr>
                    <w:rPr>
                      <w:rFonts w:hint="eastAsia" w:ascii="Cambria Math" w:hAnsi="Cambria Math"/>
                    </w:rPr>
                    <m:t>A</m:t>
                  </m:r>
                  <m:ctrlPr>
                    <w:rPr>
                      <w:rFonts w:hint="eastAsia" w:ascii="Cambria Math" w:hAnsi="Cambria Math"/>
                    </w:rPr>
                  </m:ctrlPr>
                </m:e>
              </m:d>
            </m:oMath>
            <w:r>
              <w:rPr>
                <w:rFonts w:hint="eastAsia"/>
              </w:rPr>
              <w:t>——建设项目声源在预测点的等效声级贡献值，dB(A)；</w:t>
            </w:r>
          </w:p>
          <w:p w14:paraId="24BA0345">
            <w:pPr>
              <w:ind w:firstLine="1200" w:firstLineChars="500"/>
            </w:pPr>
            <m:oMath>
              <m:sSub>
                <m:sSubPr>
                  <m:ctrlPr>
                    <w:rPr>
                      <w:rFonts w:hint="eastAsia" w:ascii="Cambria Math" w:hAnsi="Cambria Math"/>
                    </w:rPr>
                  </m:ctrlPr>
                </m:sSubPr>
                <m:e>
                  <m:r>
                    <m:rPr>
                      <m:sty m:val="p"/>
                    </m:rPr>
                    <w:rPr>
                      <w:rFonts w:hint="eastAsia" w:ascii="Cambria Math" w:hAnsi="Cambria Math"/>
                    </w:rPr>
                    <m:t>L</m:t>
                  </m:r>
                  <m:ctrlPr>
                    <w:rPr>
                      <w:rFonts w:hint="eastAsia" w:ascii="Cambria Math" w:hAnsi="Cambria Math"/>
                    </w:rPr>
                  </m:ctrlPr>
                </m:e>
                <m:sub>
                  <m:r>
                    <m:rPr>
                      <m:sty m:val="p"/>
                    </m:rPr>
                    <w:rPr>
                      <w:rFonts w:hint="eastAsia" w:ascii="Cambria Math" w:hAnsi="Cambria Math"/>
                    </w:rPr>
                    <m:t>eq</m:t>
                  </m:r>
                  <m:ctrlPr>
                    <w:rPr>
                      <w:rFonts w:hint="eastAsia" w:ascii="Cambria Math" w:hAnsi="Cambria Math"/>
                    </w:rPr>
                  </m:ctrlPr>
                </m:sub>
              </m:sSub>
              <m:r>
                <m:rPr>
                  <m:sty m:val="p"/>
                </m:rPr>
                <w:rPr>
                  <w:rFonts w:hint="eastAsia" w:ascii="Cambria Math" w:hAnsi="Cambria Math"/>
                </w:rPr>
                <m:t>b</m:t>
              </m:r>
            </m:oMath>
            <w:r>
              <w:rPr>
                <w:rFonts w:hint="eastAsia"/>
              </w:rPr>
              <w:t>——预测点背景值，dB(A)。</w:t>
            </w:r>
          </w:p>
          <w:p w14:paraId="0F1C3DB8">
            <w:pPr>
              <w:ind w:firstLine="480"/>
            </w:pPr>
            <w:r>
              <w:rPr>
                <w:rFonts w:hint="eastAsia"/>
              </w:rPr>
              <w:t>本工程建成运行后，考虑所有设备不间断运转的最不利情况下，预测所有声源产生的噪声在厂区边界处的贡献值，预测结果详见表4.2-11。</w:t>
            </w:r>
          </w:p>
          <w:p w14:paraId="4978728B">
            <w:pPr>
              <w:pStyle w:val="13"/>
            </w:pPr>
            <w:r>
              <w:rPr>
                <w:rFonts w:hint="eastAsia"/>
              </w:rPr>
              <w:t>表4.2-11  厂界噪声预测结果一览表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1281"/>
              <w:gridCol w:w="1274"/>
              <w:gridCol w:w="858"/>
              <w:gridCol w:w="1418"/>
              <w:gridCol w:w="1276"/>
              <w:gridCol w:w="899"/>
            </w:tblGrid>
            <w:tr w14:paraId="70B55B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vMerge w:val="restart"/>
                  <w:vAlign w:val="center"/>
                </w:tcPr>
                <w:p w14:paraId="2CCF08E7">
                  <w:pPr>
                    <w:pStyle w:val="83"/>
                    <w:rPr>
                      <w:rFonts w:hint="default"/>
                    </w:rPr>
                  </w:pPr>
                  <w:r>
                    <w:t>预测点位</w:t>
                  </w:r>
                </w:p>
              </w:tc>
              <w:tc>
                <w:tcPr>
                  <w:tcW w:w="2089" w:type="pct"/>
                  <w:gridSpan w:val="3"/>
                  <w:vAlign w:val="center"/>
                </w:tcPr>
                <w:p w14:paraId="1D95478F">
                  <w:pPr>
                    <w:pStyle w:val="83"/>
                    <w:rPr>
                      <w:rFonts w:hint="default"/>
                    </w:rPr>
                  </w:pPr>
                  <w:r>
                    <w:t>昼间噪声</w:t>
                  </w:r>
                </w:p>
              </w:tc>
              <w:tc>
                <w:tcPr>
                  <w:tcW w:w="2199" w:type="pct"/>
                  <w:gridSpan w:val="3"/>
                  <w:vAlign w:val="center"/>
                </w:tcPr>
                <w:p w14:paraId="02E6F0ED">
                  <w:pPr>
                    <w:pStyle w:val="83"/>
                    <w:rPr>
                      <w:rFonts w:hint="default"/>
                    </w:rPr>
                  </w:pPr>
                  <w:r>
                    <w:t>夜间噪声</w:t>
                  </w:r>
                </w:p>
              </w:tc>
            </w:tr>
            <w:tr w14:paraId="10684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vMerge w:val="continue"/>
                  <w:vAlign w:val="center"/>
                </w:tcPr>
                <w:p w14:paraId="788478E5">
                  <w:pPr>
                    <w:pStyle w:val="83"/>
                    <w:rPr>
                      <w:rFonts w:hint="default"/>
                    </w:rPr>
                  </w:pPr>
                </w:p>
              </w:tc>
              <w:tc>
                <w:tcPr>
                  <w:tcW w:w="784" w:type="pct"/>
                  <w:vAlign w:val="center"/>
                </w:tcPr>
                <w:p w14:paraId="0D1EE4E7">
                  <w:pPr>
                    <w:pStyle w:val="83"/>
                    <w:rPr>
                      <w:rFonts w:hint="default"/>
                    </w:rPr>
                  </w:pPr>
                  <w:r>
                    <w:t>现有工程厂界背景值</w:t>
                  </w:r>
                </w:p>
                <w:p w14:paraId="75402132">
                  <w:pPr>
                    <w:pStyle w:val="83"/>
                    <w:rPr>
                      <w:rFonts w:hint="default"/>
                    </w:rPr>
                  </w:pPr>
                  <w:r>
                    <w:t>dB(A)</w:t>
                  </w:r>
                </w:p>
              </w:tc>
              <w:tc>
                <w:tcPr>
                  <w:tcW w:w="780" w:type="pct"/>
                  <w:vAlign w:val="center"/>
                </w:tcPr>
                <w:p w14:paraId="38466C9B">
                  <w:pPr>
                    <w:pStyle w:val="83"/>
                    <w:rPr>
                      <w:rFonts w:hint="default"/>
                    </w:rPr>
                  </w:pPr>
                  <w:r>
                    <w:t>扩建工程噪声贡献值</w:t>
                  </w:r>
                </w:p>
                <w:p w14:paraId="00C15074">
                  <w:pPr>
                    <w:pStyle w:val="83"/>
                    <w:rPr>
                      <w:rFonts w:hint="default"/>
                    </w:rPr>
                  </w:pPr>
                  <w:r>
                    <w:t>dB(A)</w:t>
                  </w:r>
                </w:p>
              </w:tc>
              <w:tc>
                <w:tcPr>
                  <w:tcW w:w="525" w:type="pct"/>
                  <w:vAlign w:val="center"/>
                </w:tcPr>
                <w:p w14:paraId="133812F6">
                  <w:pPr>
                    <w:pStyle w:val="83"/>
                    <w:rPr>
                      <w:rFonts w:hint="default"/>
                    </w:rPr>
                  </w:pPr>
                  <w:r>
                    <w:t>叠加值</w:t>
                  </w:r>
                </w:p>
                <w:p w14:paraId="693C3045">
                  <w:pPr>
                    <w:pStyle w:val="83"/>
                    <w:rPr>
                      <w:rFonts w:hint="default"/>
                    </w:rPr>
                  </w:pPr>
                  <w:r>
                    <w:t>dB(A)</w:t>
                  </w:r>
                </w:p>
              </w:tc>
              <w:tc>
                <w:tcPr>
                  <w:tcW w:w="868" w:type="pct"/>
                  <w:vAlign w:val="center"/>
                </w:tcPr>
                <w:p w14:paraId="4514C8A8">
                  <w:pPr>
                    <w:pStyle w:val="83"/>
                    <w:rPr>
                      <w:rFonts w:hint="default"/>
                    </w:rPr>
                  </w:pPr>
                  <w:r>
                    <w:t>现有工程厂界背景值</w:t>
                  </w:r>
                </w:p>
                <w:p w14:paraId="4962A14F">
                  <w:pPr>
                    <w:pStyle w:val="83"/>
                    <w:rPr>
                      <w:rFonts w:hint="default"/>
                    </w:rPr>
                  </w:pPr>
                  <w:r>
                    <w:t>dB(A)</w:t>
                  </w:r>
                </w:p>
              </w:tc>
              <w:tc>
                <w:tcPr>
                  <w:tcW w:w="781" w:type="pct"/>
                  <w:vAlign w:val="center"/>
                </w:tcPr>
                <w:p w14:paraId="67D32A17">
                  <w:pPr>
                    <w:pStyle w:val="83"/>
                    <w:rPr>
                      <w:rFonts w:hint="default"/>
                    </w:rPr>
                  </w:pPr>
                  <w:r>
                    <w:t>扩建工程噪声贡献值</w:t>
                  </w:r>
                </w:p>
                <w:p w14:paraId="2B029EC1">
                  <w:pPr>
                    <w:pStyle w:val="83"/>
                    <w:rPr>
                      <w:rFonts w:hint="default"/>
                    </w:rPr>
                  </w:pPr>
                  <w:r>
                    <w:t>dB(A)</w:t>
                  </w:r>
                </w:p>
              </w:tc>
              <w:tc>
                <w:tcPr>
                  <w:tcW w:w="550" w:type="pct"/>
                  <w:vAlign w:val="center"/>
                </w:tcPr>
                <w:p w14:paraId="1E912942">
                  <w:pPr>
                    <w:pStyle w:val="83"/>
                    <w:rPr>
                      <w:rFonts w:hint="default"/>
                    </w:rPr>
                  </w:pPr>
                  <w:r>
                    <w:t>叠加值</w:t>
                  </w:r>
                </w:p>
                <w:p w14:paraId="41E885F8">
                  <w:pPr>
                    <w:pStyle w:val="83"/>
                    <w:rPr>
                      <w:rFonts w:hint="default"/>
                    </w:rPr>
                  </w:pPr>
                  <w:r>
                    <w:t>dB(A)</w:t>
                  </w:r>
                </w:p>
              </w:tc>
            </w:tr>
            <w:tr w14:paraId="37DAB9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vAlign w:val="center"/>
                </w:tcPr>
                <w:p w14:paraId="0CBA7012">
                  <w:pPr>
                    <w:pStyle w:val="83"/>
                    <w:rPr>
                      <w:rFonts w:hint="default"/>
                    </w:rPr>
                  </w:pPr>
                  <w:r>
                    <w:t>厂界东侧</w:t>
                  </w:r>
                </w:p>
              </w:tc>
              <w:tc>
                <w:tcPr>
                  <w:tcW w:w="784" w:type="pct"/>
                  <w:vAlign w:val="center"/>
                </w:tcPr>
                <w:p w14:paraId="676A139D">
                  <w:pPr>
                    <w:pStyle w:val="83"/>
                    <w:rPr>
                      <w:rFonts w:hint="default"/>
                    </w:rPr>
                  </w:pPr>
                  <w:r>
                    <w:t>63.4</w:t>
                  </w:r>
                </w:p>
              </w:tc>
              <w:tc>
                <w:tcPr>
                  <w:tcW w:w="1274" w:type="dxa"/>
                  <w:vAlign w:val="center"/>
                </w:tcPr>
                <w:p w14:paraId="6B7F6D43">
                  <w:pPr>
                    <w:pStyle w:val="83"/>
                    <w:rPr>
                      <w:rFonts w:hint="default"/>
                    </w:rPr>
                  </w:pPr>
                  <w:r>
                    <w:t>27.5</w:t>
                  </w:r>
                </w:p>
              </w:tc>
              <w:tc>
                <w:tcPr>
                  <w:tcW w:w="858" w:type="dxa"/>
                  <w:vAlign w:val="center"/>
                </w:tcPr>
                <w:p w14:paraId="128F8D84">
                  <w:pPr>
                    <w:pStyle w:val="83"/>
                    <w:rPr>
                      <w:rFonts w:hint="default"/>
                    </w:rPr>
                  </w:pPr>
                  <w:r>
                    <w:t>63.4</w:t>
                  </w:r>
                </w:p>
              </w:tc>
              <w:tc>
                <w:tcPr>
                  <w:tcW w:w="868" w:type="pct"/>
                  <w:vAlign w:val="center"/>
                </w:tcPr>
                <w:p w14:paraId="2834C344">
                  <w:pPr>
                    <w:pStyle w:val="83"/>
                    <w:rPr>
                      <w:rFonts w:hint="default"/>
                    </w:rPr>
                  </w:pPr>
                  <w:r>
                    <w:t>51.7</w:t>
                  </w:r>
                </w:p>
              </w:tc>
              <w:tc>
                <w:tcPr>
                  <w:tcW w:w="1276" w:type="dxa"/>
                  <w:vAlign w:val="center"/>
                </w:tcPr>
                <w:p w14:paraId="0B33D808">
                  <w:pPr>
                    <w:pStyle w:val="83"/>
                    <w:rPr>
                      <w:rFonts w:hint="default"/>
                    </w:rPr>
                  </w:pPr>
                  <w:r>
                    <w:t>27.5</w:t>
                  </w:r>
                </w:p>
              </w:tc>
              <w:tc>
                <w:tcPr>
                  <w:tcW w:w="899" w:type="dxa"/>
                  <w:vAlign w:val="center"/>
                </w:tcPr>
                <w:p w14:paraId="5EF35397">
                  <w:pPr>
                    <w:pStyle w:val="83"/>
                    <w:rPr>
                      <w:rFonts w:hint="default"/>
                    </w:rPr>
                  </w:pPr>
                  <w:r>
                    <w:t>51.7</w:t>
                  </w:r>
                </w:p>
              </w:tc>
            </w:tr>
            <w:tr w14:paraId="478192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vAlign w:val="center"/>
                </w:tcPr>
                <w:p w14:paraId="5D1A7190">
                  <w:pPr>
                    <w:pStyle w:val="83"/>
                    <w:rPr>
                      <w:rFonts w:hint="default"/>
                    </w:rPr>
                  </w:pPr>
                  <w:r>
                    <w:t>厂界南侧</w:t>
                  </w:r>
                </w:p>
              </w:tc>
              <w:tc>
                <w:tcPr>
                  <w:tcW w:w="784" w:type="pct"/>
                  <w:vAlign w:val="center"/>
                </w:tcPr>
                <w:p w14:paraId="5A838651">
                  <w:pPr>
                    <w:pStyle w:val="83"/>
                    <w:rPr>
                      <w:rFonts w:hint="default"/>
                    </w:rPr>
                  </w:pPr>
                  <w:r>
                    <w:t>59.4</w:t>
                  </w:r>
                </w:p>
              </w:tc>
              <w:tc>
                <w:tcPr>
                  <w:tcW w:w="1274" w:type="dxa"/>
                  <w:vAlign w:val="center"/>
                </w:tcPr>
                <w:p w14:paraId="02C4A593">
                  <w:pPr>
                    <w:pStyle w:val="83"/>
                    <w:rPr>
                      <w:rFonts w:hint="default"/>
                    </w:rPr>
                  </w:pPr>
                  <w:r>
                    <w:t>10.1</w:t>
                  </w:r>
                </w:p>
              </w:tc>
              <w:tc>
                <w:tcPr>
                  <w:tcW w:w="858" w:type="dxa"/>
                  <w:vAlign w:val="center"/>
                </w:tcPr>
                <w:p w14:paraId="4D10AB34">
                  <w:pPr>
                    <w:pStyle w:val="83"/>
                    <w:rPr>
                      <w:rFonts w:hint="default"/>
                    </w:rPr>
                  </w:pPr>
                  <w:r>
                    <w:t>59.4</w:t>
                  </w:r>
                </w:p>
              </w:tc>
              <w:tc>
                <w:tcPr>
                  <w:tcW w:w="868" w:type="pct"/>
                  <w:vAlign w:val="center"/>
                </w:tcPr>
                <w:p w14:paraId="1384C994">
                  <w:pPr>
                    <w:pStyle w:val="83"/>
                    <w:rPr>
                      <w:rFonts w:hint="default"/>
                    </w:rPr>
                  </w:pPr>
                  <w:r>
                    <w:t>48.6</w:t>
                  </w:r>
                </w:p>
              </w:tc>
              <w:tc>
                <w:tcPr>
                  <w:tcW w:w="1276" w:type="dxa"/>
                  <w:vAlign w:val="center"/>
                </w:tcPr>
                <w:p w14:paraId="6835FB85">
                  <w:pPr>
                    <w:pStyle w:val="83"/>
                    <w:rPr>
                      <w:rFonts w:hint="default"/>
                    </w:rPr>
                  </w:pPr>
                  <w:r>
                    <w:t>10.1</w:t>
                  </w:r>
                </w:p>
              </w:tc>
              <w:tc>
                <w:tcPr>
                  <w:tcW w:w="899" w:type="dxa"/>
                  <w:vAlign w:val="center"/>
                </w:tcPr>
                <w:p w14:paraId="79FF0577">
                  <w:pPr>
                    <w:pStyle w:val="83"/>
                    <w:rPr>
                      <w:rFonts w:hint="default"/>
                    </w:rPr>
                  </w:pPr>
                  <w:r>
                    <w:t>48.6</w:t>
                  </w:r>
                </w:p>
              </w:tc>
            </w:tr>
            <w:tr w14:paraId="19C2D6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vAlign w:val="center"/>
                </w:tcPr>
                <w:p w14:paraId="50DE2479">
                  <w:pPr>
                    <w:pStyle w:val="83"/>
                    <w:rPr>
                      <w:rFonts w:hint="default"/>
                    </w:rPr>
                  </w:pPr>
                  <w:r>
                    <w:t>厂界西侧</w:t>
                  </w:r>
                </w:p>
              </w:tc>
              <w:tc>
                <w:tcPr>
                  <w:tcW w:w="784" w:type="pct"/>
                  <w:vAlign w:val="center"/>
                </w:tcPr>
                <w:p w14:paraId="752A05FA">
                  <w:pPr>
                    <w:pStyle w:val="83"/>
                    <w:rPr>
                      <w:rFonts w:hint="default"/>
                    </w:rPr>
                  </w:pPr>
                  <w:r>
                    <w:t>58.6</w:t>
                  </w:r>
                </w:p>
              </w:tc>
              <w:tc>
                <w:tcPr>
                  <w:tcW w:w="1274" w:type="dxa"/>
                  <w:vAlign w:val="center"/>
                </w:tcPr>
                <w:p w14:paraId="683447B9">
                  <w:pPr>
                    <w:pStyle w:val="83"/>
                    <w:rPr>
                      <w:rFonts w:hint="default"/>
                    </w:rPr>
                  </w:pPr>
                  <w:r>
                    <w:t>9.1</w:t>
                  </w:r>
                </w:p>
              </w:tc>
              <w:tc>
                <w:tcPr>
                  <w:tcW w:w="858" w:type="dxa"/>
                  <w:vAlign w:val="center"/>
                </w:tcPr>
                <w:p w14:paraId="38B06072">
                  <w:pPr>
                    <w:pStyle w:val="83"/>
                    <w:rPr>
                      <w:rFonts w:hint="default"/>
                    </w:rPr>
                  </w:pPr>
                  <w:r>
                    <w:t>58.6</w:t>
                  </w:r>
                </w:p>
              </w:tc>
              <w:tc>
                <w:tcPr>
                  <w:tcW w:w="868" w:type="pct"/>
                  <w:vAlign w:val="center"/>
                </w:tcPr>
                <w:p w14:paraId="6170BFE4">
                  <w:pPr>
                    <w:pStyle w:val="83"/>
                    <w:rPr>
                      <w:rFonts w:hint="default"/>
                    </w:rPr>
                  </w:pPr>
                  <w:r>
                    <w:t>49.3</w:t>
                  </w:r>
                </w:p>
              </w:tc>
              <w:tc>
                <w:tcPr>
                  <w:tcW w:w="1276" w:type="dxa"/>
                  <w:vAlign w:val="center"/>
                </w:tcPr>
                <w:p w14:paraId="3D7E7CCC">
                  <w:pPr>
                    <w:pStyle w:val="83"/>
                    <w:rPr>
                      <w:rFonts w:hint="default"/>
                    </w:rPr>
                  </w:pPr>
                  <w:r>
                    <w:t>9.1</w:t>
                  </w:r>
                </w:p>
              </w:tc>
              <w:tc>
                <w:tcPr>
                  <w:tcW w:w="899" w:type="dxa"/>
                  <w:vAlign w:val="center"/>
                </w:tcPr>
                <w:p w14:paraId="38867853">
                  <w:pPr>
                    <w:pStyle w:val="83"/>
                    <w:rPr>
                      <w:rFonts w:hint="default"/>
                    </w:rPr>
                  </w:pPr>
                  <w:r>
                    <w:t>49.3</w:t>
                  </w:r>
                </w:p>
              </w:tc>
            </w:tr>
            <w:tr w14:paraId="0AFB2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vAlign w:val="center"/>
                </w:tcPr>
                <w:p w14:paraId="62A4331E">
                  <w:pPr>
                    <w:pStyle w:val="83"/>
                    <w:rPr>
                      <w:rFonts w:hint="default"/>
                    </w:rPr>
                  </w:pPr>
                  <w:r>
                    <w:t>厂界北侧</w:t>
                  </w:r>
                </w:p>
              </w:tc>
              <w:tc>
                <w:tcPr>
                  <w:tcW w:w="784" w:type="pct"/>
                  <w:vAlign w:val="center"/>
                </w:tcPr>
                <w:p w14:paraId="5049FC5C">
                  <w:pPr>
                    <w:pStyle w:val="83"/>
                    <w:rPr>
                      <w:rFonts w:hint="default"/>
                    </w:rPr>
                  </w:pPr>
                  <w:r>
                    <w:t>61.9</w:t>
                  </w:r>
                </w:p>
              </w:tc>
              <w:tc>
                <w:tcPr>
                  <w:tcW w:w="1274" w:type="dxa"/>
                  <w:vAlign w:val="center"/>
                </w:tcPr>
                <w:p w14:paraId="416335EE">
                  <w:pPr>
                    <w:pStyle w:val="83"/>
                    <w:rPr>
                      <w:rFonts w:hint="default"/>
                    </w:rPr>
                  </w:pPr>
                  <w:r>
                    <w:t>16.9</w:t>
                  </w:r>
                </w:p>
              </w:tc>
              <w:tc>
                <w:tcPr>
                  <w:tcW w:w="858" w:type="dxa"/>
                  <w:vAlign w:val="center"/>
                </w:tcPr>
                <w:p w14:paraId="1618C381">
                  <w:pPr>
                    <w:pStyle w:val="83"/>
                    <w:rPr>
                      <w:rFonts w:hint="default"/>
                    </w:rPr>
                  </w:pPr>
                  <w:r>
                    <w:t>61.9</w:t>
                  </w:r>
                </w:p>
              </w:tc>
              <w:tc>
                <w:tcPr>
                  <w:tcW w:w="868" w:type="pct"/>
                  <w:vAlign w:val="center"/>
                </w:tcPr>
                <w:p w14:paraId="4F10EFBF">
                  <w:pPr>
                    <w:pStyle w:val="83"/>
                    <w:rPr>
                      <w:rFonts w:hint="default"/>
                    </w:rPr>
                  </w:pPr>
                  <w:r>
                    <w:t>49.8</w:t>
                  </w:r>
                </w:p>
              </w:tc>
              <w:tc>
                <w:tcPr>
                  <w:tcW w:w="1276" w:type="dxa"/>
                  <w:vAlign w:val="center"/>
                </w:tcPr>
                <w:p w14:paraId="57CA61F4">
                  <w:pPr>
                    <w:pStyle w:val="83"/>
                    <w:rPr>
                      <w:rFonts w:hint="default"/>
                    </w:rPr>
                  </w:pPr>
                  <w:r>
                    <w:t>16.9</w:t>
                  </w:r>
                </w:p>
              </w:tc>
              <w:tc>
                <w:tcPr>
                  <w:tcW w:w="899" w:type="dxa"/>
                  <w:vAlign w:val="center"/>
                </w:tcPr>
                <w:p w14:paraId="0A1CB93E">
                  <w:pPr>
                    <w:pStyle w:val="83"/>
                    <w:rPr>
                      <w:rFonts w:hint="default"/>
                    </w:rPr>
                  </w:pPr>
                  <w:r>
                    <w:t>49.8</w:t>
                  </w:r>
                </w:p>
              </w:tc>
            </w:tr>
            <w:tr w14:paraId="5C2746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2" w:type="pct"/>
                  <w:vAlign w:val="center"/>
                </w:tcPr>
                <w:p w14:paraId="60EEE389">
                  <w:pPr>
                    <w:pStyle w:val="83"/>
                    <w:rPr>
                      <w:rFonts w:hint="default"/>
                    </w:rPr>
                  </w:pPr>
                  <w:r>
                    <w:t>标准值</w:t>
                  </w:r>
                </w:p>
              </w:tc>
              <w:tc>
                <w:tcPr>
                  <w:tcW w:w="2089" w:type="pct"/>
                  <w:gridSpan w:val="3"/>
                  <w:vAlign w:val="center"/>
                </w:tcPr>
                <w:p w14:paraId="479BD90F">
                  <w:pPr>
                    <w:pStyle w:val="83"/>
                    <w:rPr>
                      <w:rFonts w:hint="default"/>
                    </w:rPr>
                  </w:pPr>
                  <w:r>
                    <w:t>65</w:t>
                  </w:r>
                </w:p>
              </w:tc>
              <w:tc>
                <w:tcPr>
                  <w:tcW w:w="2199" w:type="pct"/>
                  <w:gridSpan w:val="3"/>
                  <w:vAlign w:val="center"/>
                </w:tcPr>
                <w:p w14:paraId="40E2E991">
                  <w:pPr>
                    <w:pStyle w:val="83"/>
                    <w:rPr>
                      <w:rFonts w:hint="default"/>
                    </w:rPr>
                  </w:pPr>
                  <w:r>
                    <w:t>55</w:t>
                  </w:r>
                </w:p>
              </w:tc>
            </w:tr>
            <w:tr w14:paraId="73FBF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7"/>
                  <w:vAlign w:val="center"/>
                </w:tcPr>
                <w:p w14:paraId="69D037DD">
                  <w:pPr>
                    <w:pStyle w:val="83"/>
                    <w:jc w:val="left"/>
                    <w:rPr>
                      <w:rFonts w:hint="default"/>
                      <w:sz w:val="18"/>
                      <w:szCs w:val="18"/>
                    </w:rPr>
                  </w:pPr>
                  <w:r>
                    <w:rPr>
                      <w:sz w:val="18"/>
                      <w:szCs w:val="18"/>
                    </w:rPr>
                    <w:t>备注：现有工程厂界噪声背景值来自企业2025年自行检测报告（JWJC251101712）中厂界噪声检测结果，检测日期2025年11月19日。</w:t>
                  </w:r>
                </w:p>
              </w:tc>
            </w:tr>
          </w:tbl>
          <w:p w14:paraId="24239EDE">
            <w:pPr>
              <w:ind w:firstLine="480"/>
            </w:pPr>
            <w:r>
              <w:rPr>
                <w:rFonts w:hint="eastAsia"/>
              </w:rPr>
              <w:t>由以上预测可知，在采取隔声、减震、合理布局等可行有效的噪声防治措施及衰减后项目建设对周围环境贡献值较小，项目昼夜间厂界噪声符合《工业企业厂界环境噪声排放标准》（GB12348-2008）表1的3类标准限值（昼间≤65dB(A)，夜间≤55dB(A)）。企业厂界周边50m范围内无居民点等敏感目标，项目建设不会改变区域声环境质量现状。</w:t>
            </w:r>
          </w:p>
          <w:p w14:paraId="05927069">
            <w:pPr>
              <w:pStyle w:val="5"/>
            </w:pPr>
            <w:r>
              <w:rPr>
                <w:rFonts w:hint="eastAsia"/>
              </w:rPr>
              <w:t>4.2.3.3 运营期噪声防治措施</w:t>
            </w:r>
          </w:p>
          <w:p w14:paraId="5DEF23BD">
            <w:pPr>
              <w:ind w:firstLine="480"/>
            </w:pPr>
            <w:r>
              <w:rPr>
                <w:rFonts w:hint="eastAsia"/>
              </w:rPr>
              <w:t>为了减轻设备运行产生的噪声对周围环境的影响，建设方拟采取如下降噪措施：</w:t>
            </w:r>
          </w:p>
          <w:p w14:paraId="3A3B0152">
            <w:pPr>
              <w:ind w:firstLine="480"/>
            </w:pPr>
            <w:r>
              <w:rPr>
                <w:rFonts w:hint="eastAsia"/>
              </w:rPr>
              <w:t>1.项目选用噪声值相对较低设备，在设备安装时增设降噪减振设施，从源头上降低噪声源强。</w:t>
            </w:r>
          </w:p>
          <w:p w14:paraId="04AE83B4">
            <w:pPr>
              <w:ind w:firstLine="480"/>
            </w:pPr>
            <w:r>
              <w:rPr>
                <w:rFonts w:hint="eastAsia"/>
              </w:rPr>
              <w:t>2.项目生产设备纺丝卷绕机、造粒挤出机、单体抽吸循环系统等主要设备采取加装隔振垫、消声器等技术控制设备噪声，使生产设备符合工业企业设计噪声标准。将空压机、鼓风机、引风机等放置于厂房内，并密闭。</w:t>
            </w:r>
          </w:p>
          <w:p w14:paraId="35FF4CDC">
            <w:pPr>
              <w:ind w:firstLine="480"/>
            </w:pPr>
            <w:r>
              <w:rPr>
                <w:rFonts w:hint="eastAsia"/>
              </w:rPr>
              <w:t>3.加强设备管理和维护，在有关环保人员的统一管理下，定期检查、监测，发现噪声超标要及时治理并增加相关操作岗位工人的个体防护。</w:t>
            </w:r>
          </w:p>
          <w:p w14:paraId="1E345DCE">
            <w:pPr>
              <w:ind w:firstLine="480"/>
            </w:pPr>
            <w:r>
              <w:rPr>
                <w:rFonts w:hint="eastAsia"/>
              </w:rPr>
              <w:t>4.加强厂界四周及厂界内绿化，建议在厂区周围和进出厂道路以及厂区运输干道两侧，种植树木隔离带，降低噪声对环境的影响。</w:t>
            </w:r>
          </w:p>
          <w:p w14:paraId="59FF5F0F">
            <w:pPr>
              <w:ind w:firstLine="480"/>
            </w:pPr>
            <w:r>
              <w:rPr>
                <w:rFonts w:hint="eastAsia"/>
              </w:rPr>
              <w:t>5.车辆运输物料时，在靠近居民点等对声环境质量要求较高的敏感目标，应减小车速，禁止或尽量少鸣喇叭。</w:t>
            </w:r>
          </w:p>
          <w:p w14:paraId="34EE9745">
            <w:pPr>
              <w:ind w:firstLine="480"/>
            </w:pPr>
            <w:r>
              <w:rPr>
                <w:rFonts w:hint="eastAsia"/>
              </w:rPr>
              <w:t>6.在平面布局时，应尽量将噪声源设备集中布置在离厂界距离较远的位置，同时将声级高的设备安置在厂房内地面，避免露天或者高空安置，以降低噪声对厂界的影响。厂房设计时充分考虑墙体吸声效果，内侧墙面尽量采用吸声性能较好的材料，风机、空压机等高声级设备应安装消声器。</w:t>
            </w:r>
          </w:p>
          <w:p w14:paraId="402DFD38">
            <w:pPr>
              <w:ind w:firstLine="480"/>
            </w:pPr>
            <w:r>
              <w:rPr>
                <w:rFonts w:hint="eastAsia"/>
              </w:rPr>
              <w:t>通过上述降噪措施，有效降低设备噪声对厂界及敏感目标的影响程度，确保厂界噪声及敏感目标均达到相应的声环境功能区划要求，措施可行。</w:t>
            </w:r>
          </w:p>
          <w:p w14:paraId="3F582E4D">
            <w:pPr>
              <w:pStyle w:val="4"/>
              <w:spacing w:before="120" w:after="0" w:afterLines="0"/>
            </w:pPr>
            <w:r>
              <w:rPr>
                <w:rFonts w:hint="eastAsia"/>
              </w:rPr>
              <w:t>4.2.4 运营期固废核算及环保措施</w:t>
            </w:r>
          </w:p>
          <w:p w14:paraId="34F51B76">
            <w:pPr>
              <w:ind w:firstLine="480"/>
            </w:pPr>
            <w:r>
              <w:rPr>
                <w:rFonts w:hint="eastAsia"/>
              </w:rPr>
              <w:t>1.一般固体废物</w:t>
            </w:r>
          </w:p>
          <w:p w14:paraId="3A2B4F64">
            <w:pPr>
              <w:ind w:firstLine="480"/>
            </w:pPr>
            <w:r>
              <w:rPr>
                <w:rFonts w:hint="eastAsia"/>
              </w:rPr>
              <w:t>①废包装材料</w:t>
            </w:r>
          </w:p>
          <w:p w14:paraId="2A917AC8">
            <w:pPr>
              <w:ind w:firstLine="480"/>
            </w:pPr>
            <w:r>
              <w:rPr>
                <w:rFonts w:hint="eastAsia"/>
              </w:rPr>
              <w:t>原料拆包和成品包装时会产生打包袋、纸箱等废包装材料，产生量约为1t/a，属于一般固废，收集后暂存于企业现有废料仓库后续外售综合利用。同原料直接接触的包装物较为洁净，可由原料供应车间回收后直接用于包装同种类材料。</w:t>
            </w:r>
          </w:p>
          <w:p w14:paraId="2A202120">
            <w:pPr>
              <w:ind w:firstLine="480"/>
            </w:pPr>
            <w:r>
              <w:rPr>
                <w:rFonts w:hint="eastAsia"/>
              </w:rPr>
              <w:t>②不合格原料</w:t>
            </w:r>
          </w:p>
          <w:p w14:paraId="2DA393A1">
            <w:pPr>
              <w:ind w:firstLine="480"/>
            </w:pPr>
            <w:r>
              <w:rPr>
                <w:rFonts w:hint="eastAsia"/>
              </w:rPr>
              <w:t>从各纺丝车间和聚合车间收集的废丝、废切片经人工分拣后会产生少量不符合投料要求的废料，产生量约为5t/a，收集后暂存于企业现有废料仓库后续外售综合利用。</w:t>
            </w:r>
          </w:p>
          <w:p w14:paraId="77635A81">
            <w:pPr>
              <w:ind w:firstLine="480"/>
            </w:pPr>
            <w:r>
              <w:rPr>
                <w:rFonts w:hint="eastAsia"/>
              </w:rPr>
              <w:t>③废弃边角料</w:t>
            </w:r>
          </w:p>
          <w:p w14:paraId="399410F5">
            <w:pPr>
              <w:ind w:firstLine="480"/>
            </w:pPr>
            <w:r>
              <w:rPr>
                <w:rFonts w:hint="eastAsia"/>
              </w:rPr>
              <w:t>研发、试制过程产生少量废弃边角料，产生量约为0.5t/a，收集后暂存于厂区南侧现有2#C废料仓库，后续外售综合利用。</w:t>
            </w:r>
          </w:p>
          <w:p w14:paraId="005B57DB">
            <w:pPr>
              <w:ind w:firstLine="480"/>
            </w:pPr>
            <w:r>
              <w:rPr>
                <w:rFonts w:hint="eastAsia"/>
              </w:rPr>
              <w:t>④废离子交换树脂</w:t>
            </w:r>
          </w:p>
          <w:p w14:paraId="4B461FA9">
            <w:pPr>
              <w:ind w:firstLine="480"/>
            </w:pPr>
            <w:r>
              <w:rPr>
                <w:rFonts w:hint="eastAsia"/>
              </w:rPr>
              <w:t>实验室试剂调配、纺丝油剂调配等工序需使用纯水。纯水制备设备采用RO膜工艺+超纯化柱深度处理（离子交换），定期替换滤材以保证纯水制备效果，废离子交换树脂产生量为0.5t/3a，暂存于厂区南侧现有2#C废料仓库，后续外售综合利用。</w:t>
            </w:r>
          </w:p>
          <w:p w14:paraId="5C396B97">
            <w:pPr>
              <w:ind w:firstLine="480"/>
            </w:pPr>
            <w:r>
              <w:rPr>
                <w:rFonts w:hint="eastAsia"/>
              </w:rPr>
              <w:t>⑤废RO膜</w:t>
            </w:r>
          </w:p>
          <w:p w14:paraId="21E155E0">
            <w:pPr>
              <w:ind w:firstLine="480"/>
            </w:pPr>
            <w:r>
              <w:rPr>
                <w:rFonts w:hint="eastAsia"/>
              </w:rPr>
              <w:t>实验室试剂调配、纺丝油剂调配等工序需使用纯水。纯水制备设备采用RO膜工艺+超纯化柱深度处理（离子交换），定期替换滤材以保证纯水制备效果，废RO膜产生量为0.5t/3a，暂存于厂区南侧现有2#C废料仓库，后续外售综合利用。</w:t>
            </w:r>
          </w:p>
          <w:p w14:paraId="5CA839EE">
            <w:pPr>
              <w:ind w:firstLine="480"/>
            </w:pPr>
            <w:r>
              <w:rPr>
                <w:rFonts w:hint="eastAsia"/>
              </w:rPr>
              <w:t>⑥污水处理站污泥</w:t>
            </w:r>
          </w:p>
          <w:p w14:paraId="3CC34B35">
            <w:pPr>
              <w:ind w:firstLine="480"/>
            </w:pPr>
            <w:r>
              <w:rPr>
                <w:rFonts w:hint="eastAsia"/>
              </w:rPr>
              <w:t>根据《福建永荣锦江股份有限公司污水处理站污泥危险特性鉴别报告》（2025年1月），厂区污水处理站现有产生的污泥不属于危险废物，按照一般固体废物进行管理。本次扩建项目生产工艺、原辅材料与企业现有纺丝工程、再生工程相同，产生的生产废水成分也相同，因此污水处理站处理本项目废水产生的污泥也属于一般固体废物，压滤后外售综合利用。本项目污泥产生量约为10t/a。</w:t>
            </w:r>
          </w:p>
          <w:p w14:paraId="2B2911BD">
            <w:pPr>
              <w:ind w:firstLine="480"/>
            </w:pPr>
            <w:r>
              <w:rPr>
                <w:rFonts w:hint="eastAsia"/>
              </w:rPr>
              <w:t>2.生活垃圾</w:t>
            </w:r>
          </w:p>
          <w:p w14:paraId="619A3F33">
            <w:pPr>
              <w:ind w:firstLine="480"/>
            </w:pPr>
            <w:r>
              <w:rPr>
                <w:rFonts w:hint="eastAsia"/>
              </w:rPr>
              <w:t>项目新增职工定员92人，其中住厂职工36人，不住厂职工56人，年工作日按365天计。依照我国生活污染物排放系数，取住厂职工生活垃圾排放系数按1.5kg/人·d计算，不住厂职工生活垃圾排放系数取0.5kg/人·d计算，则本项目生活垃圾量为29.93t/a。生活垃圾收集在厂区内垃圾收集点，定期由环卫部门清运。</w:t>
            </w:r>
          </w:p>
          <w:p w14:paraId="75776290">
            <w:pPr>
              <w:ind w:firstLine="480"/>
            </w:pPr>
            <w:r>
              <w:rPr>
                <w:rFonts w:hint="eastAsia"/>
              </w:rPr>
              <w:t>3.危险废物</w:t>
            </w:r>
          </w:p>
          <w:p w14:paraId="000D22C1">
            <w:pPr>
              <w:ind w:firstLine="480"/>
            </w:pPr>
            <w:r>
              <w:rPr>
                <w:rFonts w:hint="eastAsia"/>
              </w:rPr>
              <w:t>①废油剂</w:t>
            </w:r>
          </w:p>
          <w:p w14:paraId="12FB0415">
            <w:pPr>
              <w:ind w:firstLine="480"/>
            </w:pPr>
            <w:r>
              <w:rPr>
                <w:rFonts w:hint="eastAsia"/>
              </w:rPr>
              <w:t>静电吸附装置处理废气中油雾颗粒的时候会产生少量废纺丝油剂，废油剂产生量约为1.5t/a，对照《国家危险废物名录》（2025），废油剂属于危险废物（HW09 900-007-09）。废油剂由人工定期进行清掏收集后暂存在企业现有危废间，委托有资质单位进行处理。</w:t>
            </w:r>
          </w:p>
          <w:p w14:paraId="42D8556C">
            <w:pPr>
              <w:ind w:firstLine="480"/>
            </w:pPr>
            <w:r>
              <w:rPr>
                <w:rFonts w:hint="eastAsia"/>
              </w:rPr>
              <w:t>②实验废液</w:t>
            </w:r>
          </w:p>
          <w:p w14:paraId="0051F5C9">
            <w:pPr>
              <w:ind w:firstLine="480"/>
            </w:pPr>
            <w:r>
              <w:rPr>
                <w:rFonts w:hint="eastAsia"/>
              </w:rPr>
              <w:t>项目实验室日常检测、样品前处理完成后，实验器皿中试剂残液收集在废液桶中，产生量约1.5t/a，对照《国家危险废物名录》（2025），实验废液属于危险废物（HW49 900-047-49）。废液定期转移至企业危废间贮存，后续委托有资质单位处置。</w:t>
            </w:r>
          </w:p>
          <w:p w14:paraId="634ED059">
            <w:pPr>
              <w:ind w:firstLine="480"/>
            </w:pPr>
            <w:r>
              <w:rPr>
                <w:rFonts w:hint="eastAsia"/>
              </w:rPr>
              <w:t>③废试剂瓶</w:t>
            </w:r>
          </w:p>
          <w:p w14:paraId="619BC63D">
            <w:pPr>
              <w:ind w:firstLine="480"/>
            </w:pPr>
            <w:r>
              <w:rPr>
                <w:rFonts w:hint="eastAsia"/>
              </w:rPr>
              <w:t>实验室化学品废试剂瓶产生量约1t/a，对照《国家危险废物名录》（2025），实验废液属于危险废物（HW49 900-047-49）。废试剂瓶贮存在企业危废间，后续委托有资质单位处置。</w:t>
            </w:r>
          </w:p>
          <w:p w14:paraId="30110D91">
            <w:pPr>
              <w:ind w:firstLine="480"/>
            </w:pPr>
            <w:r>
              <w:rPr>
                <w:rFonts w:hint="eastAsia"/>
              </w:rPr>
              <w:t>④废活性炭</w:t>
            </w:r>
          </w:p>
          <w:p w14:paraId="194253BD">
            <w:pPr>
              <w:ind w:firstLine="480"/>
            </w:pPr>
            <w:r>
              <w:rPr>
                <w:rFonts w:hint="eastAsia"/>
              </w:rPr>
              <w:t>实验室产生的实验废气经通风橱收集后由1套烟气净化系统处理（水喷淋+活性炭吸附），为保证废气处理效率，需定期替换活性炭。实验室废气产生量较小，废活性炭产生量约1t/a，对照《国家危险废物名录》（2025）属于危险废物（HW49 900-039-49）。废活性炭贮存在企业危废间，后续委托有资质单位处置。</w:t>
            </w:r>
          </w:p>
          <w:p w14:paraId="209327E5">
            <w:pPr>
              <w:ind w:firstLine="480"/>
            </w:pPr>
            <w:r>
              <w:rPr>
                <w:rFonts w:hint="eastAsia"/>
              </w:rPr>
              <w:t>项目固废产生量及防治措施情况见表4.2-12。</w:t>
            </w:r>
          </w:p>
          <w:p w14:paraId="486E3270">
            <w:pPr>
              <w:pStyle w:val="14"/>
              <w:adjustRightInd w:val="0"/>
              <w:snapToGrid w:val="0"/>
              <w:spacing w:before="0" w:beforeAutospacing="0" w:after="0" w:afterAutospacing="0"/>
              <w:ind w:firstLine="602"/>
              <w:rPr>
                <w:rFonts w:ascii="Times New Roman" w:hAnsi="Times New Roman"/>
                <w:b/>
                <w:snapToGrid w:val="0"/>
                <w:sz w:val="30"/>
                <w:szCs w:val="30"/>
              </w:rPr>
            </w:pPr>
          </w:p>
        </w:tc>
      </w:tr>
    </w:tbl>
    <w:p w14:paraId="654B8717">
      <w:pPr>
        <w:ind w:firstLine="480"/>
        <w:rPr>
          <w:snapToGrid w:val="0"/>
        </w:rPr>
      </w:pPr>
    </w:p>
    <w:p w14:paraId="1D8A5972">
      <w:pPr>
        <w:pStyle w:val="14"/>
        <w:ind w:firstLine="600"/>
        <w:jc w:val="center"/>
        <w:outlineLvl w:val="0"/>
        <w:rPr>
          <w:rFonts w:hint="eastAsia" w:ascii="黑体" w:hAnsi="黑体" w:eastAsia="黑体"/>
          <w:snapToGrid w:val="0"/>
          <w:sz w:val="30"/>
          <w:szCs w:val="30"/>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57" w:type="dxa"/>
          <w:right w:w="108" w:type="dxa"/>
        </w:tblCellMar>
      </w:tblPr>
      <w:tblGrid>
        <w:gridCol w:w="674"/>
        <w:gridCol w:w="12978"/>
      </w:tblGrid>
      <w:tr w14:paraId="380A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7" w:type="pct"/>
            <w:vAlign w:val="center"/>
          </w:tcPr>
          <w:p w14:paraId="5F9626F4">
            <w:pPr>
              <w:pStyle w:val="14"/>
              <w:spacing w:before="0" w:beforeAutospacing="0" w:after="0" w:afterAutospacing="0"/>
              <w:ind w:firstLine="0" w:firstLineChars="0"/>
              <w:jc w:val="center"/>
              <w:outlineLvl w:val="0"/>
              <w:rPr>
                <w:rFonts w:ascii="Times New Roman" w:hAnsi="Times New Roman"/>
                <w:snapToGrid w:val="0"/>
                <w:sz w:val="30"/>
                <w:szCs w:val="30"/>
              </w:rPr>
            </w:pPr>
            <w:r>
              <w:rPr>
                <w:rFonts w:hint="eastAsia" w:ascii="Times New Roman" w:hAnsi="Times New Roman"/>
                <w:snapToGrid w:val="0"/>
                <w:sz w:val="21"/>
                <w:szCs w:val="30"/>
              </w:rPr>
              <w:t>运营期环境影响和保护措施</w:t>
            </w:r>
          </w:p>
        </w:tc>
        <w:tc>
          <w:tcPr>
            <w:tcW w:w="4753" w:type="pct"/>
          </w:tcPr>
          <w:p w14:paraId="1E6155DB">
            <w:pPr>
              <w:pStyle w:val="13"/>
            </w:pPr>
            <w:r>
              <w:rPr>
                <w:rFonts w:hint="eastAsia"/>
              </w:rPr>
              <w:t>表4.2-12  固体污染源源强核算结果及相关参数一览表</w:t>
            </w:r>
          </w:p>
          <w:tbl>
            <w:tblPr>
              <w:tblStyle w:val="1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437"/>
              <w:gridCol w:w="726"/>
              <w:gridCol w:w="1212"/>
              <w:gridCol w:w="583"/>
              <w:gridCol w:w="869"/>
              <w:gridCol w:w="1155"/>
              <w:gridCol w:w="1155"/>
              <w:gridCol w:w="1155"/>
              <w:gridCol w:w="864"/>
              <w:gridCol w:w="864"/>
              <w:gridCol w:w="1298"/>
              <w:gridCol w:w="578"/>
              <w:gridCol w:w="573"/>
              <w:gridCol w:w="1293"/>
            </w:tblGrid>
            <w:tr w14:paraId="0C0B4E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Align w:val="center"/>
                </w:tcPr>
                <w:p w14:paraId="172765AA">
                  <w:pPr>
                    <w:pStyle w:val="83"/>
                    <w:rPr>
                      <w:rFonts w:hint="default"/>
                      <w:sz w:val="18"/>
                      <w:szCs w:val="18"/>
                    </w:rPr>
                  </w:pPr>
                  <w:r>
                    <w:rPr>
                      <w:sz w:val="18"/>
                      <w:szCs w:val="18"/>
                    </w:rPr>
                    <w:t>固废类别</w:t>
                  </w:r>
                </w:p>
              </w:tc>
              <w:tc>
                <w:tcPr>
                  <w:tcW w:w="284" w:type="pct"/>
                  <w:vAlign w:val="center"/>
                </w:tcPr>
                <w:p w14:paraId="5D73D996">
                  <w:pPr>
                    <w:pStyle w:val="83"/>
                    <w:rPr>
                      <w:rFonts w:hint="default"/>
                      <w:sz w:val="18"/>
                      <w:szCs w:val="18"/>
                    </w:rPr>
                  </w:pPr>
                  <w:r>
                    <w:rPr>
                      <w:sz w:val="18"/>
                      <w:szCs w:val="18"/>
                    </w:rPr>
                    <w:t>名称</w:t>
                  </w:r>
                </w:p>
              </w:tc>
              <w:tc>
                <w:tcPr>
                  <w:tcW w:w="474" w:type="pct"/>
                  <w:vAlign w:val="center"/>
                </w:tcPr>
                <w:p w14:paraId="406F3D7D">
                  <w:pPr>
                    <w:pStyle w:val="83"/>
                    <w:rPr>
                      <w:rFonts w:hint="default"/>
                      <w:sz w:val="18"/>
                      <w:szCs w:val="18"/>
                    </w:rPr>
                  </w:pPr>
                  <w:r>
                    <w:rPr>
                      <w:sz w:val="18"/>
                      <w:szCs w:val="18"/>
                    </w:rPr>
                    <w:t>产生工序</w:t>
                  </w:r>
                </w:p>
              </w:tc>
              <w:tc>
                <w:tcPr>
                  <w:tcW w:w="228" w:type="pct"/>
                  <w:vAlign w:val="center"/>
                </w:tcPr>
                <w:p w14:paraId="0696B0C4">
                  <w:pPr>
                    <w:pStyle w:val="83"/>
                    <w:rPr>
                      <w:rFonts w:hint="default"/>
                      <w:sz w:val="18"/>
                      <w:szCs w:val="18"/>
                    </w:rPr>
                  </w:pPr>
                  <w:r>
                    <w:rPr>
                      <w:sz w:val="18"/>
                      <w:szCs w:val="18"/>
                    </w:rPr>
                    <w:t>形态</w:t>
                  </w:r>
                </w:p>
              </w:tc>
              <w:tc>
                <w:tcPr>
                  <w:tcW w:w="340" w:type="pct"/>
                  <w:vAlign w:val="center"/>
                </w:tcPr>
                <w:p w14:paraId="5E080633">
                  <w:pPr>
                    <w:pStyle w:val="83"/>
                    <w:rPr>
                      <w:rFonts w:hint="default"/>
                      <w:sz w:val="18"/>
                      <w:szCs w:val="18"/>
                    </w:rPr>
                  </w:pPr>
                  <w:r>
                    <w:rPr>
                      <w:sz w:val="18"/>
                      <w:szCs w:val="18"/>
                    </w:rPr>
                    <w:t>危险废物类别</w:t>
                  </w:r>
                </w:p>
              </w:tc>
              <w:tc>
                <w:tcPr>
                  <w:tcW w:w="452" w:type="pct"/>
                  <w:vAlign w:val="center"/>
                </w:tcPr>
                <w:p w14:paraId="74E2B8CD">
                  <w:pPr>
                    <w:pStyle w:val="83"/>
                    <w:rPr>
                      <w:rFonts w:hint="default"/>
                      <w:sz w:val="18"/>
                      <w:szCs w:val="18"/>
                    </w:rPr>
                  </w:pPr>
                  <w:r>
                    <w:rPr>
                      <w:sz w:val="18"/>
                      <w:szCs w:val="18"/>
                    </w:rPr>
                    <w:t>危险废物代码</w:t>
                  </w:r>
                </w:p>
              </w:tc>
              <w:tc>
                <w:tcPr>
                  <w:tcW w:w="452" w:type="pct"/>
                  <w:vAlign w:val="center"/>
                </w:tcPr>
                <w:p w14:paraId="38D88E5A">
                  <w:pPr>
                    <w:pStyle w:val="83"/>
                    <w:rPr>
                      <w:rFonts w:hint="default"/>
                      <w:sz w:val="18"/>
                      <w:szCs w:val="18"/>
                    </w:rPr>
                  </w:pPr>
                  <w:r>
                    <w:rPr>
                      <w:sz w:val="18"/>
                      <w:szCs w:val="18"/>
                    </w:rPr>
                    <w:t>主要成分</w:t>
                  </w:r>
                </w:p>
              </w:tc>
              <w:tc>
                <w:tcPr>
                  <w:tcW w:w="452" w:type="pct"/>
                  <w:vAlign w:val="center"/>
                </w:tcPr>
                <w:p w14:paraId="66D9F287">
                  <w:pPr>
                    <w:pStyle w:val="83"/>
                    <w:rPr>
                      <w:rFonts w:hint="default"/>
                      <w:sz w:val="18"/>
                      <w:szCs w:val="18"/>
                    </w:rPr>
                  </w:pPr>
                  <w:r>
                    <w:rPr>
                      <w:sz w:val="18"/>
                      <w:szCs w:val="18"/>
                    </w:rPr>
                    <w:t>产废周期</w:t>
                  </w:r>
                </w:p>
              </w:tc>
              <w:tc>
                <w:tcPr>
                  <w:tcW w:w="338" w:type="pct"/>
                  <w:vAlign w:val="center"/>
                </w:tcPr>
                <w:p w14:paraId="523A0B18">
                  <w:pPr>
                    <w:pStyle w:val="83"/>
                    <w:rPr>
                      <w:rFonts w:hint="default"/>
                      <w:sz w:val="18"/>
                      <w:szCs w:val="18"/>
                    </w:rPr>
                  </w:pPr>
                  <w:r>
                    <w:rPr>
                      <w:sz w:val="18"/>
                      <w:szCs w:val="18"/>
                    </w:rPr>
                    <w:t>环境危险特征</w:t>
                  </w:r>
                </w:p>
              </w:tc>
              <w:tc>
                <w:tcPr>
                  <w:tcW w:w="338" w:type="pct"/>
                  <w:vAlign w:val="center"/>
                </w:tcPr>
                <w:p w14:paraId="17C880B2">
                  <w:pPr>
                    <w:pStyle w:val="83"/>
                    <w:rPr>
                      <w:rFonts w:hint="default"/>
                      <w:sz w:val="18"/>
                      <w:szCs w:val="18"/>
                    </w:rPr>
                  </w:pPr>
                  <w:r>
                    <w:rPr>
                      <w:sz w:val="18"/>
                      <w:szCs w:val="18"/>
                    </w:rPr>
                    <w:t>产生量</w:t>
                  </w:r>
                </w:p>
                <w:p w14:paraId="01FDF280">
                  <w:pPr>
                    <w:pStyle w:val="83"/>
                    <w:rPr>
                      <w:rFonts w:hint="default"/>
                      <w:sz w:val="18"/>
                      <w:szCs w:val="18"/>
                    </w:rPr>
                  </w:pPr>
                  <w:r>
                    <w:rPr>
                      <w:sz w:val="18"/>
                      <w:szCs w:val="18"/>
                    </w:rPr>
                    <w:t>t/a</w:t>
                  </w:r>
                </w:p>
              </w:tc>
              <w:tc>
                <w:tcPr>
                  <w:tcW w:w="508" w:type="pct"/>
                  <w:vAlign w:val="center"/>
                </w:tcPr>
                <w:p w14:paraId="064CD712">
                  <w:pPr>
                    <w:pStyle w:val="83"/>
                    <w:rPr>
                      <w:rFonts w:hint="default"/>
                      <w:sz w:val="18"/>
                      <w:szCs w:val="18"/>
                    </w:rPr>
                  </w:pPr>
                  <w:r>
                    <w:rPr>
                      <w:sz w:val="18"/>
                      <w:szCs w:val="18"/>
                    </w:rPr>
                    <w:t>储存位置</w:t>
                  </w:r>
                </w:p>
              </w:tc>
              <w:tc>
                <w:tcPr>
                  <w:tcW w:w="226" w:type="pct"/>
                  <w:vAlign w:val="center"/>
                </w:tcPr>
                <w:p w14:paraId="4CE3745B">
                  <w:pPr>
                    <w:pStyle w:val="83"/>
                    <w:rPr>
                      <w:rFonts w:hint="default"/>
                      <w:sz w:val="18"/>
                      <w:szCs w:val="18"/>
                    </w:rPr>
                  </w:pPr>
                  <w:r>
                    <w:rPr>
                      <w:sz w:val="18"/>
                      <w:szCs w:val="18"/>
                    </w:rPr>
                    <w:t>储存方式</w:t>
                  </w:r>
                </w:p>
              </w:tc>
              <w:tc>
                <w:tcPr>
                  <w:tcW w:w="224" w:type="pct"/>
                  <w:vAlign w:val="center"/>
                </w:tcPr>
                <w:p w14:paraId="4CF394F9">
                  <w:pPr>
                    <w:pStyle w:val="83"/>
                    <w:rPr>
                      <w:rFonts w:hint="default"/>
                      <w:sz w:val="18"/>
                      <w:szCs w:val="18"/>
                    </w:rPr>
                  </w:pPr>
                  <w:r>
                    <w:rPr>
                      <w:sz w:val="18"/>
                      <w:szCs w:val="18"/>
                    </w:rPr>
                    <w:t>储存</w:t>
                  </w:r>
                </w:p>
                <w:p w14:paraId="37A701C7">
                  <w:pPr>
                    <w:pStyle w:val="83"/>
                    <w:rPr>
                      <w:rFonts w:hint="default"/>
                      <w:sz w:val="18"/>
                      <w:szCs w:val="18"/>
                    </w:rPr>
                  </w:pPr>
                  <w:r>
                    <w:rPr>
                      <w:sz w:val="18"/>
                      <w:szCs w:val="18"/>
                    </w:rPr>
                    <w:t>周期</w:t>
                  </w:r>
                </w:p>
              </w:tc>
              <w:tc>
                <w:tcPr>
                  <w:tcW w:w="506" w:type="pct"/>
                  <w:vAlign w:val="center"/>
                </w:tcPr>
                <w:p w14:paraId="1CFC09A9">
                  <w:pPr>
                    <w:pStyle w:val="83"/>
                    <w:rPr>
                      <w:rFonts w:hint="default"/>
                      <w:sz w:val="18"/>
                      <w:szCs w:val="18"/>
                    </w:rPr>
                  </w:pPr>
                  <w:r>
                    <w:rPr>
                      <w:sz w:val="18"/>
                      <w:szCs w:val="18"/>
                    </w:rPr>
                    <w:t>处置去向</w:t>
                  </w:r>
                </w:p>
              </w:tc>
            </w:tr>
            <w:tr w14:paraId="522965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restart"/>
                  <w:vAlign w:val="center"/>
                </w:tcPr>
                <w:p w14:paraId="28C0B7CE">
                  <w:pPr>
                    <w:pStyle w:val="83"/>
                    <w:rPr>
                      <w:rFonts w:hint="default"/>
                      <w:sz w:val="18"/>
                      <w:szCs w:val="18"/>
                    </w:rPr>
                  </w:pPr>
                  <w:r>
                    <w:rPr>
                      <w:sz w:val="18"/>
                      <w:szCs w:val="18"/>
                    </w:rPr>
                    <w:t>一般固废</w:t>
                  </w:r>
                </w:p>
              </w:tc>
              <w:tc>
                <w:tcPr>
                  <w:tcW w:w="284" w:type="pct"/>
                  <w:vAlign w:val="center"/>
                </w:tcPr>
                <w:p w14:paraId="04582AB0">
                  <w:pPr>
                    <w:pStyle w:val="83"/>
                    <w:rPr>
                      <w:rFonts w:hint="default"/>
                      <w:sz w:val="18"/>
                      <w:szCs w:val="18"/>
                    </w:rPr>
                  </w:pPr>
                  <w:r>
                    <w:rPr>
                      <w:sz w:val="18"/>
                      <w:szCs w:val="18"/>
                    </w:rPr>
                    <w:t>废包装材料</w:t>
                  </w:r>
                </w:p>
              </w:tc>
              <w:tc>
                <w:tcPr>
                  <w:tcW w:w="474" w:type="pct"/>
                  <w:vAlign w:val="center"/>
                </w:tcPr>
                <w:p w14:paraId="456A550A">
                  <w:pPr>
                    <w:pStyle w:val="83"/>
                    <w:rPr>
                      <w:rFonts w:hint="default"/>
                      <w:sz w:val="18"/>
                      <w:szCs w:val="18"/>
                    </w:rPr>
                  </w:pPr>
                  <w:r>
                    <w:rPr>
                      <w:sz w:val="18"/>
                      <w:szCs w:val="18"/>
                    </w:rPr>
                    <w:t>原料拆解/成品打包</w:t>
                  </w:r>
                </w:p>
              </w:tc>
              <w:tc>
                <w:tcPr>
                  <w:tcW w:w="228" w:type="pct"/>
                  <w:vAlign w:val="center"/>
                </w:tcPr>
                <w:p w14:paraId="1B4D35D4">
                  <w:pPr>
                    <w:pStyle w:val="83"/>
                    <w:rPr>
                      <w:rFonts w:hint="default"/>
                      <w:sz w:val="18"/>
                      <w:szCs w:val="18"/>
                    </w:rPr>
                  </w:pPr>
                  <w:r>
                    <w:rPr>
                      <w:sz w:val="18"/>
                      <w:szCs w:val="18"/>
                    </w:rPr>
                    <w:t>固</w:t>
                  </w:r>
                </w:p>
              </w:tc>
              <w:tc>
                <w:tcPr>
                  <w:tcW w:w="340" w:type="pct"/>
                  <w:vAlign w:val="center"/>
                </w:tcPr>
                <w:p w14:paraId="7C16CDA5">
                  <w:pPr>
                    <w:pStyle w:val="83"/>
                    <w:rPr>
                      <w:rFonts w:hint="default"/>
                      <w:sz w:val="18"/>
                      <w:szCs w:val="18"/>
                    </w:rPr>
                  </w:pPr>
                  <w:r>
                    <w:rPr>
                      <w:sz w:val="18"/>
                      <w:szCs w:val="18"/>
                    </w:rPr>
                    <w:t>/</w:t>
                  </w:r>
                </w:p>
              </w:tc>
              <w:tc>
                <w:tcPr>
                  <w:tcW w:w="452" w:type="pct"/>
                  <w:vAlign w:val="center"/>
                </w:tcPr>
                <w:p w14:paraId="11DC25A9">
                  <w:pPr>
                    <w:pStyle w:val="83"/>
                    <w:rPr>
                      <w:rFonts w:hint="default"/>
                      <w:sz w:val="18"/>
                      <w:szCs w:val="18"/>
                    </w:rPr>
                  </w:pPr>
                  <w:r>
                    <w:rPr>
                      <w:sz w:val="18"/>
                      <w:szCs w:val="18"/>
                    </w:rPr>
                    <w:t>/</w:t>
                  </w:r>
                </w:p>
              </w:tc>
              <w:tc>
                <w:tcPr>
                  <w:tcW w:w="452" w:type="pct"/>
                  <w:vAlign w:val="center"/>
                </w:tcPr>
                <w:p w14:paraId="459D7B78">
                  <w:pPr>
                    <w:pStyle w:val="83"/>
                    <w:rPr>
                      <w:rFonts w:hint="default"/>
                      <w:sz w:val="18"/>
                      <w:szCs w:val="18"/>
                    </w:rPr>
                  </w:pPr>
                  <w:r>
                    <w:rPr>
                      <w:sz w:val="18"/>
                      <w:szCs w:val="18"/>
                    </w:rPr>
                    <w:t>塑料、纸</w:t>
                  </w:r>
                </w:p>
              </w:tc>
              <w:tc>
                <w:tcPr>
                  <w:tcW w:w="452" w:type="pct"/>
                  <w:vAlign w:val="center"/>
                </w:tcPr>
                <w:p w14:paraId="4596717A">
                  <w:pPr>
                    <w:pStyle w:val="83"/>
                    <w:rPr>
                      <w:rFonts w:hint="default"/>
                      <w:sz w:val="18"/>
                      <w:szCs w:val="18"/>
                    </w:rPr>
                  </w:pPr>
                  <w:r>
                    <w:rPr>
                      <w:sz w:val="18"/>
                      <w:szCs w:val="18"/>
                    </w:rPr>
                    <w:t>/</w:t>
                  </w:r>
                </w:p>
              </w:tc>
              <w:tc>
                <w:tcPr>
                  <w:tcW w:w="338" w:type="pct"/>
                  <w:vAlign w:val="center"/>
                </w:tcPr>
                <w:p w14:paraId="378C28B7">
                  <w:pPr>
                    <w:pStyle w:val="83"/>
                    <w:rPr>
                      <w:rFonts w:hint="default"/>
                      <w:sz w:val="18"/>
                      <w:szCs w:val="18"/>
                    </w:rPr>
                  </w:pPr>
                  <w:r>
                    <w:rPr>
                      <w:sz w:val="18"/>
                      <w:szCs w:val="18"/>
                    </w:rPr>
                    <w:t>/</w:t>
                  </w:r>
                </w:p>
              </w:tc>
              <w:tc>
                <w:tcPr>
                  <w:tcW w:w="338" w:type="pct"/>
                  <w:vAlign w:val="center"/>
                </w:tcPr>
                <w:p w14:paraId="1702D4B1">
                  <w:pPr>
                    <w:pStyle w:val="83"/>
                    <w:rPr>
                      <w:rFonts w:hint="default"/>
                      <w:sz w:val="18"/>
                      <w:szCs w:val="18"/>
                    </w:rPr>
                  </w:pPr>
                  <w:r>
                    <w:rPr>
                      <w:sz w:val="18"/>
                      <w:szCs w:val="18"/>
                    </w:rPr>
                    <w:t>1</w:t>
                  </w:r>
                </w:p>
              </w:tc>
              <w:tc>
                <w:tcPr>
                  <w:tcW w:w="508" w:type="pct"/>
                  <w:vAlign w:val="center"/>
                </w:tcPr>
                <w:p w14:paraId="62A64677">
                  <w:pPr>
                    <w:pStyle w:val="83"/>
                    <w:rPr>
                      <w:rFonts w:hint="default"/>
                      <w:sz w:val="18"/>
                      <w:szCs w:val="18"/>
                    </w:rPr>
                  </w:pPr>
                  <w:r>
                    <w:rPr>
                      <w:sz w:val="18"/>
                      <w:szCs w:val="18"/>
                    </w:rPr>
                    <w:t>现有废料仓库</w:t>
                  </w:r>
                </w:p>
              </w:tc>
              <w:tc>
                <w:tcPr>
                  <w:tcW w:w="226" w:type="pct"/>
                  <w:vAlign w:val="center"/>
                </w:tcPr>
                <w:p w14:paraId="1FEA3DF7">
                  <w:pPr>
                    <w:pStyle w:val="83"/>
                    <w:rPr>
                      <w:rFonts w:hint="default"/>
                      <w:sz w:val="18"/>
                      <w:szCs w:val="18"/>
                    </w:rPr>
                  </w:pPr>
                  <w:r>
                    <w:rPr>
                      <w:sz w:val="18"/>
                      <w:szCs w:val="18"/>
                    </w:rPr>
                    <w:t>袋装</w:t>
                  </w:r>
                </w:p>
              </w:tc>
              <w:tc>
                <w:tcPr>
                  <w:tcW w:w="224" w:type="pct"/>
                  <w:vAlign w:val="center"/>
                </w:tcPr>
                <w:p w14:paraId="7857F46F">
                  <w:pPr>
                    <w:pStyle w:val="83"/>
                    <w:rPr>
                      <w:rFonts w:hint="default"/>
                      <w:sz w:val="18"/>
                      <w:szCs w:val="18"/>
                    </w:rPr>
                  </w:pPr>
                  <w:r>
                    <w:rPr>
                      <w:sz w:val="18"/>
                      <w:szCs w:val="18"/>
                    </w:rPr>
                    <w:t>1个月</w:t>
                  </w:r>
                </w:p>
              </w:tc>
              <w:tc>
                <w:tcPr>
                  <w:tcW w:w="506" w:type="pct"/>
                  <w:vAlign w:val="center"/>
                </w:tcPr>
                <w:p w14:paraId="61494002">
                  <w:pPr>
                    <w:pStyle w:val="83"/>
                    <w:rPr>
                      <w:rFonts w:hint="default"/>
                      <w:sz w:val="18"/>
                      <w:szCs w:val="18"/>
                    </w:rPr>
                  </w:pPr>
                  <w:r>
                    <w:rPr>
                      <w:sz w:val="18"/>
                      <w:szCs w:val="18"/>
                    </w:rPr>
                    <w:t>外售综合利用</w:t>
                  </w:r>
                </w:p>
              </w:tc>
            </w:tr>
            <w:tr w14:paraId="25894D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continue"/>
                  <w:vAlign w:val="center"/>
                </w:tcPr>
                <w:p w14:paraId="19399B63">
                  <w:pPr>
                    <w:pStyle w:val="83"/>
                    <w:rPr>
                      <w:rFonts w:hint="default"/>
                      <w:sz w:val="18"/>
                      <w:szCs w:val="18"/>
                    </w:rPr>
                  </w:pPr>
                </w:p>
              </w:tc>
              <w:tc>
                <w:tcPr>
                  <w:tcW w:w="284" w:type="pct"/>
                  <w:vAlign w:val="center"/>
                </w:tcPr>
                <w:p w14:paraId="520AD298">
                  <w:pPr>
                    <w:pStyle w:val="83"/>
                    <w:rPr>
                      <w:rFonts w:hint="default"/>
                      <w:sz w:val="18"/>
                      <w:szCs w:val="18"/>
                    </w:rPr>
                  </w:pPr>
                  <w:r>
                    <w:rPr>
                      <w:sz w:val="18"/>
                      <w:szCs w:val="18"/>
                    </w:rPr>
                    <w:t>不合格原料</w:t>
                  </w:r>
                </w:p>
              </w:tc>
              <w:tc>
                <w:tcPr>
                  <w:tcW w:w="474" w:type="pct"/>
                  <w:vAlign w:val="center"/>
                </w:tcPr>
                <w:p w14:paraId="043E02D0">
                  <w:pPr>
                    <w:pStyle w:val="83"/>
                    <w:rPr>
                      <w:rFonts w:hint="default"/>
                      <w:sz w:val="18"/>
                      <w:szCs w:val="18"/>
                    </w:rPr>
                  </w:pPr>
                  <w:r>
                    <w:rPr>
                      <w:sz w:val="18"/>
                      <w:szCs w:val="18"/>
                    </w:rPr>
                    <w:t>原料分拣</w:t>
                  </w:r>
                </w:p>
              </w:tc>
              <w:tc>
                <w:tcPr>
                  <w:tcW w:w="228" w:type="pct"/>
                  <w:vAlign w:val="center"/>
                </w:tcPr>
                <w:p w14:paraId="59FEA720">
                  <w:pPr>
                    <w:pStyle w:val="83"/>
                    <w:rPr>
                      <w:rFonts w:hint="default"/>
                      <w:sz w:val="18"/>
                      <w:szCs w:val="18"/>
                    </w:rPr>
                  </w:pPr>
                  <w:r>
                    <w:rPr>
                      <w:sz w:val="18"/>
                      <w:szCs w:val="18"/>
                    </w:rPr>
                    <w:t>固</w:t>
                  </w:r>
                </w:p>
              </w:tc>
              <w:tc>
                <w:tcPr>
                  <w:tcW w:w="340" w:type="pct"/>
                  <w:vAlign w:val="center"/>
                </w:tcPr>
                <w:p w14:paraId="195E4DFE">
                  <w:pPr>
                    <w:pStyle w:val="83"/>
                    <w:rPr>
                      <w:rFonts w:hint="default"/>
                      <w:sz w:val="18"/>
                      <w:szCs w:val="18"/>
                    </w:rPr>
                  </w:pPr>
                  <w:r>
                    <w:rPr>
                      <w:sz w:val="18"/>
                      <w:szCs w:val="18"/>
                    </w:rPr>
                    <w:t>/</w:t>
                  </w:r>
                </w:p>
              </w:tc>
              <w:tc>
                <w:tcPr>
                  <w:tcW w:w="452" w:type="pct"/>
                  <w:vAlign w:val="center"/>
                </w:tcPr>
                <w:p w14:paraId="51E2DB2B">
                  <w:pPr>
                    <w:pStyle w:val="83"/>
                    <w:rPr>
                      <w:rFonts w:hint="default"/>
                      <w:sz w:val="18"/>
                      <w:szCs w:val="18"/>
                    </w:rPr>
                  </w:pPr>
                  <w:r>
                    <w:rPr>
                      <w:sz w:val="18"/>
                      <w:szCs w:val="18"/>
                    </w:rPr>
                    <w:t>/</w:t>
                  </w:r>
                </w:p>
              </w:tc>
              <w:tc>
                <w:tcPr>
                  <w:tcW w:w="452" w:type="pct"/>
                  <w:vAlign w:val="center"/>
                </w:tcPr>
                <w:p w14:paraId="06FEEEEB">
                  <w:pPr>
                    <w:pStyle w:val="83"/>
                    <w:rPr>
                      <w:rFonts w:hint="default"/>
                      <w:sz w:val="18"/>
                      <w:szCs w:val="18"/>
                    </w:rPr>
                  </w:pPr>
                  <w:r>
                    <w:rPr>
                      <w:sz w:val="18"/>
                      <w:szCs w:val="18"/>
                    </w:rPr>
                    <w:t>废丝、废切片</w:t>
                  </w:r>
                </w:p>
              </w:tc>
              <w:tc>
                <w:tcPr>
                  <w:tcW w:w="452" w:type="pct"/>
                  <w:vAlign w:val="center"/>
                </w:tcPr>
                <w:p w14:paraId="7D206F3B">
                  <w:pPr>
                    <w:pStyle w:val="83"/>
                    <w:rPr>
                      <w:rFonts w:hint="default"/>
                      <w:sz w:val="18"/>
                      <w:szCs w:val="18"/>
                    </w:rPr>
                  </w:pPr>
                  <w:r>
                    <w:rPr>
                      <w:sz w:val="18"/>
                      <w:szCs w:val="18"/>
                    </w:rPr>
                    <w:t>/</w:t>
                  </w:r>
                </w:p>
              </w:tc>
              <w:tc>
                <w:tcPr>
                  <w:tcW w:w="338" w:type="pct"/>
                  <w:vAlign w:val="center"/>
                </w:tcPr>
                <w:p w14:paraId="60581DAC">
                  <w:pPr>
                    <w:pStyle w:val="83"/>
                    <w:rPr>
                      <w:rFonts w:hint="default"/>
                      <w:sz w:val="18"/>
                      <w:szCs w:val="18"/>
                    </w:rPr>
                  </w:pPr>
                  <w:r>
                    <w:rPr>
                      <w:sz w:val="18"/>
                      <w:szCs w:val="18"/>
                    </w:rPr>
                    <w:t>/</w:t>
                  </w:r>
                </w:p>
              </w:tc>
              <w:tc>
                <w:tcPr>
                  <w:tcW w:w="338" w:type="pct"/>
                  <w:vAlign w:val="center"/>
                </w:tcPr>
                <w:p w14:paraId="2F773769">
                  <w:pPr>
                    <w:pStyle w:val="83"/>
                    <w:rPr>
                      <w:rFonts w:hint="default"/>
                      <w:sz w:val="18"/>
                      <w:szCs w:val="18"/>
                    </w:rPr>
                  </w:pPr>
                  <w:r>
                    <w:rPr>
                      <w:sz w:val="18"/>
                      <w:szCs w:val="18"/>
                    </w:rPr>
                    <w:t>5</w:t>
                  </w:r>
                </w:p>
              </w:tc>
              <w:tc>
                <w:tcPr>
                  <w:tcW w:w="508" w:type="pct"/>
                  <w:vAlign w:val="center"/>
                </w:tcPr>
                <w:p w14:paraId="0B958E84">
                  <w:pPr>
                    <w:pStyle w:val="83"/>
                    <w:rPr>
                      <w:rFonts w:hint="default"/>
                      <w:sz w:val="18"/>
                      <w:szCs w:val="18"/>
                    </w:rPr>
                  </w:pPr>
                  <w:r>
                    <w:rPr>
                      <w:sz w:val="18"/>
                      <w:szCs w:val="18"/>
                    </w:rPr>
                    <w:t>现有废料仓库</w:t>
                  </w:r>
                </w:p>
              </w:tc>
              <w:tc>
                <w:tcPr>
                  <w:tcW w:w="226" w:type="pct"/>
                  <w:vAlign w:val="center"/>
                </w:tcPr>
                <w:p w14:paraId="0389097E">
                  <w:pPr>
                    <w:pStyle w:val="83"/>
                    <w:rPr>
                      <w:rFonts w:hint="default"/>
                      <w:sz w:val="18"/>
                      <w:szCs w:val="18"/>
                    </w:rPr>
                  </w:pPr>
                  <w:r>
                    <w:rPr>
                      <w:sz w:val="18"/>
                      <w:szCs w:val="18"/>
                    </w:rPr>
                    <w:t>袋装</w:t>
                  </w:r>
                </w:p>
              </w:tc>
              <w:tc>
                <w:tcPr>
                  <w:tcW w:w="224" w:type="pct"/>
                  <w:vAlign w:val="center"/>
                </w:tcPr>
                <w:p w14:paraId="3B3DC858">
                  <w:pPr>
                    <w:pStyle w:val="83"/>
                    <w:rPr>
                      <w:rFonts w:hint="default"/>
                      <w:sz w:val="18"/>
                      <w:szCs w:val="18"/>
                    </w:rPr>
                  </w:pPr>
                  <w:r>
                    <w:rPr>
                      <w:sz w:val="18"/>
                      <w:szCs w:val="18"/>
                    </w:rPr>
                    <w:t>1个月</w:t>
                  </w:r>
                </w:p>
              </w:tc>
              <w:tc>
                <w:tcPr>
                  <w:tcW w:w="506" w:type="pct"/>
                  <w:vAlign w:val="center"/>
                </w:tcPr>
                <w:p w14:paraId="4C3B99D5">
                  <w:pPr>
                    <w:pStyle w:val="83"/>
                    <w:rPr>
                      <w:rFonts w:hint="default"/>
                      <w:sz w:val="18"/>
                      <w:szCs w:val="18"/>
                    </w:rPr>
                  </w:pPr>
                  <w:r>
                    <w:rPr>
                      <w:sz w:val="18"/>
                      <w:szCs w:val="18"/>
                    </w:rPr>
                    <w:t>外售综合利用</w:t>
                  </w:r>
                </w:p>
              </w:tc>
            </w:tr>
            <w:tr w14:paraId="1E1019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continue"/>
                  <w:vAlign w:val="center"/>
                </w:tcPr>
                <w:p w14:paraId="1F659E64">
                  <w:pPr>
                    <w:pStyle w:val="83"/>
                    <w:rPr>
                      <w:rFonts w:hint="default"/>
                      <w:sz w:val="18"/>
                      <w:szCs w:val="18"/>
                    </w:rPr>
                  </w:pPr>
                </w:p>
              </w:tc>
              <w:tc>
                <w:tcPr>
                  <w:tcW w:w="284" w:type="pct"/>
                  <w:vAlign w:val="center"/>
                </w:tcPr>
                <w:p w14:paraId="187A2BC3">
                  <w:pPr>
                    <w:pStyle w:val="83"/>
                    <w:rPr>
                      <w:rFonts w:hint="default"/>
                      <w:sz w:val="18"/>
                      <w:szCs w:val="18"/>
                    </w:rPr>
                  </w:pPr>
                  <w:r>
                    <w:rPr>
                      <w:sz w:val="18"/>
                      <w:szCs w:val="18"/>
                    </w:rPr>
                    <w:t>废弃边角料</w:t>
                  </w:r>
                </w:p>
              </w:tc>
              <w:tc>
                <w:tcPr>
                  <w:tcW w:w="474" w:type="pct"/>
                  <w:vAlign w:val="center"/>
                </w:tcPr>
                <w:p w14:paraId="21ED8B9E">
                  <w:pPr>
                    <w:pStyle w:val="83"/>
                    <w:rPr>
                      <w:rFonts w:hint="default"/>
                      <w:sz w:val="18"/>
                      <w:szCs w:val="18"/>
                    </w:rPr>
                  </w:pPr>
                  <w:r>
                    <w:rPr>
                      <w:sz w:val="18"/>
                      <w:szCs w:val="18"/>
                    </w:rPr>
                    <w:t>样品研发测试</w:t>
                  </w:r>
                </w:p>
              </w:tc>
              <w:tc>
                <w:tcPr>
                  <w:tcW w:w="228" w:type="pct"/>
                  <w:vAlign w:val="center"/>
                </w:tcPr>
                <w:p w14:paraId="3111F395">
                  <w:pPr>
                    <w:pStyle w:val="83"/>
                    <w:rPr>
                      <w:rFonts w:hint="default"/>
                      <w:sz w:val="18"/>
                      <w:szCs w:val="18"/>
                    </w:rPr>
                  </w:pPr>
                  <w:r>
                    <w:rPr>
                      <w:sz w:val="18"/>
                      <w:szCs w:val="18"/>
                    </w:rPr>
                    <w:t>固</w:t>
                  </w:r>
                </w:p>
              </w:tc>
              <w:tc>
                <w:tcPr>
                  <w:tcW w:w="340" w:type="pct"/>
                  <w:vAlign w:val="center"/>
                </w:tcPr>
                <w:p w14:paraId="18BA6409">
                  <w:pPr>
                    <w:pStyle w:val="83"/>
                    <w:rPr>
                      <w:rFonts w:hint="default"/>
                      <w:sz w:val="18"/>
                      <w:szCs w:val="18"/>
                    </w:rPr>
                  </w:pPr>
                  <w:r>
                    <w:rPr>
                      <w:sz w:val="18"/>
                      <w:szCs w:val="18"/>
                    </w:rPr>
                    <w:t>/</w:t>
                  </w:r>
                </w:p>
              </w:tc>
              <w:tc>
                <w:tcPr>
                  <w:tcW w:w="452" w:type="pct"/>
                  <w:vAlign w:val="center"/>
                </w:tcPr>
                <w:p w14:paraId="419C7CFE">
                  <w:pPr>
                    <w:pStyle w:val="83"/>
                    <w:rPr>
                      <w:rFonts w:hint="default"/>
                      <w:sz w:val="18"/>
                      <w:szCs w:val="18"/>
                    </w:rPr>
                  </w:pPr>
                  <w:r>
                    <w:rPr>
                      <w:sz w:val="18"/>
                      <w:szCs w:val="18"/>
                    </w:rPr>
                    <w:t>/</w:t>
                  </w:r>
                </w:p>
              </w:tc>
              <w:tc>
                <w:tcPr>
                  <w:tcW w:w="452" w:type="pct"/>
                  <w:vAlign w:val="center"/>
                </w:tcPr>
                <w:p w14:paraId="2B74004E">
                  <w:pPr>
                    <w:pStyle w:val="83"/>
                    <w:rPr>
                      <w:rFonts w:hint="default"/>
                      <w:sz w:val="18"/>
                      <w:szCs w:val="18"/>
                    </w:rPr>
                  </w:pPr>
                  <w:r>
                    <w:rPr>
                      <w:sz w:val="18"/>
                      <w:szCs w:val="18"/>
                    </w:rPr>
                    <w:t>锦纶丝、切片</w:t>
                  </w:r>
                </w:p>
              </w:tc>
              <w:tc>
                <w:tcPr>
                  <w:tcW w:w="452" w:type="pct"/>
                  <w:vAlign w:val="center"/>
                </w:tcPr>
                <w:p w14:paraId="1C3C769F">
                  <w:pPr>
                    <w:pStyle w:val="83"/>
                    <w:rPr>
                      <w:rFonts w:hint="default"/>
                      <w:sz w:val="18"/>
                      <w:szCs w:val="18"/>
                    </w:rPr>
                  </w:pPr>
                  <w:r>
                    <w:rPr>
                      <w:sz w:val="18"/>
                      <w:szCs w:val="18"/>
                    </w:rPr>
                    <w:t>/</w:t>
                  </w:r>
                </w:p>
              </w:tc>
              <w:tc>
                <w:tcPr>
                  <w:tcW w:w="338" w:type="pct"/>
                  <w:vAlign w:val="center"/>
                </w:tcPr>
                <w:p w14:paraId="569F73C6">
                  <w:pPr>
                    <w:pStyle w:val="83"/>
                    <w:rPr>
                      <w:rFonts w:hint="default"/>
                      <w:sz w:val="18"/>
                      <w:szCs w:val="18"/>
                    </w:rPr>
                  </w:pPr>
                  <w:r>
                    <w:rPr>
                      <w:sz w:val="18"/>
                      <w:szCs w:val="18"/>
                    </w:rPr>
                    <w:t>/</w:t>
                  </w:r>
                </w:p>
              </w:tc>
              <w:tc>
                <w:tcPr>
                  <w:tcW w:w="338" w:type="pct"/>
                  <w:vAlign w:val="center"/>
                </w:tcPr>
                <w:p w14:paraId="3E294DBE">
                  <w:pPr>
                    <w:pStyle w:val="83"/>
                    <w:rPr>
                      <w:rFonts w:hint="default"/>
                      <w:sz w:val="18"/>
                      <w:szCs w:val="18"/>
                    </w:rPr>
                  </w:pPr>
                  <w:r>
                    <w:rPr>
                      <w:sz w:val="18"/>
                      <w:szCs w:val="18"/>
                    </w:rPr>
                    <w:t>0.5</w:t>
                  </w:r>
                </w:p>
              </w:tc>
              <w:tc>
                <w:tcPr>
                  <w:tcW w:w="508" w:type="pct"/>
                  <w:vAlign w:val="center"/>
                </w:tcPr>
                <w:p w14:paraId="5198518E">
                  <w:pPr>
                    <w:pStyle w:val="83"/>
                    <w:rPr>
                      <w:rFonts w:hint="default"/>
                      <w:sz w:val="18"/>
                      <w:szCs w:val="18"/>
                    </w:rPr>
                  </w:pPr>
                  <w:r>
                    <w:rPr>
                      <w:sz w:val="18"/>
                      <w:szCs w:val="18"/>
                    </w:rPr>
                    <w:t>现有废料仓库</w:t>
                  </w:r>
                </w:p>
              </w:tc>
              <w:tc>
                <w:tcPr>
                  <w:tcW w:w="226" w:type="pct"/>
                  <w:vAlign w:val="center"/>
                </w:tcPr>
                <w:p w14:paraId="5B7DA520">
                  <w:pPr>
                    <w:pStyle w:val="83"/>
                    <w:rPr>
                      <w:rFonts w:hint="default"/>
                      <w:sz w:val="18"/>
                      <w:szCs w:val="18"/>
                    </w:rPr>
                  </w:pPr>
                  <w:r>
                    <w:rPr>
                      <w:sz w:val="18"/>
                      <w:szCs w:val="18"/>
                    </w:rPr>
                    <w:t>袋装</w:t>
                  </w:r>
                </w:p>
              </w:tc>
              <w:tc>
                <w:tcPr>
                  <w:tcW w:w="224" w:type="pct"/>
                  <w:vAlign w:val="center"/>
                </w:tcPr>
                <w:p w14:paraId="7E34B615">
                  <w:pPr>
                    <w:pStyle w:val="83"/>
                    <w:rPr>
                      <w:rFonts w:hint="default"/>
                      <w:sz w:val="18"/>
                      <w:szCs w:val="18"/>
                    </w:rPr>
                  </w:pPr>
                  <w:r>
                    <w:rPr>
                      <w:sz w:val="18"/>
                      <w:szCs w:val="18"/>
                    </w:rPr>
                    <w:t>1个月</w:t>
                  </w:r>
                </w:p>
              </w:tc>
              <w:tc>
                <w:tcPr>
                  <w:tcW w:w="506" w:type="pct"/>
                  <w:vAlign w:val="center"/>
                </w:tcPr>
                <w:p w14:paraId="473A2E54">
                  <w:pPr>
                    <w:pStyle w:val="83"/>
                    <w:rPr>
                      <w:rFonts w:hint="default"/>
                      <w:sz w:val="18"/>
                      <w:szCs w:val="18"/>
                    </w:rPr>
                  </w:pPr>
                  <w:r>
                    <w:rPr>
                      <w:sz w:val="18"/>
                      <w:szCs w:val="18"/>
                    </w:rPr>
                    <w:t>外售综合利用</w:t>
                  </w:r>
                </w:p>
              </w:tc>
            </w:tr>
            <w:tr w14:paraId="46001A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continue"/>
                  <w:vAlign w:val="center"/>
                </w:tcPr>
                <w:p w14:paraId="6AA2597D">
                  <w:pPr>
                    <w:pStyle w:val="83"/>
                    <w:rPr>
                      <w:rFonts w:hint="default"/>
                      <w:sz w:val="18"/>
                      <w:szCs w:val="18"/>
                    </w:rPr>
                  </w:pPr>
                </w:p>
              </w:tc>
              <w:tc>
                <w:tcPr>
                  <w:tcW w:w="284" w:type="pct"/>
                  <w:vAlign w:val="center"/>
                </w:tcPr>
                <w:p w14:paraId="71500C90">
                  <w:pPr>
                    <w:pStyle w:val="83"/>
                    <w:rPr>
                      <w:rFonts w:hint="default"/>
                      <w:sz w:val="18"/>
                      <w:szCs w:val="18"/>
                    </w:rPr>
                  </w:pPr>
                  <w:r>
                    <w:rPr>
                      <w:sz w:val="18"/>
                      <w:szCs w:val="18"/>
                    </w:rPr>
                    <w:t>废离子交换树脂</w:t>
                  </w:r>
                </w:p>
              </w:tc>
              <w:tc>
                <w:tcPr>
                  <w:tcW w:w="474" w:type="pct"/>
                  <w:vAlign w:val="center"/>
                </w:tcPr>
                <w:p w14:paraId="26FEEFB1">
                  <w:pPr>
                    <w:pStyle w:val="83"/>
                    <w:rPr>
                      <w:rFonts w:hint="default"/>
                      <w:sz w:val="18"/>
                      <w:szCs w:val="18"/>
                    </w:rPr>
                  </w:pPr>
                  <w:r>
                    <w:rPr>
                      <w:sz w:val="18"/>
                      <w:szCs w:val="18"/>
                    </w:rPr>
                    <w:t>纯水制备</w:t>
                  </w:r>
                </w:p>
              </w:tc>
              <w:tc>
                <w:tcPr>
                  <w:tcW w:w="228" w:type="pct"/>
                  <w:vAlign w:val="center"/>
                </w:tcPr>
                <w:p w14:paraId="1D3E2B0D">
                  <w:pPr>
                    <w:pStyle w:val="83"/>
                    <w:rPr>
                      <w:rFonts w:hint="default"/>
                      <w:sz w:val="18"/>
                      <w:szCs w:val="18"/>
                    </w:rPr>
                  </w:pPr>
                  <w:r>
                    <w:rPr>
                      <w:sz w:val="18"/>
                      <w:szCs w:val="18"/>
                    </w:rPr>
                    <w:t>固</w:t>
                  </w:r>
                </w:p>
              </w:tc>
              <w:tc>
                <w:tcPr>
                  <w:tcW w:w="340" w:type="pct"/>
                  <w:vAlign w:val="center"/>
                </w:tcPr>
                <w:p w14:paraId="75064BB7">
                  <w:pPr>
                    <w:pStyle w:val="83"/>
                    <w:rPr>
                      <w:rFonts w:hint="default"/>
                      <w:sz w:val="18"/>
                      <w:szCs w:val="18"/>
                    </w:rPr>
                  </w:pPr>
                  <w:r>
                    <w:rPr>
                      <w:sz w:val="18"/>
                      <w:szCs w:val="18"/>
                    </w:rPr>
                    <w:t>/</w:t>
                  </w:r>
                </w:p>
              </w:tc>
              <w:tc>
                <w:tcPr>
                  <w:tcW w:w="452" w:type="pct"/>
                  <w:vAlign w:val="center"/>
                </w:tcPr>
                <w:p w14:paraId="0D939BF4">
                  <w:pPr>
                    <w:pStyle w:val="83"/>
                    <w:rPr>
                      <w:rFonts w:hint="default"/>
                      <w:sz w:val="18"/>
                      <w:szCs w:val="18"/>
                    </w:rPr>
                  </w:pPr>
                  <w:r>
                    <w:rPr>
                      <w:sz w:val="18"/>
                      <w:szCs w:val="18"/>
                    </w:rPr>
                    <w:t>/</w:t>
                  </w:r>
                </w:p>
              </w:tc>
              <w:tc>
                <w:tcPr>
                  <w:tcW w:w="452" w:type="pct"/>
                  <w:vAlign w:val="center"/>
                </w:tcPr>
                <w:p w14:paraId="72D2857A">
                  <w:pPr>
                    <w:pStyle w:val="83"/>
                    <w:rPr>
                      <w:rFonts w:hint="default"/>
                      <w:sz w:val="18"/>
                      <w:szCs w:val="18"/>
                    </w:rPr>
                  </w:pPr>
                  <w:r>
                    <w:rPr>
                      <w:sz w:val="18"/>
                      <w:szCs w:val="18"/>
                    </w:rPr>
                    <w:t>树脂</w:t>
                  </w:r>
                </w:p>
              </w:tc>
              <w:tc>
                <w:tcPr>
                  <w:tcW w:w="452" w:type="pct"/>
                  <w:vAlign w:val="center"/>
                </w:tcPr>
                <w:p w14:paraId="11578F1C">
                  <w:pPr>
                    <w:pStyle w:val="83"/>
                    <w:rPr>
                      <w:rFonts w:hint="default"/>
                      <w:sz w:val="18"/>
                      <w:szCs w:val="18"/>
                    </w:rPr>
                  </w:pPr>
                  <w:r>
                    <w:rPr>
                      <w:sz w:val="18"/>
                      <w:szCs w:val="18"/>
                    </w:rPr>
                    <w:t>/</w:t>
                  </w:r>
                </w:p>
              </w:tc>
              <w:tc>
                <w:tcPr>
                  <w:tcW w:w="338" w:type="pct"/>
                  <w:vAlign w:val="center"/>
                </w:tcPr>
                <w:p w14:paraId="6719ED53">
                  <w:pPr>
                    <w:pStyle w:val="83"/>
                    <w:rPr>
                      <w:rFonts w:hint="default"/>
                      <w:sz w:val="18"/>
                      <w:szCs w:val="18"/>
                    </w:rPr>
                  </w:pPr>
                  <w:r>
                    <w:rPr>
                      <w:sz w:val="18"/>
                      <w:szCs w:val="18"/>
                    </w:rPr>
                    <w:t>/</w:t>
                  </w:r>
                </w:p>
              </w:tc>
              <w:tc>
                <w:tcPr>
                  <w:tcW w:w="338" w:type="pct"/>
                  <w:vAlign w:val="center"/>
                </w:tcPr>
                <w:p w14:paraId="68B28648">
                  <w:pPr>
                    <w:pStyle w:val="83"/>
                    <w:rPr>
                      <w:rFonts w:hint="default"/>
                      <w:sz w:val="18"/>
                      <w:szCs w:val="18"/>
                    </w:rPr>
                  </w:pPr>
                  <w:r>
                    <w:rPr>
                      <w:sz w:val="18"/>
                      <w:szCs w:val="18"/>
                    </w:rPr>
                    <w:t>0.5/3a</w:t>
                  </w:r>
                </w:p>
              </w:tc>
              <w:tc>
                <w:tcPr>
                  <w:tcW w:w="508" w:type="pct"/>
                  <w:vAlign w:val="center"/>
                </w:tcPr>
                <w:p w14:paraId="23D65F09">
                  <w:pPr>
                    <w:pStyle w:val="83"/>
                    <w:rPr>
                      <w:rFonts w:hint="default"/>
                      <w:sz w:val="18"/>
                      <w:szCs w:val="18"/>
                    </w:rPr>
                  </w:pPr>
                  <w:r>
                    <w:rPr>
                      <w:sz w:val="18"/>
                      <w:szCs w:val="18"/>
                    </w:rPr>
                    <w:t>现有废料仓库</w:t>
                  </w:r>
                </w:p>
              </w:tc>
              <w:tc>
                <w:tcPr>
                  <w:tcW w:w="226" w:type="pct"/>
                  <w:vAlign w:val="center"/>
                </w:tcPr>
                <w:p w14:paraId="72089ECE">
                  <w:pPr>
                    <w:pStyle w:val="83"/>
                    <w:rPr>
                      <w:rFonts w:hint="default"/>
                      <w:sz w:val="18"/>
                      <w:szCs w:val="18"/>
                    </w:rPr>
                  </w:pPr>
                  <w:r>
                    <w:rPr>
                      <w:sz w:val="18"/>
                      <w:szCs w:val="18"/>
                    </w:rPr>
                    <w:t>桶装</w:t>
                  </w:r>
                </w:p>
              </w:tc>
              <w:tc>
                <w:tcPr>
                  <w:tcW w:w="224" w:type="pct"/>
                  <w:vAlign w:val="center"/>
                </w:tcPr>
                <w:p w14:paraId="4FC12A10">
                  <w:pPr>
                    <w:pStyle w:val="83"/>
                    <w:rPr>
                      <w:rFonts w:hint="default"/>
                      <w:sz w:val="18"/>
                      <w:szCs w:val="18"/>
                    </w:rPr>
                  </w:pPr>
                  <w:r>
                    <w:rPr>
                      <w:sz w:val="18"/>
                      <w:szCs w:val="18"/>
                    </w:rPr>
                    <w:t>1个月</w:t>
                  </w:r>
                </w:p>
              </w:tc>
              <w:tc>
                <w:tcPr>
                  <w:tcW w:w="506" w:type="pct"/>
                  <w:vAlign w:val="center"/>
                </w:tcPr>
                <w:p w14:paraId="407790F0">
                  <w:pPr>
                    <w:pStyle w:val="83"/>
                    <w:rPr>
                      <w:rFonts w:hint="default"/>
                      <w:sz w:val="18"/>
                      <w:szCs w:val="18"/>
                    </w:rPr>
                  </w:pPr>
                  <w:r>
                    <w:rPr>
                      <w:sz w:val="18"/>
                      <w:szCs w:val="18"/>
                    </w:rPr>
                    <w:t>外售综合利用</w:t>
                  </w:r>
                </w:p>
              </w:tc>
            </w:tr>
            <w:tr w14:paraId="5E66A1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continue"/>
                  <w:vAlign w:val="center"/>
                </w:tcPr>
                <w:p w14:paraId="0D1705B2">
                  <w:pPr>
                    <w:pStyle w:val="83"/>
                    <w:rPr>
                      <w:rFonts w:hint="default"/>
                      <w:sz w:val="18"/>
                      <w:szCs w:val="18"/>
                    </w:rPr>
                  </w:pPr>
                </w:p>
              </w:tc>
              <w:tc>
                <w:tcPr>
                  <w:tcW w:w="284" w:type="pct"/>
                  <w:vAlign w:val="center"/>
                </w:tcPr>
                <w:p w14:paraId="4742253A">
                  <w:pPr>
                    <w:pStyle w:val="83"/>
                    <w:rPr>
                      <w:rFonts w:hint="default"/>
                      <w:sz w:val="18"/>
                      <w:szCs w:val="18"/>
                    </w:rPr>
                  </w:pPr>
                  <w:r>
                    <w:rPr>
                      <w:sz w:val="18"/>
                      <w:szCs w:val="18"/>
                    </w:rPr>
                    <w:t>RO膜</w:t>
                  </w:r>
                </w:p>
              </w:tc>
              <w:tc>
                <w:tcPr>
                  <w:tcW w:w="474" w:type="pct"/>
                  <w:vAlign w:val="center"/>
                </w:tcPr>
                <w:p w14:paraId="4F9AF850">
                  <w:pPr>
                    <w:pStyle w:val="83"/>
                    <w:rPr>
                      <w:rFonts w:hint="default"/>
                      <w:sz w:val="18"/>
                      <w:szCs w:val="18"/>
                    </w:rPr>
                  </w:pPr>
                  <w:r>
                    <w:rPr>
                      <w:sz w:val="18"/>
                      <w:szCs w:val="18"/>
                    </w:rPr>
                    <w:t>纯水制备</w:t>
                  </w:r>
                </w:p>
              </w:tc>
              <w:tc>
                <w:tcPr>
                  <w:tcW w:w="228" w:type="pct"/>
                  <w:vAlign w:val="center"/>
                </w:tcPr>
                <w:p w14:paraId="0734F187">
                  <w:pPr>
                    <w:pStyle w:val="83"/>
                    <w:rPr>
                      <w:rFonts w:hint="default"/>
                      <w:sz w:val="18"/>
                      <w:szCs w:val="18"/>
                    </w:rPr>
                  </w:pPr>
                  <w:r>
                    <w:rPr>
                      <w:sz w:val="18"/>
                      <w:szCs w:val="18"/>
                    </w:rPr>
                    <w:t>固</w:t>
                  </w:r>
                </w:p>
              </w:tc>
              <w:tc>
                <w:tcPr>
                  <w:tcW w:w="340" w:type="pct"/>
                  <w:vAlign w:val="center"/>
                </w:tcPr>
                <w:p w14:paraId="15228111">
                  <w:pPr>
                    <w:pStyle w:val="83"/>
                    <w:rPr>
                      <w:rFonts w:hint="default"/>
                      <w:sz w:val="18"/>
                      <w:szCs w:val="18"/>
                    </w:rPr>
                  </w:pPr>
                  <w:r>
                    <w:rPr>
                      <w:sz w:val="18"/>
                      <w:szCs w:val="18"/>
                    </w:rPr>
                    <w:t>/</w:t>
                  </w:r>
                </w:p>
              </w:tc>
              <w:tc>
                <w:tcPr>
                  <w:tcW w:w="452" w:type="pct"/>
                  <w:vAlign w:val="center"/>
                </w:tcPr>
                <w:p w14:paraId="67BE256B">
                  <w:pPr>
                    <w:pStyle w:val="83"/>
                    <w:rPr>
                      <w:rFonts w:hint="default"/>
                      <w:sz w:val="18"/>
                      <w:szCs w:val="18"/>
                    </w:rPr>
                  </w:pPr>
                  <w:r>
                    <w:rPr>
                      <w:sz w:val="18"/>
                      <w:szCs w:val="18"/>
                    </w:rPr>
                    <w:t>/</w:t>
                  </w:r>
                </w:p>
              </w:tc>
              <w:tc>
                <w:tcPr>
                  <w:tcW w:w="452" w:type="pct"/>
                  <w:vAlign w:val="center"/>
                </w:tcPr>
                <w:p w14:paraId="04AE5536">
                  <w:pPr>
                    <w:pStyle w:val="83"/>
                    <w:rPr>
                      <w:rFonts w:hint="default"/>
                      <w:sz w:val="18"/>
                      <w:szCs w:val="18"/>
                    </w:rPr>
                  </w:pPr>
                  <w:r>
                    <w:rPr>
                      <w:sz w:val="18"/>
                      <w:szCs w:val="18"/>
                    </w:rPr>
                    <w:t>树脂</w:t>
                  </w:r>
                </w:p>
              </w:tc>
              <w:tc>
                <w:tcPr>
                  <w:tcW w:w="452" w:type="pct"/>
                  <w:vAlign w:val="center"/>
                </w:tcPr>
                <w:p w14:paraId="2F07BC34">
                  <w:pPr>
                    <w:pStyle w:val="83"/>
                    <w:rPr>
                      <w:rFonts w:hint="default"/>
                      <w:sz w:val="18"/>
                      <w:szCs w:val="18"/>
                    </w:rPr>
                  </w:pPr>
                  <w:r>
                    <w:rPr>
                      <w:sz w:val="18"/>
                      <w:szCs w:val="18"/>
                    </w:rPr>
                    <w:t>/</w:t>
                  </w:r>
                </w:p>
              </w:tc>
              <w:tc>
                <w:tcPr>
                  <w:tcW w:w="338" w:type="pct"/>
                  <w:vAlign w:val="center"/>
                </w:tcPr>
                <w:p w14:paraId="56CBEA96">
                  <w:pPr>
                    <w:pStyle w:val="83"/>
                    <w:rPr>
                      <w:rFonts w:hint="default"/>
                      <w:sz w:val="18"/>
                      <w:szCs w:val="18"/>
                    </w:rPr>
                  </w:pPr>
                  <w:r>
                    <w:rPr>
                      <w:sz w:val="18"/>
                      <w:szCs w:val="18"/>
                    </w:rPr>
                    <w:t>/</w:t>
                  </w:r>
                </w:p>
              </w:tc>
              <w:tc>
                <w:tcPr>
                  <w:tcW w:w="338" w:type="pct"/>
                  <w:vAlign w:val="center"/>
                </w:tcPr>
                <w:p w14:paraId="67F35235">
                  <w:pPr>
                    <w:pStyle w:val="83"/>
                    <w:rPr>
                      <w:rFonts w:hint="default"/>
                      <w:sz w:val="18"/>
                      <w:szCs w:val="18"/>
                    </w:rPr>
                  </w:pPr>
                  <w:r>
                    <w:rPr>
                      <w:sz w:val="18"/>
                      <w:szCs w:val="18"/>
                    </w:rPr>
                    <w:t>0.5/3a</w:t>
                  </w:r>
                </w:p>
              </w:tc>
              <w:tc>
                <w:tcPr>
                  <w:tcW w:w="508" w:type="pct"/>
                  <w:vAlign w:val="center"/>
                </w:tcPr>
                <w:p w14:paraId="7CA5B3A9">
                  <w:pPr>
                    <w:pStyle w:val="83"/>
                    <w:rPr>
                      <w:rFonts w:hint="default"/>
                      <w:sz w:val="18"/>
                      <w:szCs w:val="18"/>
                    </w:rPr>
                  </w:pPr>
                  <w:r>
                    <w:rPr>
                      <w:sz w:val="18"/>
                      <w:szCs w:val="18"/>
                    </w:rPr>
                    <w:t>现有废料仓库</w:t>
                  </w:r>
                </w:p>
              </w:tc>
              <w:tc>
                <w:tcPr>
                  <w:tcW w:w="226" w:type="pct"/>
                  <w:vAlign w:val="center"/>
                </w:tcPr>
                <w:p w14:paraId="7BEA569F">
                  <w:pPr>
                    <w:pStyle w:val="83"/>
                    <w:rPr>
                      <w:rFonts w:hint="default"/>
                      <w:sz w:val="18"/>
                      <w:szCs w:val="18"/>
                    </w:rPr>
                  </w:pPr>
                  <w:r>
                    <w:rPr>
                      <w:sz w:val="18"/>
                      <w:szCs w:val="18"/>
                    </w:rPr>
                    <w:t>桶装</w:t>
                  </w:r>
                </w:p>
              </w:tc>
              <w:tc>
                <w:tcPr>
                  <w:tcW w:w="224" w:type="pct"/>
                  <w:vAlign w:val="center"/>
                </w:tcPr>
                <w:p w14:paraId="680A1842">
                  <w:pPr>
                    <w:pStyle w:val="83"/>
                    <w:rPr>
                      <w:rFonts w:hint="default"/>
                      <w:sz w:val="18"/>
                      <w:szCs w:val="18"/>
                    </w:rPr>
                  </w:pPr>
                  <w:r>
                    <w:rPr>
                      <w:sz w:val="18"/>
                      <w:szCs w:val="18"/>
                    </w:rPr>
                    <w:t>1个月</w:t>
                  </w:r>
                </w:p>
              </w:tc>
              <w:tc>
                <w:tcPr>
                  <w:tcW w:w="506" w:type="pct"/>
                  <w:vAlign w:val="center"/>
                </w:tcPr>
                <w:p w14:paraId="6651779D">
                  <w:pPr>
                    <w:pStyle w:val="83"/>
                    <w:rPr>
                      <w:rFonts w:hint="default"/>
                      <w:sz w:val="18"/>
                      <w:szCs w:val="18"/>
                    </w:rPr>
                  </w:pPr>
                  <w:r>
                    <w:rPr>
                      <w:sz w:val="18"/>
                      <w:szCs w:val="18"/>
                    </w:rPr>
                    <w:t>外售综合利用</w:t>
                  </w:r>
                </w:p>
              </w:tc>
            </w:tr>
            <w:tr w14:paraId="1BADB3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continue"/>
                  <w:vAlign w:val="center"/>
                </w:tcPr>
                <w:p w14:paraId="224E4859">
                  <w:pPr>
                    <w:pStyle w:val="83"/>
                    <w:rPr>
                      <w:rFonts w:hint="default"/>
                      <w:sz w:val="18"/>
                      <w:szCs w:val="18"/>
                    </w:rPr>
                  </w:pPr>
                </w:p>
              </w:tc>
              <w:tc>
                <w:tcPr>
                  <w:tcW w:w="284" w:type="pct"/>
                  <w:vAlign w:val="center"/>
                </w:tcPr>
                <w:p w14:paraId="303A558D">
                  <w:pPr>
                    <w:pStyle w:val="83"/>
                    <w:rPr>
                      <w:rFonts w:hint="default"/>
                      <w:sz w:val="18"/>
                      <w:szCs w:val="18"/>
                    </w:rPr>
                  </w:pPr>
                  <w:r>
                    <w:rPr>
                      <w:sz w:val="18"/>
                      <w:szCs w:val="18"/>
                    </w:rPr>
                    <w:t>水处理污泥</w:t>
                  </w:r>
                </w:p>
              </w:tc>
              <w:tc>
                <w:tcPr>
                  <w:tcW w:w="474" w:type="pct"/>
                  <w:vAlign w:val="center"/>
                </w:tcPr>
                <w:p w14:paraId="48F0C62F">
                  <w:pPr>
                    <w:pStyle w:val="83"/>
                    <w:rPr>
                      <w:rFonts w:hint="default"/>
                      <w:sz w:val="18"/>
                      <w:szCs w:val="18"/>
                    </w:rPr>
                  </w:pPr>
                  <w:r>
                    <w:rPr>
                      <w:sz w:val="18"/>
                      <w:szCs w:val="18"/>
                    </w:rPr>
                    <w:t>污水处理</w:t>
                  </w:r>
                </w:p>
              </w:tc>
              <w:tc>
                <w:tcPr>
                  <w:tcW w:w="228" w:type="pct"/>
                  <w:vAlign w:val="center"/>
                </w:tcPr>
                <w:p w14:paraId="57EFC93F">
                  <w:pPr>
                    <w:pStyle w:val="83"/>
                    <w:rPr>
                      <w:rFonts w:hint="default"/>
                      <w:sz w:val="18"/>
                      <w:szCs w:val="18"/>
                    </w:rPr>
                  </w:pPr>
                  <w:r>
                    <w:rPr>
                      <w:sz w:val="18"/>
                      <w:szCs w:val="18"/>
                    </w:rPr>
                    <w:t>固</w:t>
                  </w:r>
                </w:p>
              </w:tc>
              <w:tc>
                <w:tcPr>
                  <w:tcW w:w="340" w:type="pct"/>
                  <w:vAlign w:val="center"/>
                </w:tcPr>
                <w:p w14:paraId="25085D5D">
                  <w:pPr>
                    <w:pStyle w:val="83"/>
                    <w:rPr>
                      <w:rFonts w:hint="default"/>
                      <w:sz w:val="18"/>
                      <w:szCs w:val="18"/>
                    </w:rPr>
                  </w:pPr>
                  <w:r>
                    <w:rPr>
                      <w:sz w:val="18"/>
                      <w:szCs w:val="18"/>
                    </w:rPr>
                    <w:t>/</w:t>
                  </w:r>
                </w:p>
              </w:tc>
              <w:tc>
                <w:tcPr>
                  <w:tcW w:w="452" w:type="pct"/>
                  <w:vAlign w:val="center"/>
                </w:tcPr>
                <w:p w14:paraId="4CF28CB4">
                  <w:pPr>
                    <w:pStyle w:val="83"/>
                    <w:rPr>
                      <w:rFonts w:hint="default"/>
                      <w:sz w:val="18"/>
                      <w:szCs w:val="18"/>
                    </w:rPr>
                  </w:pPr>
                  <w:r>
                    <w:rPr>
                      <w:sz w:val="18"/>
                      <w:szCs w:val="18"/>
                    </w:rPr>
                    <w:t>/</w:t>
                  </w:r>
                </w:p>
              </w:tc>
              <w:tc>
                <w:tcPr>
                  <w:tcW w:w="452" w:type="pct"/>
                  <w:vAlign w:val="center"/>
                </w:tcPr>
                <w:p w14:paraId="100CC004">
                  <w:pPr>
                    <w:pStyle w:val="83"/>
                    <w:rPr>
                      <w:rFonts w:hint="default"/>
                      <w:sz w:val="18"/>
                      <w:szCs w:val="18"/>
                    </w:rPr>
                  </w:pPr>
                  <w:r>
                    <w:rPr>
                      <w:sz w:val="18"/>
                      <w:szCs w:val="18"/>
                    </w:rPr>
                    <w:t>COD、SS</w:t>
                  </w:r>
                </w:p>
              </w:tc>
              <w:tc>
                <w:tcPr>
                  <w:tcW w:w="452" w:type="pct"/>
                  <w:vAlign w:val="center"/>
                </w:tcPr>
                <w:p w14:paraId="542F1F23">
                  <w:pPr>
                    <w:pStyle w:val="83"/>
                    <w:rPr>
                      <w:rFonts w:hint="default"/>
                      <w:sz w:val="18"/>
                      <w:szCs w:val="18"/>
                    </w:rPr>
                  </w:pPr>
                  <w:r>
                    <w:rPr>
                      <w:sz w:val="18"/>
                      <w:szCs w:val="18"/>
                    </w:rPr>
                    <w:t>/</w:t>
                  </w:r>
                </w:p>
              </w:tc>
              <w:tc>
                <w:tcPr>
                  <w:tcW w:w="338" w:type="pct"/>
                  <w:vAlign w:val="center"/>
                </w:tcPr>
                <w:p w14:paraId="2ECA58B5">
                  <w:pPr>
                    <w:pStyle w:val="83"/>
                    <w:rPr>
                      <w:rFonts w:hint="default"/>
                      <w:sz w:val="18"/>
                      <w:szCs w:val="18"/>
                    </w:rPr>
                  </w:pPr>
                  <w:r>
                    <w:rPr>
                      <w:sz w:val="18"/>
                      <w:szCs w:val="18"/>
                    </w:rPr>
                    <w:t>/</w:t>
                  </w:r>
                </w:p>
              </w:tc>
              <w:tc>
                <w:tcPr>
                  <w:tcW w:w="338" w:type="pct"/>
                  <w:vAlign w:val="center"/>
                </w:tcPr>
                <w:p w14:paraId="23B9ED2D">
                  <w:pPr>
                    <w:pStyle w:val="83"/>
                    <w:rPr>
                      <w:rFonts w:hint="default"/>
                      <w:sz w:val="18"/>
                      <w:szCs w:val="18"/>
                    </w:rPr>
                  </w:pPr>
                  <w:r>
                    <w:rPr>
                      <w:sz w:val="18"/>
                      <w:szCs w:val="18"/>
                    </w:rPr>
                    <w:t>10</w:t>
                  </w:r>
                </w:p>
              </w:tc>
              <w:tc>
                <w:tcPr>
                  <w:tcW w:w="508" w:type="pct"/>
                  <w:vAlign w:val="center"/>
                </w:tcPr>
                <w:p w14:paraId="2ECC8D86">
                  <w:pPr>
                    <w:pStyle w:val="83"/>
                    <w:rPr>
                      <w:rFonts w:hint="default"/>
                      <w:sz w:val="18"/>
                      <w:szCs w:val="18"/>
                    </w:rPr>
                  </w:pPr>
                  <w:r>
                    <w:rPr>
                      <w:sz w:val="18"/>
                      <w:szCs w:val="18"/>
                    </w:rPr>
                    <w:t>污水处理站污泥间</w:t>
                  </w:r>
                </w:p>
              </w:tc>
              <w:tc>
                <w:tcPr>
                  <w:tcW w:w="226" w:type="pct"/>
                  <w:vAlign w:val="center"/>
                </w:tcPr>
                <w:p w14:paraId="785E0DAA">
                  <w:pPr>
                    <w:pStyle w:val="83"/>
                    <w:rPr>
                      <w:rFonts w:hint="default"/>
                      <w:sz w:val="18"/>
                      <w:szCs w:val="18"/>
                    </w:rPr>
                  </w:pPr>
                  <w:r>
                    <w:rPr>
                      <w:sz w:val="18"/>
                      <w:szCs w:val="18"/>
                    </w:rPr>
                    <w:t>袋装</w:t>
                  </w:r>
                </w:p>
              </w:tc>
              <w:tc>
                <w:tcPr>
                  <w:tcW w:w="224" w:type="pct"/>
                  <w:vAlign w:val="center"/>
                </w:tcPr>
                <w:p w14:paraId="4B3F379B">
                  <w:pPr>
                    <w:pStyle w:val="83"/>
                    <w:rPr>
                      <w:rFonts w:hint="default"/>
                      <w:sz w:val="18"/>
                      <w:szCs w:val="18"/>
                    </w:rPr>
                  </w:pPr>
                  <w:r>
                    <w:rPr>
                      <w:sz w:val="18"/>
                      <w:szCs w:val="18"/>
                    </w:rPr>
                    <w:t>1个月</w:t>
                  </w:r>
                </w:p>
              </w:tc>
              <w:tc>
                <w:tcPr>
                  <w:tcW w:w="506" w:type="pct"/>
                  <w:vAlign w:val="center"/>
                </w:tcPr>
                <w:p w14:paraId="53451118">
                  <w:pPr>
                    <w:pStyle w:val="83"/>
                    <w:rPr>
                      <w:rFonts w:hint="default"/>
                      <w:sz w:val="18"/>
                      <w:szCs w:val="18"/>
                    </w:rPr>
                  </w:pPr>
                  <w:r>
                    <w:rPr>
                      <w:sz w:val="18"/>
                      <w:szCs w:val="18"/>
                    </w:rPr>
                    <w:t>外售综合利用</w:t>
                  </w:r>
                </w:p>
              </w:tc>
            </w:tr>
            <w:tr w14:paraId="33AF5C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Align w:val="center"/>
                </w:tcPr>
                <w:p w14:paraId="71BD40DD">
                  <w:pPr>
                    <w:pStyle w:val="83"/>
                    <w:rPr>
                      <w:rFonts w:hint="default"/>
                      <w:sz w:val="18"/>
                      <w:szCs w:val="18"/>
                    </w:rPr>
                  </w:pPr>
                  <w:r>
                    <w:rPr>
                      <w:sz w:val="18"/>
                      <w:szCs w:val="18"/>
                    </w:rPr>
                    <w:t>生活垃圾</w:t>
                  </w:r>
                </w:p>
              </w:tc>
              <w:tc>
                <w:tcPr>
                  <w:tcW w:w="284" w:type="pct"/>
                  <w:vAlign w:val="center"/>
                </w:tcPr>
                <w:p w14:paraId="046E5C9E">
                  <w:pPr>
                    <w:pStyle w:val="83"/>
                    <w:rPr>
                      <w:rFonts w:hint="default"/>
                      <w:sz w:val="18"/>
                      <w:szCs w:val="18"/>
                    </w:rPr>
                  </w:pPr>
                  <w:r>
                    <w:rPr>
                      <w:sz w:val="18"/>
                      <w:szCs w:val="18"/>
                    </w:rPr>
                    <w:t>生活</w:t>
                  </w:r>
                </w:p>
                <w:p w14:paraId="18E3D678">
                  <w:pPr>
                    <w:pStyle w:val="83"/>
                    <w:rPr>
                      <w:rFonts w:hint="default"/>
                      <w:sz w:val="18"/>
                      <w:szCs w:val="18"/>
                    </w:rPr>
                  </w:pPr>
                  <w:r>
                    <w:rPr>
                      <w:sz w:val="18"/>
                      <w:szCs w:val="18"/>
                    </w:rPr>
                    <w:t>垃圾</w:t>
                  </w:r>
                </w:p>
              </w:tc>
              <w:tc>
                <w:tcPr>
                  <w:tcW w:w="474" w:type="pct"/>
                  <w:vAlign w:val="center"/>
                </w:tcPr>
                <w:p w14:paraId="77A76E7D">
                  <w:pPr>
                    <w:pStyle w:val="83"/>
                    <w:rPr>
                      <w:rFonts w:hint="default"/>
                      <w:sz w:val="18"/>
                      <w:szCs w:val="18"/>
                    </w:rPr>
                  </w:pPr>
                  <w:r>
                    <w:rPr>
                      <w:sz w:val="18"/>
                      <w:szCs w:val="18"/>
                    </w:rPr>
                    <w:t>办公生活</w:t>
                  </w:r>
                </w:p>
              </w:tc>
              <w:tc>
                <w:tcPr>
                  <w:tcW w:w="228" w:type="pct"/>
                  <w:vAlign w:val="center"/>
                </w:tcPr>
                <w:p w14:paraId="6D46BAC0">
                  <w:pPr>
                    <w:pStyle w:val="83"/>
                    <w:rPr>
                      <w:rFonts w:hint="default"/>
                      <w:sz w:val="18"/>
                      <w:szCs w:val="18"/>
                    </w:rPr>
                  </w:pPr>
                  <w:r>
                    <w:rPr>
                      <w:sz w:val="18"/>
                      <w:szCs w:val="18"/>
                    </w:rPr>
                    <w:t>固</w:t>
                  </w:r>
                </w:p>
              </w:tc>
              <w:tc>
                <w:tcPr>
                  <w:tcW w:w="340" w:type="pct"/>
                  <w:vAlign w:val="center"/>
                </w:tcPr>
                <w:p w14:paraId="4D775601">
                  <w:pPr>
                    <w:pStyle w:val="83"/>
                    <w:rPr>
                      <w:rFonts w:hint="default"/>
                      <w:sz w:val="18"/>
                      <w:szCs w:val="18"/>
                    </w:rPr>
                  </w:pPr>
                  <w:r>
                    <w:rPr>
                      <w:sz w:val="18"/>
                      <w:szCs w:val="18"/>
                    </w:rPr>
                    <w:t>/</w:t>
                  </w:r>
                </w:p>
              </w:tc>
              <w:tc>
                <w:tcPr>
                  <w:tcW w:w="452" w:type="pct"/>
                  <w:vAlign w:val="center"/>
                </w:tcPr>
                <w:p w14:paraId="762B40BF">
                  <w:pPr>
                    <w:pStyle w:val="83"/>
                    <w:rPr>
                      <w:rFonts w:hint="default"/>
                      <w:sz w:val="18"/>
                      <w:szCs w:val="18"/>
                    </w:rPr>
                  </w:pPr>
                  <w:r>
                    <w:rPr>
                      <w:sz w:val="18"/>
                      <w:szCs w:val="18"/>
                    </w:rPr>
                    <w:t>/</w:t>
                  </w:r>
                </w:p>
              </w:tc>
              <w:tc>
                <w:tcPr>
                  <w:tcW w:w="452" w:type="pct"/>
                  <w:vAlign w:val="center"/>
                </w:tcPr>
                <w:p w14:paraId="745FDE2A">
                  <w:pPr>
                    <w:pStyle w:val="83"/>
                    <w:rPr>
                      <w:rFonts w:hint="default"/>
                      <w:sz w:val="18"/>
                      <w:szCs w:val="18"/>
                    </w:rPr>
                  </w:pPr>
                  <w:r>
                    <w:rPr>
                      <w:sz w:val="18"/>
                      <w:szCs w:val="18"/>
                    </w:rPr>
                    <w:t>纸张、废塑料等</w:t>
                  </w:r>
                </w:p>
              </w:tc>
              <w:tc>
                <w:tcPr>
                  <w:tcW w:w="452" w:type="pct"/>
                  <w:vAlign w:val="center"/>
                </w:tcPr>
                <w:p w14:paraId="1CDAD7FD">
                  <w:pPr>
                    <w:pStyle w:val="83"/>
                    <w:rPr>
                      <w:rFonts w:hint="default"/>
                      <w:sz w:val="18"/>
                      <w:szCs w:val="18"/>
                    </w:rPr>
                  </w:pPr>
                  <w:r>
                    <w:rPr>
                      <w:sz w:val="18"/>
                      <w:szCs w:val="18"/>
                    </w:rPr>
                    <w:t>/</w:t>
                  </w:r>
                </w:p>
              </w:tc>
              <w:tc>
                <w:tcPr>
                  <w:tcW w:w="338" w:type="pct"/>
                  <w:vAlign w:val="center"/>
                </w:tcPr>
                <w:p w14:paraId="129CB996">
                  <w:pPr>
                    <w:pStyle w:val="83"/>
                    <w:rPr>
                      <w:rFonts w:hint="default"/>
                      <w:sz w:val="18"/>
                      <w:szCs w:val="18"/>
                    </w:rPr>
                  </w:pPr>
                  <w:r>
                    <w:rPr>
                      <w:sz w:val="18"/>
                      <w:szCs w:val="18"/>
                    </w:rPr>
                    <w:t>/</w:t>
                  </w:r>
                </w:p>
              </w:tc>
              <w:tc>
                <w:tcPr>
                  <w:tcW w:w="338" w:type="pct"/>
                  <w:vAlign w:val="center"/>
                </w:tcPr>
                <w:p w14:paraId="21887D92">
                  <w:pPr>
                    <w:pStyle w:val="83"/>
                    <w:rPr>
                      <w:rFonts w:hint="default"/>
                      <w:sz w:val="18"/>
                      <w:szCs w:val="18"/>
                    </w:rPr>
                  </w:pPr>
                  <w:r>
                    <w:rPr>
                      <w:sz w:val="18"/>
                      <w:szCs w:val="18"/>
                    </w:rPr>
                    <w:t>29.93</w:t>
                  </w:r>
                </w:p>
              </w:tc>
              <w:tc>
                <w:tcPr>
                  <w:tcW w:w="508" w:type="pct"/>
                  <w:vAlign w:val="center"/>
                </w:tcPr>
                <w:p w14:paraId="0C4607DC">
                  <w:pPr>
                    <w:pStyle w:val="83"/>
                    <w:rPr>
                      <w:rFonts w:hint="default"/>
                      <w:sz w:val="18"/>
                      <w:szCs w:val="18"/>
                    </w:rPr>
                  </w:pPr>
                  <w:r>
                    <w:rPr>
                      <w:sz w:val="18"/>
                      <w:szCs w:val="18"/>
                    </w:rPr>
                    <w:t>垃圾收集点</w:t>
                  </w:r>
                </w:p>
              </w:tc>
              <w:tc>
                <w:tcPr>
                  <w:tcW w:w="226" w:type="pct"/>
                  <w:vAlign w:val="center"/>
                </w:tcPr>
                <w:p w14:paraId="75A830C6">
                  <w:pPr>
                    <w:pStyle w:val="83"/>
                    <w:rPr>
                      <w:rFonts w:hint="default"/>
                      <w:sz w:val="18"/>
                      <w:szCs w:val="18"/>
                    </w:rPr>
                  </w:pPr>
                  <w:r>
                    <w:rPr>
                      <w:sz w:val="18"/>
                      <w:szCs w:val="18"/>
                    </w:rPr>
                    <w:t>袋装</w:t>
                  </w:r>
                </w:p>
              </w:tc>
              <w:tc>
                <w:tcPr>
                  <w:tcW w:w="224" w:type="pct"/>
                  <w:vAlign w:val="center"/>
                </w:tcPr>
                <w:p w14:paraId="5064226D">
                  <w:pPr>
                    <w:pStyle w:val="83"/>
                    <w:rPr>
                      <w:rFonts w:hint="default"/>
                      <w:sz w:val="18"/>
                      <w:szCs w:val="18"/>
                    </w:rPr>
                  </w:pPr>
                  <w:r>
                    <w:rPr>
                      <w:sz w:val="18"/>
                      <w:szCs w:val="18"/>
                    </w:rPr>
                    <w:t>/</w:t>
                  </w:r>
                </w:p>
              </w:tc>
              <w:tc>
                <w:tcPr>
                  <w:tcW w:w="506" w:type="pct"/>
                  <w:vAlign w:val="center"/>
                </w:tcPr>
                <w:p w14:paraId="2C898B3D">
                  <w:pPr>
                    <w:pStyle w:val="83"/>
                    <w:rPr>
                      <w:rFonts w:hint="default"/>
                      <w:sz w:val="18"/>
                      <w:szCs w:val="18"/>
                    </w:rPr>
                  </w:pPr>
                  <w:r>
                    <w:rPr>
                      <w:sz w:val="18"/>
                      <w:szCs w:val="18"/>
                    </w:rPr>
                    <w:t>环卫部门清运</w:t>
                  </w:r>
                </w:p>
              </w:tc>
            </w:tr>
            <w:tr w14:paraId="5C08A0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restart"/>
                  <w:vAlign w:val="center"/>
                </w:tcPr>
                <w:p w14:paraId="6973132F">
                  <w:pPr>
                    <w:pStyle w:val="83"/>
                    <w:rPr>
                      <w:rFonts w:hint="default"/>
                      <w:sz w:val="18"/>
                      <w:szCs w:val="18"/>
                    </w:rPr>
                  </w:pPr>
                  <w:r>
                    <w:rPr>
                      <w:sz w:val="18"/>
                      <w:szCs w:val="18"/>
                    </w:rPr>
                    <w:t>危险废物</w:t>
                  </w:r>
                </w:p>
              </w:tc>
              <w:tc>
                <w:tcPr>
                  <w:tcW w:w="284" w:type="pct"/>
                  <w:vAlign w:val="center"/>
                </w:tcPr>
                <w:p w14:paraId="7EB3EFA7">
                  <w:pPr>
                    <w:pStyle w:val="83"/>
                    <w:rPr>
                      <w:rFonts w:hint="default"/>
                      <w:sz w:val="18"/>
                      <w:szCs w:val="18"/>
                    </w:rPr>
                  </w:pPr>
                  <w:r>
                    <w:rPr>
                      <w:sz w:val="18"/>
                      <w:szCs w:val="18"/>
                    </w:rPr>
                    <w:t>废油剂</w:t>
                  </w:r>
                </w:p>
              </w:tc>
              <w:tc>
                <w:tcPr>
                  <w:tcW w:w="474" w:type="pct"/>
                  <w:vAlign w:val="center"/>
                </w:tcPr>
                <w:p w14:paraId="57FDC3FD">
                  <w:pPr>
                    <w:pStyle w:val="83"/>
                    <w:rPr>
                      <w:rFonts w:hint="default"/>
                      <w:sz w:val="18"/>
                      <w:szCs w:val="18"/>
                    </w:rPr>
                  </w:pPr>
                  <w:r>
                    <w:rPr>
                      <w:sz w:val="18"/>
                      <w:szCs w:val="18"/>
                    </w:rPr>
                    <w:t>废气处理</w:t>
                  </w:r>
                </w:p>
              </w:tc>
              <w:tc>
                <w:tcPr>
                  <w:tcW w:w="228" w:type="pct"/>
                  <w:vAlign w:val="center"/>
                </w:tcPr>
                <w:p w14:paraId="3D54B786">
                  <w:pPr>
                    <w:pStyle w:val="83"/>
                    <w:rPr>
                      <w:rFonts w:hint="default"/>
                      <w:sz w:val="18"/>
                      <w:szCs w:val="18"/>
                    </w:rPr>
                  </w:pPr>
                  <w:r>
                    <w:rPr>
                      <w:sz w:val="18"/>
                      <w:szCs w:val="18"/>
                    </w:rPr>
                    <w:t>液</w:t>
                  </w:r>
                </w:p>
              </w:tc>
              <w:tc>
                <w:tcPr>
                  <w:tcW w:w="340" w:type="pct"/>
                  <w:vAlign w:val="center"/>
                </w:tcPr>
                <w:p w14:paraId="761157C2">
                  <w:pPr>
                    <w:pStyle w:val="83"/>
                    <w:rPr>
                      <w:rFonts w:hint="default"/>
                      <w:sz w:val="18"/>
                      <w:szCs w:val="18"/>
                    </w:rPr>
                  </w:pPr>
                  <w:r>
                    <w:rPr>
                      <w:sz w:val="18"/>
                      <w:szCs w:val="18"/>
                    </w:rPr>
                    <w:t>HW09</w:t>
                  </w:r>
                </w:p>
              </w:tc>
              <w:tc>
                <w:tcPr>
                  <w:tcW w:w="452" w:type="pct"/>
                  <w:vAlign w:val="center"/>
                </w:tcPr>
                <w:p w14:paraId="1260A3A4">
                  <w:pPr>
                    <w:pStyle w:val="83"/>
                    <w:rPr>
                      <w:rFonts w:hint="default"/>
                      <w:sz w:val="18"/>
                      <w:szCs w:val="18"/>
                    </w:rPr>
                  </w:pPr>
                  <w:r>
                    <w:rPr>
                      <w:sz w:val="18"/>
                      <w:szCs w:val="18"/>
                    </w:rPr>
                    <w:t>900-007-09</w:t>
                  </w:r>
                </w:p>
              </w:tc>
              <w:tc>
                <w:tcPr>
                  <w:tcW w:w="452" w:type="pct"/>
                  <w:vAlign w:val="center"/>
                </w:tcPr>
                <w:p w14:paraId="20728F4A">
                  <w:pPr>
                    <w:pStyle w:val="83"/>
                    <w:rPr>
                      <w:rFonts w:hint="default"/>
                      <w:sz w:val="18"/>
                      <w:szCs w:val="18"/>
                    </w:rPr>
                  </w:pPr>
                  <w:r>
                    <w:rPr>
                      <w:sz w:val="18"/>
                      <w:szCs w:val="18"/>
                    </w:rPr>
                    <w:t>烃水化合物</w:t>
                  </w:r>
                </w:p>
              </w:tc>
              <w:tc>
                <w:tcPr>
                  <w:tcW w:w="452" w:type="pct"/>
                  <w:vAlign w:val="center"/>
                </w:tcPr>
                <w:p w14:paraId="65EFD303">
                  <w:pPr>
                    <w:pStyle w:val="83"/>
                    <w:rPr>
                      <w:rFonts w:hint="default"/>
                      <w:sz w:val="18"/>
                      <w:szCs w:val="18"/>
                    </w:rPr>
                  </w:pPr>
                  <w:r>
                    <w:rPr>
                      <w:sz w:val="18"/>
                      <w:szCs w:val="18"/>
                    </w:rPr>
                    <w:t>间断</w:t>
                  </w:r>
                </w:p>
              </w:tc>
              <w:tc>
                <w:tcPr>
                  <w:tcW w:w="338" w:type="pct"/>
                  <w:vAlign w:val="center"/>
                </w:tcPr>
                <w:p w14:paraId="3C7EFEB8">
                  <w:pPr>
                    <w:pStyle w:val="83"/>
                    <w:rPr>
                      <w:rFonts w:hint="default"/>
                      <w:sz w:val="18"/>
                      <w:szCs w:val="18"/>
                    </w:rPr>
                  </w:pPr>
                  <w:r>
                    <w:rPr>
                      <w:sz w:val="18"/>
                      <w:szCs w:val="18"/>
                    </w:rPr>
                    <w:t>T</w:t>
                  </w:r>
                </w:p>
              </w:tc>
              <w:tc>
                <w:tcPr>
                  <w:tcW w:w="338" w:type="pct"/>
                  <w:vAlign w:val="center"/>
                </w:tcPr>
                <w:p w14:paraId="6EFEB082">
                  <w:pPr>
                    <w:pStyle w:val="83"/>
                    <w:rPr>
                      <w:rFonts w:hint="default"/>
                      <w:sz w:val="18"/>
                      <w:szCs w:val="18"/>
                    </w:rPr>
                  </w:pPr>
                  <w:r>
                    <w:rPr>
                      <w:sz w:val="18"/>
                      <w:szCs w:val="18"/>
                    </w:rPr>
                    <w:t>1.5</w:t>
                  </w:r>
                </w:p>
              </w:tc>
              <w:tc>
                <w:tcPr>
                  <w:tcW w:w="508" w:type="pct"/>
                  <w:vAlign w:val="center"/>
                </w:tcPr>
                <w:p w14:paraId="3BC658FF">
                  <w:pPr>
                    <w:pStyle w:val="83"/>
                    <w:rPr>
                      <w:rFonts w:hint="default"/>
                      <w:sz w:val="18"/>
                      <w:szCs w:val="18"/>
                    </w:rPr>
                  </w:pPr>
                  <w:r>
                    <w:rPr>
                      <w:sz w:val="18"/>
                      <w:szCs w:val="18"/>
                    </w:rPr>
                    <w:t>现有危废间</w:t>
                  </w:r>
                </w:p>
              </w:tc>
              <w:tc>
                <w:tcPr>
                  <w:tcW w:w="226" w:type="pct"/>
                  <w:vAlign w:val="center"/>
                </w:tcPr>
                <w:p w14:paraId="43510C86">
                  <w:pPr>
                    <w:pStyle w:val="83"/>
                    <w:rPr>
                      <w:rFonts w:hint="default"/>
                      <w:sz w:val="18"/>
                      <w:szCs w:val="18"/>
                    </w:rPr>
                  </w:pPr>
                  <w:r>
                    <w:rPr>
                      <w:sz w:val="18"/>
                      <w:szCs w:val="18"/>
                    </w:rPr>
                    <w:t>桶装</w:t>
                  </w:r>
                </w:p>
              </w:tc>
              <w:tc>
                <w:tcPr>
                  <w:tcW w:w="224" w:type="pct"/>
                  <w:vAlign w:val="center"/>
                </w:tcPr>
                <w:p w14:paraId="175A3B03">
                  <w:pPr>
                    <w:pStyle w:val="83"/>
                    <w:rPr>
                      <w:rFonts w:hint="default" w:eastAsia="宋体"/>
                      <w:sz w:val="18"/>
                      <w:szCs w:val="18"/>
                      <w:lang w:val="en-US" w:eastAsia="zh-CN"/>
                    </w:rPr>
                  </w:pPr>
                  <w:r>
                    <w:rPr>
                      <w:rFonts w:hint="eastAsia"/>
                      <w:sz w:val="18"/>
                      <w:szCs w:val="18"/>
                      <w:lang w:val="en-US" w:eastAsia="zh-CN"/>
                    </w:rPr>
                    <w:t>90天</w:t>
                  </w:r>
                </w:p>
              </w:tc>
              <w:tc>
                <w:tcPr>
                  <w:tcW w:w="506" w:type="pct"/>
                  <w:vAlign w:val="center"/>
                </w:tcPr>
                <w:p w14:paraId="7B969CC1">
                  <w:pPr>
                    <w:pStyle w:val="83"/>
                    <w:rPr>
                      <w:rFonts w:hint="default"/>
                      <w:sz w:val="18"/>
                      <w:szCs w:val="18"/>
                    </w:rPr>
                  </w:pPr>
                  <w:r>
                    <w:rPr>
                      <w:sz w:val="18"/>
                      <w:szCs w:val="18"/>
                    </w:rPr>
                    <w:t>委托有资质单位处置</w:t>
                  </w:r>
                </w:p>
              </w:tc>
            </w:tr>
            <w:tr w14:paraId="422A7CF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continue"/>
                  <w:vAlign w:val="center"/>
                </w:tcPr>
                <w:p w14:paraId="5212BE60">
                  <w:pPr>
                    <w:pStyle w:val="83"/>
                    <w:rPr>
                      <w:rFonts w:hint="default"/>
                      <w:sz w:val="18"/>
                      <w:szCs w:val="18"/>
                    </w:rPr>
                  </w:pPr>
                </w:p>
              </w:tc>
              <w:tc>
                <w:tcPr>
                  <w:tcW w:w="284" w:type="pct"/>
                  <w:vAlign w:val="center"/>
                </w:tcPr>
                <w:p w14:paraId="341E42A4">
                  <w:pPr>
                    <w:pStyle w:val="83"/>
                    <w:rPr>
                      <w:rFonts w:hint="default"/>
                      <w:sz w:val="18"/>
                      <w:szCs w:val="18"/>
                    </w:rPr>
                  </w:pPr>
                  <w:r>
                    <w:rPr>
                      <w:sz w:val="18"/>
                      <w:szCs w:val="18"/>
                    </w:rPr>
                    <w:t>实验废液</w:t>
                  </w:r>
                </w:p>
              </w:tc>
              <w:tc>
                <w:tcPr>
                  <w:tcW w:w="474" w:type="pct"/>
                  <w:vAlign w:val="center"/>
                </w:tcPr>
                <w:p w14:paraId="07EF5849">
                  <w:pPr>
                    <w:pStyle w:val="83"/>
                    <w:rPr>
                      <w:rFonts w:hint="default"/>
                      <w:sz w:val="18"/>
                      <w:szCs w:val="18"/>
                    </w:rPr>
                  </w:pPr>
                  <w:r>
                    <w:rPr>
                      <w:sz w:val="18"/>
                      <w:szCs w:val="18"/>
                    </w:rPr>
                    <w:t>试剂调配</w:t>
                  </w:r>
                </w:p>
              </w:tc>
              <w:tc>
                <w:tcPr>
                  <w:tcW w:w="228" w:type="pct"/>
                  <w:vAlign w:val="center"/>
                </w:tcPr>
                <w:p w14:paraId="041A9FAC">
                  <w:pPr>
                    <w:pStyle w:val="83"/>
                    <w:rPr>
                      <w:rFonts w:hint="default"/>
                      <w:sz w:val="18"/>
                      <w:szCs w:val="18"/>
                    </w:rPr>
                  </w:pPr>
                  <w:r>
                    <w:rPr>
                      <w:sz w:val="18"/>
                      <w:szCs w:val="18"/>
                    </w:rPr>
                    <w:t>液</w:t>
                  </w:r>
                </w:p>
              </w:tc>
              <w:tc>
                <w:tcPr>
                  <w:tcW w:w="340" w:type="pct"/>
                  <w:vAlign w:val="center"/>
                </w:tcPr>
                <w:p w14:paraId="0C6C30FA">
                  <w:pPr>
                    <w:pStyle w:val="83"/>
                    <w:rPr>
                      <w:rFonts w:hint="default"/>
                      <w:sz w:val="18"/>
                      <w:szCs w:val="18"/>
                    </w:rPr>
                  </w:pPr>
                  <w:r>
                    <w:rPr>
                      <w:sz w:val="18"/>
                      <w:szCs w:val="18"/>
                    </w:rPr>
                    <w:t>HW49</w:t>
                  </w:r>
                </w:p>
              </w:tc>
              <w:tc>
                <w:tcPr>
                  <w:tcW w:w="452" w:type="pct"/>
                  <w:vAlign w:val="center"/>
                </w:tcPr>
                <w:p w14:paraId="2D9F8FBC">
                  <w:pPr>
                    <w:pStyle w:val="83"/>
                    <w:rPr>
                      <w:rFonts w:hint="default"/>
                      <w:sz w:val="18"/>
                      <w:szCs w:val="18"/>
                    </w:rPr>
                  </w:pPr>
                  <w:r>
                    <w:rPr>
                      <w:sz w:val="18"/>
                      <w:szCs w:val="18"/>
                    </w:rPr>
                    <w:t>900-047-49</w:t>
                  </w:r>
                </w:p>
              </w:tc>
              <w:tc>
                <w:tcPr>
                  <w:tcW w:w="452" w:type="pct"/>
                  <w:vAlign w:val="center"/>
                </w:tcPr>
                <w:p w14:paraId="5D59D984">
                  <w:pPr>
                    <w:pStyle w:val="83"/>
                    <w:rPr>
                      <w:rFonts w:hint="default"/>
                      <w:sz w:val="18"/>
                      <w:szCs w:val="18"/>
                    </w:rPr>
                  </w:pPr>
                  <w:r>
                    <w:rPr>
                      <w:sz w:val="18"/>
                      <w:szCs w:val="18"/>
                    </w:rPr>
                    <w:t>酸液、有机溶剂</w:t>
                  </w:r>
                </w:p>
              </w:tc>
              <w:tc>
                <w:tcPr>
                  <w:tcW w:w="452" w:type="pct"/>
                  <w:vAlign w:val="center"/>
                </w:tcPr>
                <w:p w14:paraId="5AFA7BF6">
                  <w:pPr>
                    <w:pStyle w:val="83"/>
                    <w:rPr>
                      <w:rFonts w:hint="default"/>
                      <w:sz w:val="18"/>
                      <w:szCs w:val="18"/>
                    </w:rPr>
                  </w:pPr>
                  <w:r>
                    <w:rPr>
                      <w:sz w:val="18"/>
                      <w:szCs w:val="18"/>
                    </w:rPr>
                    <w:t>间断</w:t>
                  </w:r>
                </w:p>
              </w:tc>
              <w:tc>
                <w:tcPr>
                  <w:tcW w:w="338" w:type="pct"/>
                  <w:vAlign w:val="center"/>
                </w:tcPr>
                <w:p w14:paraId="5672727E">
                  <w:pPr>
                    <w:pStyle w:val="83"/>
                    <w:rPr>
                      <w:rFonts w:hint="default"/>
                      <w:sz w:val="18"/>
                      <w:szCs w:val="18"/>
                    </w:rPr>
                  </w:pPr>
                  <w:r>
                    <w:rPr>
                      <w:sz w:val="18"/>
                      <w:szCs w:val="18"/>
                    </w:rPr>
                    <w:t>T/C/I/R</w:t>
                  </w:r>
                </w:p>
              </w:tc>
              <w:tc>
                <w:tcPr>
                  <w:tcW w:w="338" w:type="pct"/>
                  <w:vAlign w:val="center"/>
                </w:tcPr>
                <w:p w14:paraId="7F9F3BB6">
                  <w:pPr>
                    <w:pStyle w:val="83"/>
                    <w:rPr>
                      <w:rFonts w:hint="default"/>
                      <w:sz w:val="18"/>
                      <w:szCs w:val="18"/>
                    </w:rPr>
                  </w:pPr>
                  <w:r>
                    <w:rPr>
                      <w:sz w:val="18"/>
                      <w:szCs w:val="18"/>
                    </w:rPr>
                    <w:t>1.5</w:t>
                  </w:r>
                </w:p>
              </w:tc>
              <w:tc>
                <w:tcPr>
                  <w:tcW w:w="508" w:type="pct"/>
                  <w:vAlign w:val="center"/>
                </w:tcPr>
                <w:p w14:paraId="1AC2C38F">
                  <w:pPr>
                    <w:pStyle w:val="83"/>
                    <w:rPr>
                      <w:rFonts w:hint="default"/>
                      <w:sz w:val="18"/>
                      <w:szCs w:val="18"/>
                    </w:rPr>
                  </w:pPr>
                  <w:r>
                    <w:rPr>
                      <w:sz w:val="18"/>
                      <w:szCs w:val="18"/>
                    </w:rPr>
                    <w:t>现有危废间</w:t>
                  </w:r>
                </w:p>
              </w:tc>
              <w:tc>
                <w:tcPr>
                  <w:tcW w:w="226" w:type="pct"/>
                  <w:vAlign w:val="center"/>
                </w:tcPr>
                <w:p w14:paraId="3CD503F7">
                  <w:pPr>
                    <w:pStyle w:val="83"/>
                    <w:rPr>
                      <w:rFonts w:hint="default"/>
                      <w:sz w:val="18"/>
                      <w:szCs w:val="18"/>
                    </w:rPr>
                  </w:pPr>
                  <w:r>
                    <w:rPr>
                      <w:sz w:val="18"/>
                      <w:szCs w:val="18"/>
                    </w:rPr>
                    <w:t>桶装</w:t>
                  </w:r>
                </w:p>
              </w:tc>
              <w:tc>
                <w:tcPr>
                  <w:tcW w:w="224" w:type="pct"/>
                  <w:vAlign w:val="center"/>
                </w:tcPr>
                <w:p w14:paraId="5305EB5A">
                  <w:pPr>
                    <w:pStyle w:val="83"/>
                    <w:rPr>
                      <w:rFonts w:hint="default"/>
                      <w:sz w:val="18"/>
                      <w:szCs w:val="18"/>
                    </w:rPr>
                  </w:pPr>
                  <w:r>
                    <w:rPr>
                      <w:rFonts w:hint="eastAsia"/>
                      <w:sz w:val="18"/>
                      <w:szCs w:val="18"/>
                      <w:lang w:val="en-US" w:eastAsia="zh-CN"/>
                    </w:rPr>
                    <w:t>90天</w:t>
                  </w:r>
                </w:p>
              </w:tc>
              <w:tc>
                <w:tcPr>
                  <w:tcW w:w="506" w:type="pct"/>
                  <w:vAlign w:val="center"/>
                </w:tcPr>
                <w:p w14:paraId="2522C69F">
                  <w:pPr>
                    <w:pStyle w:val="83"/>
                    <w:rPr>
                      <w:rFonts w:hint="default"/>
                      <w:sz w:val="18"/>
                      <w:szCs w:val="18"/>
                    </w:rPr>
                  </w:pPr>
                  <w:r>
                    <w:rPr>
                      <w:sz w:val="18"/>
                      <w:szCs w:val="18"/>
                    </w:rPr>
                    <w:t>委托有资质单位处置</w:t>
                  </w:r>
                </w:p>
              </w:tc>
            </w:tr>
            <w:tr w14:paraId="426014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continue"/>
                  <w:vAlign w:val="center"/>
                </w:tcPr>
                <w:p w14:paraId="73088982">
                  <w:pPr>
                    <w:pStyle w:val="83"/>
                    <w:rPr>
                      <w:rFonts w:hint="default"/>
                      <w:sz w:val="18"/>
                      <w:szCs w:val="18"/>
                    </w:rPr>
                  </w:pPr>
                </w:p>
              </w:tc>
              <w:tc>
                <w:tcPr>
                  <w:tcW w:w="284" w:type="pct"/>
                  <w:vAlign w:val="center"/>
                </w:tcPr>
                <w:p w14:paraId="29903D82">
                  <w:pPr>
                    <w:pStyle w:val="83"/>
                    <w:rPr>
                      <w:rFonts w:hint="default"/>
                      <w:sz w:val="18"/>
                      <w:szCs w:val="18"/>
                    </w:rPr>
                  </w:pPr>
                  <w:r>
                    <w:rPr>
                      <w:sz w:val="18"/>
                      <w:szCs w:val="18"/>
                    </w:rPr>
                    <w:t>废试剂瓶</w:t>
                  </w:r>
                </w:p>
              </w:tc>
              <w:tc>
                <w:tcPr>
                  <w:tcW w:w="474" w:type="pct"/>
                  <w:vAlign w:val="center"/>
                </w:tcPr>
                <w:p w14:paraId="1D9472AE">
                  <w:pPr>
                    <w:pStyle w:val="83"/>
                    <w:rPr>
                      <w:rFonts w:hint="default"/>
                      <w:sz w:val="18"/>
                      <w:szCs w:val="18"/>
                    </w:rPr>
                  </w:pPr>
                  <w:r>
                    <w:rPr>
                      <w:sz w:val="18"/>
                      <w:szCs w:val="18"/>
                    </w:rPr>
                    <w:t>化学品贮存</w:t>
                  </w:r>
                </w:p>
              </w:tc>
              <w:tc>
                <w:tcPr>
                  <w:tcW w:w="228" w:type="pct"/>
                  <w:vAlign w:val="center"/>
                </w:tcPr>
                <w:p w14:paraId="63003781">
                  <w:pPr>
                    <w:pStyle w:val="83"/>
                    <w:rPr>
                      <w:rFonts w:hint="default"/>
                      <w:sz w:val="18"/>
                      <w:szCs w:val="18"/>
                    </w:rPr>
                  </w:pPr>
                  <w:r>
                    <w:rPr>
                      <w:sz w:val="18"/>
                      <w:szCs w:val="18"/>
                    </w:rPr>
                    <w:t>固</w:t>
                  </w:r>
                </w:p>
              </w:tc>
              <w:tc>
                <w:tcPr>
                  <w:tcW w:w="340" w:type="pct"/>
                  <w:vAlign w:val="center"/>
                </w:tcPr>
                <w:p w14:paraId="1A5E35D8">
                  <w:pPr>
                    <w:pStyle w:val="83"/>
                    <w:rPr>
                      <w:rFonts w:hint="default"/>
                      <w:sz w:val="18"/>
                      <w:szCs w:val="18"/>
                    </w:rPr>
                  </w:pPr>
                  <w:r>
                    <w:rPr>
                      <w:sz w:val="18"/>
                      <w:szCs w:val="18"/>
                    </w:rPr>
                    <w:t>HW49</w:t>
                  </w:r>
                </w:p>
              </w:tc>
              <w:tc>
                <w:tcPr>
                  <w:tcW w:w="452" w:type="pct"/>
                  <w:vAlign w:val="center"/>
                </w:tcPr>
                <w:p w14:paraId="2B445B1D">
                  <w:pPr>
                    <w:pStyle w:val="83"/>
                    <w:rPr>
                      <w:rFonts w:hint="default"/>
                      <w:sz w:val="18"/>
                      <w:szCs w:val="18"/>
                    </w:rPr>
                  </w:pPr>
                  <w:r>
                    <w:rPr>
                      <w:sz w:val="18"/>
                      <w:szCs w:val="18"/>
                    </w:rPr>
                    <w:t>900-047-49</w:t>
                  </w:r>
                </w:p>
              </w:tc>
              <w:tc>
                <w:tcPr>
                  <w:tcW w:w="452" w:type="pct"/>
                  <w:vAlign w:val="center"/>
                </w:tcPr>
                <w:p w14:paraId="7868317C">
                  <w:pPr>
                    <w:pStyle w:val="83"/>
                    <w:rPr>
                      <w:rFonts w:hint="default"/>
                      <w:sz w:val="18"/>
                      <w:szCs w:val="18"/>
                    </w:rPr>
                  </w:pPr>
                  <w:r>
                    <w:rPr>
                      <w:sz w:val="18"/>
                      <w:szCs w:val="18"/>
                    </w:rPr>
                    <w:t>酸液、有机溶剂</w:t>
                  </w:r>
                </w:p>
              </w:tc>
              <w:tc>
                <w:tcPr>
                  <w:tcW w:w="452" w:type="pct"/>
                  <w:vAlign w:val="center"/>
                </w:tcPr>
                <w:p w14:paraId="503F6CF7">
                  <w:pPr>
                    <w:pStyle w:val="83"/>
                    <w:rPr>
                      <w:rFonts w:hint="default"/>
                      <w:sz w:val="18"/>
                      <w:szCs w:val="18"/>
                    </w:rPr>
                  </w:pPr>
                  <w:r>
                    <w:rPr>
                      <w:sz w:val="18"/>
                      <w:szCs w:val="18"/>
                    </w:rPr>
                    <w:t>间断</w:t>
                  </w:r>
                </w:p>
              </w:tc>
              <w:tc>
                <w:tcPr>
                  <w:tcW w:w="338" w:type="pct"/>
                  <w:vAlign w:val="center"/>
                </w:tcPr>
                <w:p w14:paraId="2C441094">
                  <w:pPr>
                    <w:pStyle w:val="83"/>
                    <w:rPr>
                      <w:rFonts w:hint="default"/>
                      <w:sz w:val="18"/>
                      <w:szCs w:val="18"/>
                    </w:rPr>
                  </w:pPr>
                  <w:r>
                    <w:rPr>
                      <w:sz w:val="18"/>
                      <w:szCs w:val="18"/>
                    </w:rPr>
                    <w:t>T/C/I/R</w:t>
                  </w:r>
                </w:p>
              </w:tc>
              <w:tc>
                <w:tcPr>
                  <w:tcW w:w="338" w:type="pct"/>
                  <w:vAlign w:val="center"/>
                </w:tcPr>
                <w:p w14:paraId="4A3CD73B">
                  <w:pPr>
                    <w:pStyle w:val="83"/>
                    <w:rPr>
                      <w:rFonts w:hint="default"/>
                      <w:sz w:val="18"/>
                      <w:szCs w:val="18"/>
                    </w:rPr>
                  </w:pPr>
                  <w:r>
                    <w:rPr>
                      <w:sz w:val="18"/>
                      <w:szCs w:val="18"/>
                    </w:rPr>
                    <w:t>1</w:t>
                  </w:r>
                </w:p>
              </w:tc>
              <w:tc>
                <w:tcPr>
                  <w:tcW w:w="508" w:type="pct"/>
                  <w:vAlign w:val="center"/>
                </w:tcPr>
                <w:p w14:paraId="1B19C7A1">
                  <w:pPr>
                    <w:pStyle w:val="83"/>
                    <w:rPr>
                      <w:rFonts w:hint="default"/>
                      <w:sz w:val="18"/>
                      <w:szCs w:val="18"/>
                    </w:rPr>
                  </w:pPr>
                  <w:r>
                    <w:rPr>
                      <w:sz w:val="18"/>
                      <w:szCs w:val="18"/>
                    </w:rPr>
                    <w:t>现有危废间</w:t>
                  </w:r>
                </w:p>
              </w:tc>
              <w:tc>
                <w:tcPr>
                  <w:tcW w:w="226" w:type="pct"/>
                  <w:vAlign w:val="center"/>
                </w:tcPr>
                <w:p w14:paraId="470C331F">
                  <w:pPr>
                    <w:pStyle w:val="83"/>
                    <w:rPr>
                      <w:rFonts w:hint="default"/>
                      <w:sz w:val="18"/>
                      <w:szCs w:val="18"/>
                    </w:rPr>
                  </w:pPr>
                  <w:r>
                    <w:rPr>
                      <w:sz w:val="18"/>
                      <w:szCs w:val="18"/>
                    </w:rPr>
                    <w:t>袋装</w:t>
                  </w:r>
                </w:p>
              </w:tc>
              <w:tc>
                <w:tcPr>
                  <w:tcW w:w="224" w:type="pct"/>
                  <w:vAlign w:val="center"/>
                </w:tcPr>
                <w:p w14:paraId="3A11F89D">
                  <w:pPr>
                    <w:pStyle w:val="83"/>
                    <w:rPr>
                      <w:rFonts w:hint="default"/>
                      <w:sz w:val="18"/>
                      <w:szCs w:val="18"/>
                    </w:rPr>
                  </w:pPr>
                  <w:r>
                    <w:rPr>
                      <w:rFonts w:hint="eastAsia"/>
                      <w:sz w:val="18"/>
                      <w:szCs w:val="18"/>
                      <w:lang w:val="en-US" w:eastAsia="zh-CN"/>
                    </w:rPr>
                    <w:t>90天</w:t>
                  </w:r>
                </w:p>
              </w:tc>
              <w:tc>
                <w:tcPr>
                  <w:tcW w:w="506" w:type="pct"/>
                  <w:vAlign w:val="center"/>
                </w:tcPr>
                <w:p w14:paraId="5E7B7C65">
                  <w:pPr>
                    <w:pStyle w:val="83"/>
                    <w:rPr>
                      <w:rFonts w:hint="default"/>
                      <w:sz w:val="18"/>
                      <w:szCs w:val="18"/>
                    </w:rPr>
                  </w:pPr>
                  <w:r>
                    <w:rPr>
                      <w:sz w:val="18"/>
                      <w:szCs w:val="18"/>
                    </w:rPr>
                    <w:t>委托有资质单位处置</w:t>
                  </w:r>
                </w:p>
              </w:tc>
            </w:tr>
            <w:tr w14:paraId="480189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71" w:type="pct"/>
                  <w:vMerge w:val="continue"/>
                  <w:vAlign w:val="center"/>
                </w:tcPr>
                <w:p w14:paraId="7B11459B">
                  <w:pPr>
                    <w:pStyle w:val="83"/>
                    <w:rPr>
                      <w:rFonts w:hint="default"/>
                      <w:sz w:val="18"/>
                      <w:szCs w:val="18"/>
                    </w:rPr>
                  </w:pPr>
                </w:p>
              </w:tc>
              <w:tc>
                <w:tcPr>
                  <w:tcW w:w="284" w:type="pct"/>
                  <w:vAlign w:val="center"/>
                </w:tcPr>
                <w:p w14:paraId="60A85181">
                  <w:pPr>
                    <w:pStyle w:val="83"/>
                    <w:rPr>
                      <w:rFonts w:hint="default"/>
                      <w:sz w:val="18"/>
                      <w:szCs w:val="18"/>
                    </w:rPr>
                  </w:pPr>
                  <w:r>
                    <w:rPr>
                      <w:sz w:val="18"/>
                      <w:szCs w:val="18"/>
                    </w:rPr>
                    <w:t>废活性炭</w:t>
                  </w:r>
                </w:p>
              </w:tc>
              <w:tc>
                <w:tcPr>
                  <w:tcW w:w="474" w:type="pct"/>
                  <w:vAlign w:val="center"/>
                </w:tcPr>
                <w:p w14:paraId="344BA7FE">
                  <w:pPr>
                    <w:pStyle w:val="83"/>
                    <w:rPr>
                      <w:rFonts w:hint="default"/>
                      <w:sz w:val="18"/>
                      <w:szCs w:val="18"/>
                    </w:rPr>
                  </w:pPr>
                  <w:r>
                    <w:rPr>
                      <w:sz w:val="18"/>
                      <w:szCs w:val="18"/>
                    </w:rPr>
                    <w:t>废气处理</w:t>
                  </w:r>
                </w:p>
              </w:tc>
              <w:tc>
                <w:tcPr>
                  <w:tcW w:w="228" w:type="pct"/>
                  <w:vAlign w:val="center"/>
                </w:tcPr>
                <w:p w14:paraId="557884DA">
                  <w:pPr>
                    <w:pStyle w:val="83"/>
                    <w:rPr>
                      <w:rFonts w:hint="default"/>
                      <w:sz w:val="18"/>
                      <w:szCs w:val="18"/>
                    </w:rPr>
                  </w:pPr>
                  <w:r>
                    <w:rPr>
                      <w:sz w:val="18"/>
                      <w:szCs w:val="18"/>
                    </w:rPr>
                    <w:t>固</w:t>
                  </w:r>
                </w:p>
              </w:tc>
              <w:tc>
                <w:tcPr>
                  <w:tcW w:w="340" w:type="pct"/>
                  <w:vAlign w:val="center"/>
                </w:tcPr>
                <w:p w14:paraId="0B8D8746">
                  <w:pPr>
                    <w:pStyle w:val="83"/>
                    <w:rPr>
                      <w:rFonts w:hint="default"/>
                      <w:sz w:val="18"/>
                      <w:szCs w:val="18"/>
                    </w:rPr>
                  </w:pPr>
                  <w:r>
                    <w:rPr>
                      <w:sz w:val="18"/>
                      <w:szCs w:val="18"/>
                    </w:rPr>
                    <w:t>HW49</w:t>
                  </w:r>
                </w:p>
              </w:tc>
              <w:tc>
                <w:tcPr>
                  <w:tcW w:w="452" w:type="pct"/>
                  <w:vAlign w:val="center"/>
                </w:tcPr>
                <w:p w14:paraId="4F8B475E">
                  <w:pPr>
                    <w:pStyle w:val="83"/>
                    <w:rPr>
                      <w:rFonts w:hint="default"/>
                      <w:sz w:val="18"/>
                      <w:szCs w:val="18"/>
                    </w:rPr>
                  </w:pPr>
                  <w:r>
                    <w:rPr>
                      <w:sz w:val="18"/>
                      <w:szCs w:val="18"/>
                    </w:rPr>
                    <w:t>900-039-49</w:t>
                  </w:r>
                </w:p>
              </w:tc>
              <w:tc>
                <w:tcPr>
                  <w:tcW w:w="452" w:type="pct"/>
                  <w:vAlign w:val="center"/>
                </w:tcPr>
                <w:p w14:paraId="2D3DD12B">
                  <w:pPr>
                    <w:pStyle w:val="83"/>
                    <w:rPr>
                      <w:rFonts w:hint="default"/>
                      <w:sz w:val="18"/>
                      <w:szCs w:val="18"/>
                    </w:rPr>
                  </w:pPr>
                  <w:r>
                    <w:rPr>
                      <w:sz w:val="18"/>
                      <w:szCs w:val="18"/>
                    </w:rPr>
                    <w:t>活性炭</w:t>
                  </w:r>
                </w:p>
              </w:tc>
              <w:tc>
                <w:tcPr>
                  <w:tcW w:w="452" w:type="pct"/>
                  <w:vAlign w:val="center"/>
                </w:tcPr>
                <w:p w14:paraId="378E274D">
                  <w:pPr>
                    <w:pStyle w:val="83"/>
                    <w:rPr>
                      <w:rFonts w:hint="default"/>
                      <w:sz w:val="18"/>
                      <w:szCs w:val="18"/>
                    </w:rPr>
                  </w:pPr>
                  <w:r>
                    <w:rPr>
                      <w:sz w:val="18"/>
                      <w:szCs w:val="18"/>
                    </w:rPr>
                    <w:t>间断</w:t>
                  </w:r>
                </w:p>
              </w:tc>
              <w:tc>
                <w:tcPr>
                  <w:tcW w:w="338" w:type="pct"/>
                  <w:vAlign w:val="center"/>
                </w:tcPr>
                <w:p w14:paraId="63869627">
                  <w:pPr>
                    <w:pStyle w:val="83"/>
                    <w:rPr>
                      <w:rFonts w:hint="default"/>
                      <w:sz w:val="18"/>
                      <w:szCs w:val="18"/>
                    </w:rPr>
                  </w:pPr>
                  <w:r>
                    <w:rPr>
                      <w:sz w:val="18"/>
                      <w:szCs w:val="18"/>
                    </w:rPr>
                    <w:t>T</w:t>
                  </w:r>
                </w:p>
              </w:tc>
              <w:tc>
                <w:tcPr>
                  <w:tcW w:w="338" w:type="pct"/>
                  <w:vAlign w:val="center"/>
                </w:tcPr>
                <w:p w14:paraId="3D3B4690">
                  <w:pPr>
                    <w:pStyle w:val="83"/>
                    <w:rPr>
                      <w:rFonts w:hint="default"/>
                      <w:sz w:val="18"/>
                      <w:szCs w:val="18"/>
                    </w:rPr>
                  </w:pPr>
                  <w:r>
                    <w:rPr>
                      <w:sz w:val="18"/>
                      <w:szCs w:val="18"/>
                    </w:rPr>
                    <w:t>1</w:t>
                  </w:r>
                </w:p>
              </w:tc>
              <w:tc>
                <w:tcPr>
                  <w:tcW w:w="1298" w:type="dxa"/>
                  <w:vAlign w:val="center"/>
                </w:tcPr>
                <w:p w14:paraId="260EC779">
                  <w:pPr>
                    <w:pStyle w:val="83"/>
                    <w:rPr>
                      <w:rFonts w:hint="default"/>
                      <w:sz w:val="18"/>
                      <w:szCs w:val="18"/>
                    </w:rPr>
                  </w:pPr>
                  <w:r>
                    <w:rPr>
                      <w:sz w:val="18"/>
                      <w:szCs w:val="18"/>
                    </w:rPr>
                    <w:t>现有危废间</w:t>
                  </w:r>
                </w:p>
              </w:tc>
              <w:tc>
                <w:tcPr>
                  <w:tcW w:w="578" w:type="dxa"/>
                  <w:vAlign w:val="center"/>
                </w:tcPr>
                <w:p w14:paraId="20073989">
                  <w:pPr>
                    <w:pStyle w:val="83"/>
                    <w:rPr>
                      <w:rFonts w:hint="default"/>
                      <w:sz w:val="18"/>
                      <w:szCs w:val="18"/>
                    </w:rPr>
                  </w:pPr>
                  <w:r>
                    <w:rPr>
                      <w:rFonts w:hint="eastAsia"/>
                      <w:sz w:val="18"/>
                      <w:szCs w:val="18"/>
                      <w:lang w:val="en-US" w:eastAsia="zh-CN"/>
                    </w:rPr>
                    <w:t>桶</w:t>
                  </w:r>
                  <w:r>
                    <w:rPr>
                      <w:sz w:val="18"/>
                      <w:szCs w:val="18"/>
                    </w:rPr>
                    <w:t>装</w:t>
                  </w:r>
                </w:p>
              </w:tc>
              <w:tc>
                <w:tcPr>
                  <w:tcW w:w="573" w:type="dxa"/>
                  <w:vAlign w:val="center"/>
                </w:tcPr>
                <w:p w14:paraId="503708AC">
                  <w:pPr>
                    <w:pStyle w:val="83"/>
                    <w:rPr>
                      <w:rFonts w:hint="default"/>
                      <w:sz w:val="18"/>
                      <w:szCs w:val="18"/>
                    </w:rPr>
                  </w:pPr>
                  <w:r>
                    <w:rPr>
                      <w:rFonts w:hint="eastAsia"/>
                      <w:sz w:val="18"/>
                      <w:szCs w:val="18"/>
                      <w:lang w:val="en-US" w:eastAsia="zh-CN"/>
                    </w:rPr>
                    <w:t>90天</w:t>
                  </w:r>
                </w:p>
              </w:tc>
              <w:tc>
                <w:tcPr>
                  <w:tcW w:w="1293" w:type="dxa"/>
                  <w:vAlign w:val="center"/>
                </w:tcPr>
                <w:p w14:paraId="6A548865">
                  <w:pPr>
                    <w:pStyle w:val="83"/>
                    <w:rPr>
                      <w:rFonts w:hint="default"/>
                      <w:sz w:val="18"/>
                      <w:szCs w:val="18"/>
                    </w:rPr>
                  </w:pPr>
                  <w:r>
                    <w:rPr>
                      <w:sz w:val="18"/>
                      <w:szCs w:val="18"/>
                    </w:rPr>
                    <w:t>委托有资质单位处置</w:t>
                  </w:r>
                </w:p>
              </w:tc>
            </w:tr>
          </w:tbl>
          <w:p w14:paraId="7E0C46EE">
            <w:pPr>
              <w:pStyle w:val="14"/>
              <w:adjustRightInd w:val="0"/>
              <w:snapToGrid w:val="0"/>
              <w:spacing w:before="0" w:beforeAutospacing="0" w:after="0" w:afterAutospacing="0"/>
              <w:ind w:firstLine="602"/>
              <w:rPr>
                <w:rFonts w:ascii="Times New Roman" w:hAnsi="Times New Roman"/>
                <w:b/>
                <w:snapToGrid w:val="0"/>
                <w:sz w:val="30"/>
                <w:szCs w:val="30"/>
              </w:rPr>
            </w:pPr>
          </w:p>
        </w:tc>
      </w:tr>
    </w:tbl>
    <w:p w14:paraId="74B1D6E7">
      <w:pPr>
        <w:pStyle w:val="14"/>
        <w:ind w:firstLine="600"/>
        <w:jc w:val="center"/>
        <w:outlineLvl w:val="0"/>
        <w:rPr>
          <w:rFonts w:hint="eastAsia" w:ascii="黑体" w:hAnsi="黑体" w:eastAsia="黑体"/>
          <w:snapToGrid w:val="0"/>
          <w:sz w:val="30"/>
          <w:szCs w:val="30"/>
        </w:rPr>
        <w:sectPr>
          <w:pgSz w:w="16838" w:h="11906" w:orient="landscape"/>
          <w:pgMar w:top="1531" w:right="1701" w:bottom="1531" w:left="1701" w:header="851" w:footer="1077" w:gutter="0"/>
          <w:pgBorders>
            <w:top w:val="none" w:sz="0" w:space="0"/>
            <w:left w:val="none" w:sz="0" w:space="0"/>
            <w:bottom w:val="none" w:sz="0" w:space="0"/>
            <w:right w:val="none" w:sz="0" w:space="0"/>
          </w:pgBorders>
          <w:cols w:space="720" w:num="1"/>
          <w:docGrid w:linePitch="312" w:charSpace="0"/>
        </w:sectPr>
      </w:pPr>
    </w:p>
    <w:tbl>
      <w:tblPr>
        <w:tblStyle w:val="1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385"/>
      </w:tblGrid>
      <w:tr w14:paraId="1F31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vAlign w:val="center"/>
          </w:tcPr>
          <w:p w14:paraId="658E409F">
            <w:pPr>
              <w:pStyle w:val="14"/>
              <w:spacing w:before="0" w:beforeAutospacing="0" w:after="0" w:afterAutospacing="0"/>
              <w:ind w:firstLine="0" w:firstLineChars="0"/>
              <w:jc w:val="center"/>
              <w:outlineLvl w:val="0"/>
              <w:rPr>
                <w:rFonts w:ascii="Times New Roman" w:hAnsi="Times New Roman"/>
                <w:snapToGrid w:val="0"/>
                <w:sz w:val="21"/>
                <w:szCs w:val="21"/>
              </w:rPr>
            </w:pPr>
            <w:r>
              <w:rPr>
                <w:rFonts w:hint="eastAsia" w:ascii="Times New Roman" w:hAnsi="Times New Roman"/>
                <w:snapToGrid w:val="0"/>
                <w:sz w:val="21"/>
                <w:szCs w:val="21"/>
              </w:rPr>
              <w:t>运营期环境影响和保护措施</w:t>
            </w:r>
          </w:p>
        </w:tc>
        <w:tc>
          <w:tcPr>
            <w:tcW w:w="8385" w:type="dxa"/>
          </w:tcPr>
          <w:p w14:paraId="1D51F266">
            <w:pPr>
              <w:ind w:firstLine="480"/>
              <w:rPr>
                <w:rFonts w:hint="eastAsia"/>
              </w:rPr>
            </w:pPr>
            <w:r>
              <w:rPr>
                <w:rFonts w:hint="eastAsia"/>
              </w:rPr>
              <w:t>项目一般固废为废包装材料、不合格原料、废弃边角料、废离子交换树脂（纯水制备）、废RO膜（纯水制备），暂存在企业现有2#C废料仓库，后续外售综合利用。废料仓库位于厂区南侧，占地面积2673m</w:t>
            </w:r>
            <w:r>
              <w:rPr>
                <w:rFonts w:hint="eastAsia"/>
                <w:vertAlign w:val="superscript"/>
              </w:rPr>
              <w:t>2</w:t>
            </w:r>
            <w:r>
              <w:rPr>
                <w:rFonts w:hint="eastAsia"/>
              </w:rPr>
              <w:t>，按照《一般工业固体废物贮存和填埋污染控制标准》（GB18599-2020）的要求进行建设和管理，可容纳本次项目产生的一般固废。项目危险废物为废油剂、废试剂瓶、实验废液、废活性炭，暂存在企业现有危废间，后续委托有资质单位进行处置。危废间位于企业污水处理区西南角，占地面积551m</w:t>
            </w:r>
            <w:r>
              <w:rPr>
                <w:rFonts w:hint="eastAsia"/>
                <w:vertAlign w:val="superscript"/>
              </w:rPr>
              <w:t>2</w:t>
            </w:r>
            <w:r>
              <w:rPr>
                <w:rFonts w:hint="eastAsia"/>
              </w:rPr>
              <w:t>，按照《危险废物贮存污染控制标准》（GB18597-2023）的要求进行建设和管理。</w:t>
            </w:r>
          </w:p>
          <w:p w14:paraId="113C642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i w:val="0"/>
                <w:kern w:val="2"/>
                <w:sz w:val="24"/>
                <w:szCs w:val="24"/>
                <w:highlight w:val="none"/>
                <w:lang w:val="en-US" w:eastAsia="zh-CN" w:bidi="ar-SA"/>
              </w:rPr>
            </w:pPr>
            <w:r>
              <w:rPr>
                <w:rFonts w:hint="eastAsia" w:ascii="Times New Roman" w:hAnsi="Times New Roman" w:cs="Times New Roman"/>
                <w:i w:val="0"/>
                <w:kern w:val="2"/>
                <w:sz w:val="24"/>
                <w:szCs w:val="24"/>
                <w:highlight w:val="none"/>
                <w:lang w:val="en-US" w:eastAsia="zh-CN" w:bidi="ar-SA"/>
              </w:rPr>
              <w:t>企业危险废物多为固态和液态，使用250kg密封桶或吨袋包装，每个密封桶桶底面积0.3m</w:t>
            </w:r>
            <w:r>
              <w:rPr>
                <w:rFonts w:hint="eastAsia" w:ascii="Times New Roman" w:hAnsi="Times New Roman" w:cs="Times New Roman"/>
                <w:i w:val="0"/>
                <w:kern w:val="2"/>
                <w:sz w:val="24"/>
                <w:szCs w:val="24"/>
                <w:highlight w:val="none"/>
                <w:vertAlign w:val="superscript"/>
                <w:lang w:val="en-US" w:eastAsia="zh-CN" w:bidi="ar-SA"/>
              </w:rPr>
              <w:t>2</w:t>
            </w:r>
            <w:r>
              <w:rPr>
                <w:rFonts w:hint="eastAsia" w:ascii="Times New Roman" w:hAnsi="Times New Roman" w:cs="Times New Roman"/>
                <w:i w:val="0"/>
                <w:kern w:val="2"/>
                <w:sz w:val="24"/>
                <w:szCs w:val="24"/>
                <w:highlight w:val="none"/>
                <w:lang w:val="en-US" w:eastAsia="zh-CN" w:bidi="ar-SA"/>
              </w:rPr>
              <w:t>，每个废试剂瓶包装袋（25kg）袋底面积0.2m</w:t>
            </w:r>
            <w:r>
              <w:rPr>
                <w:rFonts w:hint="eastAsia" w:ascii="Times New Roman" w:hAnsi="Times New Roman" w:cs="Times New Roman"/>
                <w:i w:val="0"/>
                <w:kern w:val="2"/>
                <w:sz w:val="24"/>
                <w:szCs w:val="24"/>
                <w:highlight w:val="none"/>
                <w:vertAlign w:val="superscript"/>
                <w:lang w:val="en-US" w:eastAsia="zh-CN" w:bidi="ar-SA"/>
              </w:rPr>
              <w:t>2</w:t>
            </w:r>
            <w:r>
              <w:rPr>
                <w:rFonts w:hint="eastAsia" w:ascii="Times New Roman" w:hAnsi="Times New Roman" w:cs="Times New Roman"/>
                <w:i w:val="0"/>
                <w:kern w:val="2"/>
                <w:sz w:val="24"/>
                <w:szCs w:val="24"/>
                <w:highlight w:val="none"/>
                <w:lang w:val="en-US" w:eastAsia="zh-CN" w:bidi="ar-SA"/>
              </w:rPr>
              <w:t>，每个吨袋袋底面积1m</w:t>
            </w:r>
            <w:r>
              <w:rPr>
                <w:rFonts w:hint="eastAsia" w:ascii="Times New Roman" w:hAnsi="Times New Roman" w:cs="Times New Roman"/>
                <w:i w:val="0"/>
                <w:kern w:val="2"/>
                <w:sz w:val="24"/>
                <w:szCs w:val="24"/>
                <w:highlight w:val="none"/>
                <w:vertAlign w:val="superscript"/>
                <w:lang w:val="en-US" w:eastAsia="zh-CN" w:bidi="ar-SA"/>
              </w:rPr>
              <w:t>2</w:t>
            </w:r>
            <w:r>
              <w:rPr>
                <w:rFonts w:hint="eastAsia" w:ascii="Times New Roman" w:hAnsi="Times New Roman" w:cs="Times New Roman"/>
                <w:i w:val="0"/>
                <w:kern w:val="2"/>
                <w:sz w:val="24"/>
                <w:szCs w:val="24"/>
                <w:highlight w:val="none"/>
                <w:vertAlign w:val="baseline"/>
                <w:lang w:val="en-US" w:eastAsia="zh-CN" w:bidi="ar-SA"/>
              </w:rPr>
              <w:t>。锅炉灰渣可堆叠2层放置。</w:t>
            </w:r>
          </w:p>
          <w:p w14:paraId="305321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bCs/>
                <w:i w:val="0"/>
                <w:kern w:val="2"/>
                <w:sz w:val="24"/>
                <w:szCs w:val="24"/>
                <w:highlight w:val="none"/>
                <w:lang w:val="en-US" w:eastAsia="zh-CN" w:bidi="ar-SA"/>
              </w:rPr>
            </w:pPr>
            <w:r>
              <w:rPr>
                <w:rFonts w:hint="eastAsia" w:ascii="Times New Roman" w:hAnsi="Times New Roman" w:cs="Times New Roman"/>
                <w:b/>
                <w:bCs/>
                <w:i w:val="0"/>
                <w:kern w:val="2"/>
                <w:sz w:val="24"/>
                <w:szCs w:val="24"/>
                <w:highlight w:val="none"/>
                <w:lang w:val="en-US" w:eastAsia="zh-CN" w:bidi="ar-SA"/>
              </w:rPr>
              <w:t>表4.2-13  危险废物贮存能力核算表</w:t>
            </w:r>
          </w:p>
          <w:tbl>
            <w:tblPr>
              <w:tblStyle w:val="18"/>
              <w:tblW w:w="4995"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52"/>
              <w:gridCol w:w="1159"/>
              <w:gridCol w:w="839"/>
              <w:gridCol w:w="707"/>
              <w:gridCol w:w="841"/>
              <w:gridCol w:w="832"/>
              <w:gridCol w:w="1286"/>
              <w:gridCol w:w="950"/>
              <w:gridCol w:w="1095"/>
            </w:tblGrid>
            <w:tr w14:paraId="5ABB2A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vMerge w:val="restart"/>
                  <w:tcBorders>
                    <w:tl2br w:val="nil"/>
                    <w:tr2bl w:val="nil"/>
                  </w:tcBorders>
                  <w:vAlign w:val="center"/>
                </w:tcPr>
                <w:p w14:paraId="649709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序号</w:t>
                  </w:r>
                </w:p>
              </w:tc>
              <w:tc>
                <w:tcPr>
                  <w:tcW w:w="710" w:type="pct"/>
                  <w:vMerge w:val="restart"/>
                  <w:tcBorders>
                    <w:tl2br w:val="nil"/>
                    <w:tr2bl w:val="nil"/>
                  </w:tcBorders>
                  <w:vAlign w:val="center"/>
                </w:tcPr>
                <w:p w14:paraId="04B8E3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危废种类</w:t>
                  </w:r>
                </w:p>
              </w:tc>
              <w:tc>
                <w:tcPr>
                  <w:tcW w:w="514" w:type="pct"/>
                  <w:vMerge w:val="restart"/>
                  <w:tcBorders>
                    <w:tl2br w:val="nil"/>
                    <w:tr2bl w:val="nil"/>
                  </w:tcBorders>
                  <w:vAlign w:val="center"/>
                </w:tcPr>
                <w:p w14:paraId="267B05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产生量（t/a）</w:t>
                  </w:r>
                </w:p>
              </w:tc>
              <w:tc>
                <w:tcPr>
                  <w:tcW w:w="433" w:type="pct"/>
                  <w:vMerge w:val="restart"/>
                  <w:tcBorders>
                    <w:tl2br w:val="nil"/>
                    <w:tr2bl w:val="nil"/>
                  </w:tcBorders>
                  <w:vAlign w:val="center"/>
                </w:tcPr>
                <w:p w14:paraId="7BD753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贮存周期</w:t>
                  </w:r>
                </w:p>
              </w:tc>
              <w:tc>
                <w:tcPr>
                  <w:tcW w:w="515" w:type="pct"/>
                  <w:vMerge w:val="restart"/>
                  <w:tcBorders>
                    <w:tl2br w:val="nil"/>
                    <w:tr2bl w:val="nil"/>
                  </w:tcBorders>
                  <w:vAlign w:val="center"/>
                </w:tcPr>
                <w:p w14:paraId="6F732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贮存量（t）</w:t>
                  </w:r>
                </w:p>
              </w:tc>
              <w:tc>
                <w:tcPr>
                  <w:tcW w:w="510" w:type="pct"/>
                  <w:vMerge w:val="restart"/>
                  <w:tcBorders>
                    <w:tl2br w:val="nil"/>
                    <w:tr2bl w:val="nil"/>
                  </w:tcBorders>
                  <w:vAlign w:val="center"/>
                </w:tcPr>
                <w:p w14:paraId="22E8DC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形态</w:t>
                  </w:r>
                </w:p>
              </w:tc>
              <w:tc>
                <w:tcPr>
                  <w:tcW w:w="788" w:type="pct"/>
                  <w:vMerge w:val="restart"/>
                  <w:tcBorders>
                    <w:tl2br w:val="nil"/>
                    <w:tr2bl w:val="nil"/>
                  </w:tcBorders>
                  <w:vAlign w:val="center"/>
                </w:tcPr>
                <w:p w14:paraId="593AB5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包装规格</w:t>
                  </w:r>
                </w:p>
              </w:tc>
              <w:tc>
                <w:tcPr>
                  <w:tcW w:w="582" w:type="pct"/>
                  <w:vMerge w:val="restart"/>
                  <w:tcBorders>
                    <w:tl2br w:val="nil"/>
                    <w:tr2bl w:val="nil"/>
                  </w:tcBorders>
                  <w:vAlign w:val="center"/>
                </w:tcPr>
                <w:p w14:paraId="144446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cs="Times New Roman"/>
                      <w:b w:val="0"/>
                      <w:bCs w:val="0"/>
                      <w:i w:val="0"/>
                      <w:kern w:val="2"/>
                      <w:sz w:val="18"/>
                      <w:szCs w:val="18"/>
                      <w:highlight w:val="none"/>
                      <w:vertAlign w:val="baseline"/>
                      <w:lang w:val="en-US" w:eastAsia="zh-CN" w:bidi="ar-SA"/>
                    </w:rPr>
                    <w:t>包装数量（个）</w:t>
                  </w:r>
                </w:p>
              </w:tc>
              <w:tc>
                <w:tcPr>
                  <w:tcW w:w="668" w:type="pct"/>
                  <w:vMerge w:val="restart"/>
                  <w:tcBorders>
                    <w:tl2br w:val="nil"/>
                    <w:tr2bl w:val="nil"/>
                  </w:tcBorders>
                  <w:vAlign w:val="center"/>
                </w:tcPr>
                <w:p w14:paraId="498172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贮存面积</w:t>
                  </w:r>
                  <w:r>
                    <w:rPr>
                      <w:rFonts w:hint="eastAsia" w:cs="Times New Roman"/>
                      <w:b w:val="0"/>
                      <w:bCs w:val="0"/>
                      <w:i w:val="0"/>
                      <w:kern w:val="2"/>
                      <w:sz w:val="18"/>
                      <w:szCs w:val="18"/>
                      <w:highlight w:val="none"/>
                      <w:vertAlign w:val="baseline"/>
                      <w:lang w:val="en-US" w:eastAsia="zh-CN" w:bidi="ar-SA"/>
                    </w:rPr>
                    <w:t>（</w:t>
                  </w:r>
                  <w:r>
                    <w:rPr>
                      <w:rFonts w:hint="eastAsia" w:ascii="Times New Roman" w:hAnsi="Times New Roman" w:eastAsia="宋体" w:cs="Times New Roman"/>
                      <w:b w:val="0"/>
                      <w:bCs w:val="0"/>
                      <w:i w:val="0"/>
                      <w:kern w:val="2"/>
                      <w:sz w:val="18"/>
                      <w:szCs w:val="18"/>
                      <w:highlight w:val="none"/>
                      <w:vertAlign w:val="baseline"/>
                      <w:lang w:val="en-US" w:eastAsia="zh-CN" w:bidi="ar-SA"/>
                    </w:rPr>
                    <w:t>m</w:t>
                  </w:r>
                  <w:r>
                    <w:rPr>
                      <w:rFonts w:hint="eastAsia" w:ascii="Times New Roman" w:hAnsi="Times New Roman" w:eastAsia="宋体" w:cs="Times New Roman"/>
                      <w:b w:val="0"/>
                      <w:bCs w:val="0"/>
                      <w:i w:val="0"/>
                      <w:kern w:val="2"/>
                      <w:sz w:val="18"/>
                      <w:szCs w:val="18"/>
                      <w:highlight w:val="none"/>
                      <w:vertAlign w:val="superscript"/>
                      <w:lang w:val="en-US" w:eastAsia="zh-CN" w:bidi="ar-SA"/>
                    </w:rPr>
                    <w:t>2</w:t>
                  </w:r>
                  <w:r>
                    <w:rPr>
                      <w:rFonts w:hint="eastAsia" w:cs="Times New Roman"/>
                      <w:b w:val="0"/>
                      <w:bCs w:val="0"/>
                      <w:i w:val="0"/>
                      <w:kern w:val="2"/>
                      <w:sz w:val="18"/>
                      <w:szCs w:val="18"/>
                      <w:highlight w:val="none"/>
                      <w:vertAlign w:val="baseline"/>
                      <w:lang w:val="en-US" w:eastAsia="zh-CN" w:bidi="ar-SA"/>
                    </w:rPr>
                    <w:t>）</w:t>
                  </w:r>
                </w:p>
              </w:tc>
            </w:tr>
            <w:tr w14:paraId="169216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vMerge w:val="continue"/>
                  <w:tcBorders>
                    <w:tl2br w:val="nil"/>
                    <w:tr2bl w:val="nil"/>
                  </w:tcBorders>
                  <w:vAlign w:val="center"/>
                </w:tcPr>
                <w:p w14:paraId="05BFC5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p>
              </w:tc>
              <w:tc>
                <w:tcPr>
                  <w:tcW w:w="710" w:type="pct"/>
                  <w:vMerge w:val="continue"/>
                  <w:tcBorders>
                    <w:tl2br w:val="nil"/>
                    <w:tr2bl w:val="nil"/>
                  </w:tcBorders>
                  <w:vAlign w:val="center"/>
                </w:tcPr>
                <w:p w14:paraId="10E964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p>
              </w:tc>
              <w:tc>
                <w:tcPr>
                  <w:tcW w:w="514" w:type="pct"/>
                  <w:vMerge w:val="continue"/>
                  <w:tcBorders>
                    <w:tl2br w:val="nil"/>
                    <w:tr2bl w:val="nil"/>
                  </w:tcBorders>
                  <w:vAlign w:val="center"/>
                </w:tcPr>
                <w:p w14:paraId="3B0746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p>
              </w:tc>
              <w:tc>
                <w:tcPr>
                  <w:tcW w:w="433" w:type="pct"/>
                  <w:vMerge w:val="continue"/>
                  <w:tcBorders>
                    <w:tl2br w:val="nil"/>
                    <w:tr2bl w:val="nil"/>
                  </w:tcBorders>
                  <w:vAlign w:val="center"/>
                </w:tcPr>
                <w:p w14:paraId="4216CA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p>
              </w:tc>
              <w:tc>
                <w:tcPr>
                  <w:tcW w:w="515" w:type="pct"/>
                  <w:vMerge w:val="continue"/>
                  <w:tcBorders>
                    <w:tl2br w:val="nil"/>
                    <w:tr2bl w:val="nil"/>
                  </w:tcBorders>
                  <w:vAlign w:val="center"/>
                </w:tcPr>
                <w:p w14:paraId="10D990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p>
              </w:tc>
              <w:tc>
                <w:tcPr>
                  <w:tcW w:w="510" w:type="pct"/>
                  <w:vMerge w:val="continue"/>
                  <w:tcBorders>
                    <w:tl2br w:val="nil"/>
                    <w:tr2bl w:val="nil"/>
                  </w:tcBorders>
                  <w:vAlign w:val="center"/>
                </w:tcPr>
                <w:p w14:paraId="5C158F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p>
              </w:tc>
              <w:tc>
                <w:tcPr>
                  <w:tcW w:w="788" w:type="pct"/>
                  <w:vMerge w:val="continue"/>
                  <w:tcBorders>
                    <w:tl2br w:val="nil"/>
                    <w:tr2bl w:val="nil"/>
                  </w:tcBorders>
                  <w:vAlign w:val="center"/>
                </w:tcPr>
                <w:p w14:paraId="11F8DC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p>
              </w:tc>
              <w:tc>
                <w:tcPr>
                  <w:tcW w:w="582" w:type="pct"/>
                  <w:vMerge w:val="continue"/>
                  <w:tcBorders>
                    <w:tl2br w:val="nil"/>
                    <w:tr2bl w:val="nil"/>
                  </w:tcBorders>
                  <w:vAlign w:val="center"/>
                </w:tcPr>
                <w:p w14:paraId="42DA7C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p>
              </w:tc>
              <w:tc>
                <w:tcPr>
                  <w:tcW w:w="668" w:type="pct"/>
                  <w:vMerge w:val="continue"/>
                  <w:tcBorders>
                    <w:tl2br w:val="nil"/>
                    <w:tr2bl w:val="nil"/>
                  </w:tcBorders>
                  <w:vAlign w:val="center"/>
                </w:tcPr>
                <w:p w14:paraId="3780D4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i w:val="0"/>
                      <w:kern w:val="2"/>
                      <w:sz w:val="18"/>
                      <w:szCs w:val="18"/>
                      <w:highlight w:val="none"/>
                      <w:vertAlign w:val="baseline"/>
                      <w:lang w:val="en-US" w:eastAsia="zh-CN" w:bidi="ar-SA"/>
                    </w:rPr>
                  </w:pPr>
                </w:p>
              </w:tc>
            </w:tr>
            <w:tr w14:paraId="20CD4C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21DFC5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1</w:t>
                  </w:r>
                </w:p>
              </w:tc>
              <w:tc>
                <w:tcPr>
                  <w:tcW w:w="710" w:type="pct"/>
                  <w:tcBorders>
                    <w:tl2br w:val="nil"/>
                    <w:tr2bl w:val="nil"/>
                  </w:tcBorders>
                  <w:vAlign w:val="center"/>
                </w:tcPr>
                <w:p w14:paraId="7E2CFE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废油剂</w:t>
                  </w:r>
                </w:p>
              </w:tc>
              <w:tc>
                <w:tcPr>
                  <w:tcW w:w="514" w:type="pct"/>
                  <w:tcBorders>
                    <w:tl2br w:val="nil"/>
                    <w:tr2bl w:val="nil"/>
                  </w:tcBorders>
                  <w:vAlign w:val="center"/>
                </w:tcPr>
                <w:p w14:paraId="1940C7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7.979</w:t>
                  </w:r>
                </w:p>
              </w:tc>
              <w:tc>
                <w:tcPr>
                  <w:tcW w:w="433" w:type="pct"/>
                  <w:tcBorders>
                    <w:tl2br w:val="nil"/>
                    <w:tr2bl w:val="nil"/>
                  </w:tcBorders>
                  <w:vAlign w:val="center"/>
                </w:tcPr>
                <w:p w14:paraId="1CB217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90天</w:t>
                  </w:r>
                </w:p>
              </w:tc>
              <w:tc>
                <w:tcPr>
                  <w:tcW w:w="515" w:type="pct"/>
                  <w:tcBorders>
                    <w:tl2br w:val="nil"/>
                    <w:tr2bl w:val="nil"/>
                  </w:tcBorders>
                  <w:vAlign w:val="center"/>
                </w:tcPr>
                <w:p w14:paraId="10AB87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1.968</w:t>
                  </w:r>
                </w:p>
              </w:tc>
              <w:tc>
                <w:tcPr>
                  <w:tcW w:w="510" w:type="pct"/>
                  <w:tcBorders>
                    <w:tl2br w:val="nil"/>
                    <w:tr2bl w:val="nil"/>
                  </w:tcBorders>
                  <w:vAlign w:val="center"/>
                </w:tcPr>
                <w:p w14:paraId="48EEEC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液态</w:t>
                  </w:r>
                </w:p>
              </w:tc>
              <w:tc>
                <w:tcPr>
                  <w:tcW w:w="788" w:type="pct"/>
                  <w:tcBorders>
                    <w:tl2br w:val="nil"/>
                    <w:tr2bl w:val="nil"/>
                  </w:tcBorders>
                  <w:vAlign w:val="center"/>
                </w:tcPr>
                <w:p w14:paraId="0BDAF5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250kg密封桶</w:t>
                  </w:r>
                </w:p>
              </w:tc>
              <w:tc>
                <w:tcPr>
                  <w:tcW w:w="582" w:type="pct"/>
                  <w:tcBorders>
                    <w:tl2br w:val="nil"/>
                    <w:tr2bl w:val="nil"/>
                  </w:tcBorders>
                  <w:vAlign w:val="center"/>
                </w:tcPr>
                <w:p w14:paraId="1AA38D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8</w:t>
                  </w:r>
                </w:p>
              </w:tc>
              <w:tc>
                <w:tcPr>
                  <w:tcW w:w="668" w:type="pct"/>
                  <w:tcBorders>
                    <w:tl2br w:val="nil"/>
                    <w:tr2bl w:val="nil"/>
                  </w:tcBorders>
                  <w:vAlign w:val="center"/>
                </w:tcPr>
                <w:p w14:paraId="6FC427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2.36</w:t>
                  </w:r>
                </w:p>
              </w:tc>
            </w:tr>
            <w:tr w14:paraId="268A72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2B04B1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w:t>
                  </w:r>
                </w:p>
              </w:tc>
              <w:tc>
                <w:tcPr>
                  <w:tcW w:w="710" w:type="pct"/>
                  <w:tcBorders>
                    <w:tl2br w:val="nil"/>
                    <w:tr2bl w:val="nil"/>
                  </w:tcBorders>
                  <w:vAlign w:val="center"/>
                </w:tcPr>
                <w:p w14:paraId="672800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有机残渣</w:t>
                  </w:r>
                </w:p>
              </w:tc>
              <w:tc>
                <w:tcPr>
                  <w:tcW w:w="514" w:type="pct"/>
                  <w:tcBorders>
                    <w:tl2br w:val="nil"/>
                    <w:tr2bl w:val="nil"/>
                  </w:tcBorders>
                  <w:vAlign w:val="center"/>
                </w:tcPr>
                <w:p w14:paraId="5E34A6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85.433</w:t>
                  </w:r>
                </w:p>
              </w:tc>
              <w:tc>
                <w:tcPr>
                  <w:tcW w:w="433" w:type="pct"/>
                  <w:tcBorders>
                    <w:tl2br w:val="nil"/>
                    <w:tr2bl w:val="nil"/>
                  </w:tcBorders>
                  <w:vAlign w:val="center"/>
                </w:tcPr>
                <w:p w14:paraId="659508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90天</w:t>
                  </w:r>
                </w:p>
              </w:tc>
              <w:tc>
                <w:tcPr>
                  <w:tcW w:w="515" w:type="pct"/>
                  <w:tcBorders>
                    <w:tl2br w:val="nil"/>
                    <w:tr2bl w:val="nil"/>
                  </w:tcBorders>
                  <w:vAlign w:val="center"/>
                </w:tcPr>
                <w:p w14:paraId="7C327B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21.07</w:t>
                  </w:r>
                </w:p>
              </w:tc>
              <w:tc>
                <w:tcPr>
                  <w:tcW w:w="510" w:type="pct"/>
                  <w:tcBorders>
                    <w:tl2br w:val="nil"/>
                    <w:tr2bl w:val="nil"/>
                  </w:tcBorders>
                  <w:vAlign w:val="center"/>
                </w:tcPr>
                <w:p w14:paraId="2329F7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半固态</w:t>
                  </w:r>
                </w:p>
              </w:tc>
              <w:tc>
                <w:tcPr>
                  <w:tcW w:w="788" w:type="pct"/>
                  <w:tcBorders>
                    <w:tl2br w:val="nil"/>
                    <w:tr2bl w:val="nil"/>
                  </w:tcBorders>
                  <w:vAlign w:val="center"/>
                </w:tcPr>
                <w:p w14:paraId="2616A0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250kg密封桶</w:t>
                  </w:r>
                </w:p>
              </w:tc>
              <w:tc>
                <w:tcPr>
                  <w:tcW w:w="582" w:type="pct"/>
                  <w:tcBorders>
                    <w:tl2br w:val="nil"/>
                    <w:tr2bl w:val="nil"/>
                  </w:tcBorders>
                  <w:vAlign w:val="center"/>
                </w:tcPr>
                <w:p w14:paraId="2BB3A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84</w:t>
                  </w:r>
                </w:p>
              </w:tc>
              <w:tc>
                <w:tcPr>
                  <w:tcW w:w="668" w:type="pct"/>
                  <w:tcBorders>
                    <w:tl2br w:val="nil"/>
                    <w:tr2bl w:val="nil"/>
                  </w:tcBorders>
                  <w:vAlign w:val="center"/>
                </w:tcPr>
                <w:p w14:paraId="07B6F0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25.28</w:t>
                  </w:r>
                </w:p>
              </w:tc>
            </w:tr>
            <w:tr w14:paraId="21A9CF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01DB66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3</w:t>
                  </w:r>
                </w:p>
              </w:tc>
              <w:tc>
                <w:tcPr>
                  <w:tcW w:w="710" w:type="pct"/>
                  <w:tcBorders>
                    <w:tl2br w:val="nil"/>
                    <w:tr2bl w:val="nil"/>
                  </w:tcBorders>
                  <w:vAlign w:val="center"/>
                </w:tcPr>
                <w:p w14:paraId="76B463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废酸液</w:t>
                  </w:r>
                </w:p>
              </w:tc>
              <w:tc>
                <w:tcPr>
                  <w:tcW w:w="514" w:type="pct"/>
                  <w:tcBorders>
                    <w:tl2br w:val="nil"/>
                    <w:tr2bl w:val="nil"/>
                  </w:tcBorders>
                  <w:vAlign w:val="center"/>
                </w:tcPr>
                <w:p w14:paraId="6CD4CD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3.165</w:t>
                  </w:r>
                </w:p>
              </w:tc>
              <w:tc>
                <w:tcPr>
                  <w:tcW w:w="433" w:type="pct"/>
                  <w:tcBorders>
                    <w:tl2br w:val="nil"/>
                    <w:tr2bl w:val="nil"/>
                  </w:tcBorders>
                  <w:vAlign w:val="center"/>
                </w:tcPr>
                <w:p w14:paraId="6DBF5F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90天</w:t>
                  </w:r>
                </w:p>
              </w:tc>
              <w:tc>
                <w:tcPr>
                  <w:tcW w:w="515" w:type="pct"/>
                  <w:tcBorders>
                    <w:tl2br w:val="nil"/>
                    <w:tr2bl w:val="nil"/>
                  </w:tcBorders>
                  <w:vAlign w:val="center"/>
                </w:tcPr>
                <w:p w14:paraId="1A10C9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0.781</w:t>
                  </w:r>
                </w:p>
              </w:tc>
              <w:tc>
                <w:tcPr>
                  <w:tcW w:w="510" w:type="pct"/>
                  <w:tcBorders>
                    <w:tl2br w:val="nil"/>
                    <w:tr2bl w:val="nil"/>
                  </w:tcBorders>
                  <w:vAlign w:val="center"/>
                </w:tcPr>
                <w:p w14:paraId="70E790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液态</w:t>
                  </w:r>
                </w:p>
              </w:tc>
              <w:tc>
                <w:tcPr>
                  <w:tcW w:w="788" w:type="pct"/>
                  <w:tcBorders>
                    <w:tl2br w:val="nil"/>
                    <w:tr2bl w:val="nil"/>
                  </w:tcBorders>
                  <w:vAlign w:val="center"/>
                </w:tcPr>
                <w:p w14:paraId="3A02D8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250kg密封桶</w:t>
                  </w:r>
                </w:p>
              </w:tc>
              <w:tc>
                <w:tcPr>
                  <w:tcW w:w="582" w:type="pct"/>
                  <w:tcBorders>
                    <w:tl2br w:val="nil"/>
                    <w:tr2bl w:val="nil"/>
                  </w:tcBorders>
                  <w:vAlign w:val="center"/>
                </w:tcPr>
                <w:p w14:paraId="4D69CF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3</w:t>
                  </w:r>
                </w:p>
              </w:tc>
              <w:tc>
                <w:tcPr>
                  <w:tcW w:w="668" w:type="pct"/>
                  <w:tcBorders>
                    <w:tl2br w:val="nil"/>
                    <w:tr2bl w:val="nil"/>
                  </w:tcBorders>
                  <w:vAlign w:val="center"/>
                </w:tcPr>
                <w:p w14:paraId="1004C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0.94</w:t>
                  </w:r>
                </w:p>
              </w:tc>
            </w:tr>
            <w:tr w14:paraId="653E9AF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47D6FA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4</w:t>
                  </w:r>
                </w:p>
              </w:tc>
              <w:tc>
                <w:tcPr>
                  <w:tcW w:w="710" w:type="pct"/>
                  <w:tcBorders>
                    <w:tl2br w:val="nil"/>
                    <w:tr2bl w:val="nil"/>
                  </w:tcBorders>
                  <w:vAlign w:val="center"/>
                </w:tcPr>
                <w:p w14:paraId="5EA4CE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废有机溶剂</w:t>
                  </w:r>
                </w:p>
              </w:tc>
              <w:tc>
                <w:tcPr>
                  <w:tcW w:w="514" w:type="pct"/>
                  <w:tcBorders>
                    <w:tl2br w:val="nil"/>
                    <w:tr2bl w:val="nil"/>
                  </w:tcBorders>
                  <w:vAlign w:val="center"/>
                </w:tcPr>
                <w:p w14:paraId="0282A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1.75</w:t>
                  </w:r>
                </w:p>
              </w:tc>
              <w:tc>
                <w:tcPr>
                  <w:tcW w:w="433" w:type="pct"/>
                  <w:tcBorders>
                    <w:tl2br w:val="nil"/>
                    <w:tr2bl w:val="nil"/>
                  </w:tcBorders>
                  <w:vAlign w:val="center"/>
                </w:tcPr>
                <w:p w14:paraId="6C9A0D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90天</w:t>
                  </w:r>
                </w:p>
              </w:tc>
              <w:tc>
                <w:tcPr>
                  <w:tcW w:w="515" w:type="pct"/>
                  <w:tcBorders>
                    <w:tl2br w:val="nil"/>
                    <w:tr2bl w:val="nil"/>
                  </w:tcBorders>
                  <w:vAlign w:val="center"/>
                </w:tcPr>
                <w:p w14:paraId="155514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0.432</w:t>
                  </w:r>
                </w:p>
              </w:tc>
              <w:tc>
                <w:tcPr>
                  <w:tcW w:w="510" w:type="pct"/>
                  <w:tcBorders>
                    <w:tl2br w:val="nil"/>
                    <w:tr2bl w:val="nil"/>
                  </w:tcBorders>
                  <w:vAlign w:val="center"/>
                </w:tcPr>
                <w:p w14:paraId="3598DC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液态</w:t>
                  </w:r>
                </w:p>
              </w:tc>
              <w:tc>
                <w:tcPr>
                  <w:tcW w:w="788" w:type="pct"/>
                  <w:tcBorders>
                    <w:tl2br w:val="nil"/>
                    <w:tr2bl w:val="nil"/>
                  </w:tcBorders>
                  <w:vAlign w:val="center"/>
                </w:tcPr>
                <w:p w14:paraId="7BDC45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250kg密封桶</w:t>
                  </w:r>
                </w:p>
              </w:tc>
              <w:tc>
                <w:tcPr>
                  <w:tcW w:w="582" w:type="pct"/>
                  <w:tcBorders>
                    <w:tl2br w:val="nil"/>
                    <w:tr2bl w:val="nil"/>
                  </w:tcBorders>
                  <w:vAlign w:val="center"/>
                </w:tcPr>
                <w:p w14:paraId="3660A6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2</w:t>
                  </w:r>
                </w:p>
              </w:tc>
              <w:tc>
                <w:tcPr>
                  <w:tcW w:w="668" w:type="pct"/>
                  <w:tcBorders>
                    <w:tl2br w:val="nil"/>
                    <w:tr2bl w:val="nil"/>
                  </w:tcBorders>
                  <w:vAlign w:val="center"/>
                </w:tcPr>
                <w:p w14:paraId="7387DA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0.52</w:t>
                  </w:r>
                </w:p>
              </w:tc>
            </w:tr>
            <w:tr w14:paraId="03669A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0C3CC5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5</w:t>
                  </w:r>
                </w:p>
              </w:tc>
              <w:tc>
                <w:tcPr>
                  <w:tcW w:w="710" w:type="pct"/>
                  <w:tcBorders>
                    <w:tl2br w:val="nil"/>
                    <w:tr2bl w:val="nil"/>
                  </w:tcBorders>
                  <w:vAlign w:val="center"/>
                </w:tcPr>
                <w:p w14:paraId="05D195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在线</w:t>
                  </w:r>
                  <w:r>
                    <w:rPr>
                      <w:rFonts w:hint="eastAsia" w:ascii="Times New Roman" w:hAnsi="Times New Roman" w:eastAsia="宋体" w:cs="Times New Roman"/>
                      <w:b w:val="0"/>
                      <w:bCs w:val="0"/>
                      <w:i w:val="0"/>
                      <w:kern w:val="2"/>
                      <w:sz w:val="18"/>
                      <w:szCs w:val="18"/>
                      <w:highlight w:val="none"/>
                      <w:vertAlign w:val="baseline"/>
                      <w:lang w:val="en-US" w:eastAsia="zh-CN" w:bidi="ar-SA"/>
                    </w:rPr>
                    <w:t>废液</w:t>
                  </w:r>
                </w:p>
              </w:tc>
              <w:tc>
                <w:tcPr>
                  <w:tcW w:w="514" w:type="pct"/>
                  <w:tcBorders>
                    <w:tl2br w:val="nil"/>
                    <w:tr2bl w:val="nil"/>
                  </w:tcBorders>
                  <w:vAlign w:val="center"/>
                </w:tcPr>
                <w:p w14:paraId="4E6C91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0.4</w:t>
                  </w:r>
                </w:p>
              </w:tc>
              <w:tc>
                <w:tcPr>
                  <w:tcW w:w="433" w:type="pct"/>
                  <w:tcBorders>
                    <w:tl2br w:val="nil"/>
                    <w:tr2bl w:val="nil"/>
                  </w:tcBorders>
                  <w:vAlign w:val="center"/>
                </w:tcPr>
                <w:p w14:paraId="6EE8FB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90天</w:t>
                  </w:r>
                </w:p>
              </w:tc>
              <w:tc>
                <w:tcPr>
                  <w:tcW w:w="515" w:type="pct"/>
                  <w:tcBorders>
                    <w:tl2br w:val="nil"/>
                    <w:tr2bl w:val="nil"/>
                  </w:tcBorders>
                  <w:vAlign w:val="center"/>
                </w:tcPr>
                <w:p w14:paraId="66973E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0.099</w:t>
                  </w:r>
                </w:p>
              </w:tc>
              <w:tc>
                <w:tcPr>
                  <w:tcW w:w="510" w:type="pct"/>
                  <w:tcBorders>
                    <w:tl2br w:val="nil"/>
                    <w:tr2bl w:val="nil"/>
                  </w:tcBorders>
                  <w:vAlign w:val="center"/>
                </w:tcPr>
                <w:p w14:paraId="6BA9D4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液态</w:t>
                  </w:r>
                </w:p>
              </w:tc>
              <w:tc>
                <w:tcPr>
                  <w:tcW w:w="788" w:type="pct"/>
                  <w:tcBorders>
                    <w:tl2br w:val="nil"/>
                    <w:tr2bl w:val="nil"/>
                  </w:tcBorders>
                  <w:vAlign w:val="center"/>
                </w:tcPr>
                <w:p w14:paraId="4B3819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250kg密封桶</w:t>
                  </w:r>
                </w:p>
              </w:tc>
              <w:tc>
                <w:tcPr>
                  <w:tcW w:w="582" w:type="pct"/>
                  <w:tcBorders>
                    <w:tl2br w:val="nil"/>
                    <w:tr2bl w:val="nil"/>
                  </w:tcBorders>
                  <w:vAlign w:val="center"/>
                </w:tcPr>
                <w:p w14:paraId="48F660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0</w:t>
                  </w:r>
                </w:p>
              </w:tc>
              <w:tc>
                <w:tcPr>
                  <w:tcW w:w="668" w:type="pct"/>
                  <w:tcBorders>
                    <w:tl2br w:val="nil"/>
                    <w:tr2bl w:val="nil"/>
                  </w:tcBorders>
                  <w:vAlign w:val="center"/>
                </w:tcPr>
                <w:p w14:paraId="077338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0.12</w:t>
                  </w:r>
                </w:p>
              </w:tc>
            </w:tr>
            <w:tr w14:paraId="28C4A5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71BC7A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6</w:t>
                  </w:r>
                </w:p>
              </w:tc>
              <w:tc>
                <w:tcPr>
                  <w:tcW w:w="710" w:type="pct"/>
                  <w:tcBorders>
                    <w:tl2br w:val="nil"/>
                    <w:tr2bl w:val="nil"/>
                  </w:tcBorders>
                  <w:vAlign w:val="center"/>
                </w:tcPr>
                <w:p w14:paraId="5FE31F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废试剂瓶</w:t>
                  </w:r>
                </w:p>
              </w:tc>
              <w:tc>
                <w:tcPr>
                  <w:tcW w:w="514" w:type="pct"/>
                  <w:tcBorders>
                    <w:tl2br w:val="nil"/>
                    <w:tr2bl w:val="nil"/>
                  </w:tcBorders>
                  <w:vAlign w:val="center"/>
                </w:tcPr>
                <w:p w14:paraId="5830E9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3.128</w:t>
                  </w:r>
                </w:p>
              </w:tc>
              <w:tc>
                <w:tcPr>
                  <w:tcW w:w="433" w:type="pct"/>
                  <w:tcBorders>
                    <w:tl2br w:val="nil"/>
                    <w:tr2bl w:val="nil"/>
                  </w:tcBorders>
                  <w:vAlign w:val="center"/>
                </w:tcPr>
                <w:p w14:paraId="7CC05B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90天</w:t>
                  </w:r>
                </w:p>
              </w:tc>
              <w:tc>
                <w:tcPr>
                  <w:tcW w:w="515" w:type="pct"/>
                  <w:tcBorders>
                    <w:tl2br w:val="nil"/>
                    <w:tr2bl w:val="nil"/>
                  </w:tcBorders>
                  <w:vAlign w:val="center"/>
                </w:tcPr>
                <w:p w14:paraId="2E480F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0.771</w:t>
                  </w:r>
                </w:p>
              </w:tc>
              <w:tc>
                <w:tcPr>
                  <w:tcW w:w="510" w:type="pct"/>
                  <w:tcBorders>
                    <w:tl2br w:val="nil"/>
                    <w:tr2bl w:val="nil"/>
                  </w:tcBorders>
                  <w:vAlign w:val="center"/>
                </w:tcPr>
                <w:p w14:paraId="31C5FE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固态</w:t>
                  </w:r>
                </w:p>
              </w:tc>
              <w:tc>
                <w:tcPr>
                  <w:tcW w:w="788" w:type="pct"/>
                  <w:tcBorders>
                    <w:tl2br w:val="nil"/>
                    <w:tr2bl w:val="nil"/>
                  </w:tcBorders>
                  <w:vAlign w:val="center"/>
                </w:tcPr>
                <w:p w14:paraId="31C0C8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cs="Times New Roman"/>
                      <w:b w:val="0"/>
                      <w:bCs w:val="0"/>
                      <w:i w:val="0"/>
                      <w:kern w:val="2"/>
                      <w:sz w:val="18"/>
                      <w:szCs w:val="18"/>
                      <w:highlight w:val="none"/>
                      <w:vertAlign w:val="baseline"/>
                      <w:lang w:val="en-US" w:eastAsia="zh-CN" w:bidi="ar-SA"/>
                    </w:rPr>
                    <w:t>25kg袋装</w:t>
                  </w:r>
                </w:p>
              </w:tc>
              <w:tc>
                <w:tcPr>
                  <w:tcW w:w="582" w:type="pct"/>
                  <w:tcBorders>
                    <w:tl2br w:val="nil"/>
                    <w:tr2bl w:val="nil"/>
                  </w:tcBorders>
                  <w:vAlign w:val="center"/>
                </w:tcPr>
                <w:p w14:paraId="2C04E8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31</w:t>
                  </w:r>
                </w:p>
              </w:tc>
              <w:tc>
                <w:tcPr>
                  <w:tcW w:w="668" w:type="pct"/>
                  <w:tcBorders>
                    <w:tl2br w:val="nil"/>
                    <w:tr2bl w:val="nil"/>
                  </w:tcBorders>
                  <w:vAlign w:val="center"/>
                </w:tcPr>
                <w:p w14:paraId="60CB2D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6.17</w:t>
                  </w:r>
                </w:p>
              </w:tc>
            </w:tr>
            <w:tr w14:paraId="2DEF58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4D1A07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7</w:t>
                  </w:r>
                </w:p>
              </w:tc>
              <w:tc>
                <w:tcPr>
                  <w:tcW w:w="710" w:type="pct"/>
                  <w:tcBorders>
                    <w:tl2br w:val="nil"/>
                    <w:tr2bl w:val="nil"/>
                  </w:tcBorders>
                  <w:vAlign w:val="center"/>
                </w:tcPr>
                <w:p w14:paraId="5CABE3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废活性炭</w:t>
                  </w:r>
                </w:p>
              </w:tc>
              <w:tc>
                <w:tcPr>
                  <w:tcW w:w="514" w:type="pct"/>
                  <w:tcBorders>
                    <w:tl2br w:val="nil"/>
                    <w:tr2bl w:val="nil"/>
                  </w:tcBorders>
                  <w:vAlign w:val="center"/>
                </w:tcPr>
                <w:p w14:paraId="15D115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1.496</w:t>
                  </w:r>
                </w:p>
              </w:tc>
              <w:tc>
                <w:tcPr>
                  <w:tcW w:w="433" w:type="pct"/>
                  <w:tcBorders>
                    <w:tl2br w:val="nil"/>
                    <w:tr2bl w:val="nil"/>
                  </w:tcBorders>
                  <w:vAlign w:val="center"/>
                </w:tcPr>
                <w:p w14:paraId="287C04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90天</w:t>
                  </w:r>
                </w:p>
              </w:tc>
              <w:tc>
                <w:tcPr>
                  <w:tcW w:w="515" w:type="pct"/>
                  <w:tcBorders>
                    <w:tl2br w:val="nil"/>
                    <w:tr2bl w:val="nil"/>
                  </w:tcBorders>
                  <w:vAlign w:val="center"/>
                </w:tcPr>
                <w:p w14:paraId="6F5338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0.369</w:t>
                  </w:r>
                </w:p>
              </w:tc>
              <w:tc>
                <w:tcPr>
                  <w:tcW w:w="510" w:type="pct"/>
                  <w:tcBorders>
                    <w:tl2br w:val="nil"/>
                    <w:tr2bl w:val="nil"/>
                  </w:tcBorders>
                  <w:vAlign w:val="center"/>
                </w:tcPr>
                <w:p w14:paraId="4A7EB4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固态</w:t>
                  </w:r>
                </w:p>
              </w:tc>
              <w:tc>
                <w:tcPr>
                  <w:tcW w:w="788" w:type="pct"/>
                  <w:tcBorders>
                    <w:tl2br w:val="nil"/>
                    <w:tr2bl w:val="nil"/>
                  </w:tcBorders>
                  <w:vAlign w:val="center"/>
                </w:tcPr>
                <w:p w14:paraId="530FE8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250kg密封桶</w:t>
                  </w:r>
                </w:p>
              </w:tc>
              <w:tc>
                <w:tcPr>
                  <w:tcW w:w="582" w:type="pct"/>
                  <w:tcBorders>
                    <w:tl2br w:val="nil"/>
                    <w:tr2bl w:val="nil"/>
                  </w:tcBorders>
                  <w:vAlign w:val="center"/>
                </w:tcPr>
                <w:p w14:paraId="6327A8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1</w:t>
                  </w:r>
                </w:p>
              </w:tc>
              <w:tc>
                <w:tcPr>
                  <w:tcW w:w="668" w:type="pct"/>
                  <w:tcBorders>
                    <w:tl2br w:val="nil"/>
                    <w:tr2bl w:val="nil"/>
                  </w:tcBorders>
                  <w:vAlign w:val="center"/>
                </w:tcPr>
                <w:p w14:paraId="28BD9D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0.44</w:t>
                  </w:r>
                </w:p>
              </w:tc>
            </w:tr>
            <w:tr w14:paraId="0E1DD5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3A0315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8</w:t>
                  </w:r>
                </w:p>
              </w:tc>
              <w:tc>
                <w:tcPr>
                  <w:tcW w:w="710" w:type="pct"/>
                  <w:tcBorders>
                    <w:tl2br w:val="nil"/>
                    <w:tr2bl w:val="nil"/>
                  </w:tcBorders>
                  <w:vAlign w:val="center"/>
                </w:tcPr>
                <w:p w14:paraId="2591D0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废离子交换树脂</w:t>
                  </w:r>
                </w:p>
              </w:tc>
              <w:tc>
                <w:tcPr>
                  <w:tcW w:w="514" w:type="pct"/>
                  <w:tcBorders>
                    <w:tl2br w:val="nil"/>
                    <w:tr2bl w:val="nil"/>
                  </w:tcBorders>
                  <w:vAlign w:val="center"/>
                </w:tcPr>
                <w:p w14:paraId="638998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15.403</w:t>
                  </w:r>
                </w:p>
              </w:tc>
              <w:tc>
                <w:tcPr>
                  <w:tcW w:w="433" w:type="pct"/>
                  <w:tcBorders>
                    <w:tl2br w:val="nil"/>
                    <w:tr2bl w:val="nil"/>
                  </w:tcBorders>
                  <w:vAlign w:val="center"/>
                </w:tcPr>
                <w:p w14:paraId="0612CA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90天</w:t>
                  </w:r>
                </w:p>
              </w:tc>
              <w:tc>
                <w:tcPr>
                  <w:tcW w:w="515" w:type="pct"/>
                  <w:tcBorders>
                    <w:tl2br w:val="nil"/>
                    <w:tr2bl w:val="nil"/>
                  </w:tcBorders>
                  <w:vAlign w:val="center"/>
                </w:tcPr>
                <w:p w14:paraId="165ED2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3.798</w:t>
                  </w:r>
                </w:p>
              </w:tc>
              <w:tc>
                <w:tcPr>
                  <w:tcW w:w="510" w:type="pct"/>
                  <w:tcBorders>
                    <w:tl2br w:val="nil"/>
                    <w:tr2bl w:val="nil"/>
                  </w:tcBorders>
                  <w:vAlign w:val="center"/>
                </w:tcPr>
                <w:p w14:paraId="6F6B52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固态</w:t>
                  </w:r>
                </w:p>
              </w:tc>
              <w:tc>
                <w:tcPr>
                  <w:tcW w:w="788" w:type="pct"/>
                  <w:tcBorders>
                    <w:tl2br w:val="nil"/>
                    <w:tr2bl w:val="nil"/>
                  </w:tcBorders>
                  <w:vAlign w:val="center"/>
                </w:tcPr>
                <w:p w14:paraId="18A63E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250kg密封桶</w:t>
                  </w:r>
                </w:p>
              </w:tc>
              <w:tc>
                <w:tcPr>
                  <w:tcW w:w="582" w:type="pct"/>
                  <w:tcBorders>
                    <w:tl2br w:val="nil"/>
                    <w:tr2bl w:val="nil"/>
                  </w:tcBorders>
                  <w:vAlign w:val="center"/>
                </w:tcPr>
                <w:p w14:paraId="0A7983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15</w:t>
                  </w:r>
                </w:p>
              </w:tc>
              <w:tc>
                <w:tcPr>
                  <w:tcW w:w="668" w:type="pct"/>
                  <w:tcBorders>
                    <w:tl2br w:val="nil"/>
                    <w:tr2bl w:val="nil"/>
                  </w:tcBorders>
                  <w:vAlign w:val="center"/>
                </w:tcPr>
                <w:p w14:paraId="503551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4.56</w:t>
                  </w:r>
                </w:p>
              </w:tc>
            </w:tr>
            <w:tr w14:paraId="1A78FF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7" w:type="pct"/>
                  <w:tcBorders>
                    <w:tl2br w:val="nil"/>
                    <w:tr2bl w:val="nil"/>
                  </w:tcBorders>
                  <w:vAlign w:val="center"/>
                </w:tcPr>
                <w:p w14:paraId="4F4E5B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9</w:t>
                  </w:r>
                </w:p>
              </w:tc>
              <w:tc>
                <w:tcPr>
                  <w:tcW w:w="710" w:type="pct"/>
                  <w:tcBorders>
                    <w:tl2br w:val="nil"/>
                    <w:tr2bl w:val="nil"/>
                  </w:tcBorders>
                  <w:vAlign w:val="center"/>
                </w:tcPr>
                <w:p w14:paraId="5CCFC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宋体" w:cs="Times New Roman"/>
                      <w:b w:val="0"/>
                      <w:bCs w:val="0"/>
                      <w:i w:val="0"/>
                      <w:kern w:val="2"/>
                      <w:sz w:val="18"/>
                      <w:szCs w:val="18"/>
                      <w:highlight w:val="none"/>
                      <w:vertAlign w:val="baseline"/>
                      <w:lang w:val="en-US" w:eastAsia="zh-CN" w:bidi="ar-SA"/>
                    </w:rPr>
                    <w:t>锅炉灰渣</w:t>
                  </w:r>
                </w:p>
              </w:tc>
              <w:tc>
                <w:tcPr>
                  <w:tcW w:w="514" w:type="pct"/>
                  <w:tcBorders>
                    <w:tl2br w:val="nil"/>
                    <w:tr2bl w:val="nil"/>
                  </w:tcBorders>
                  <w:vAlign w:val="center"/>
                </w:tcPr>
                <w:p w14:paraId="05E263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2217</w:t>
                  </w:r>
                </w:p>
              </w:tc>
              <w:tc>
                <w:tcPr>
                  <w:tcW w:w="433" w:type="pct"/>
                  <w:tcBorders>
                    <w:tl2br w:val="nil"/>
                    <w:tr2bl w:val="nil"/>
                  </w:tcBorders>
                  <w:vAlign w:val="center"/>
                </w:tcPr>
                <w:p w14:paraId="78B17C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30天</w:t>
                  </w:r>
                </w:p>
              </w:tc>
              <w:tc>
                <w:tcPr>
                  <w:tcW w:w="515" w:type="pct"/>
                  <w:tcBorders>
                    <w:tl2br w:val="nil"/>
                    <w:tr2bl w:val="nil"/>
                  </w:tcBorders>
                  <w:vAlign w:val="center"/>
                </w:tcPr>
                <w:p w14:paraId="1EC0E8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182.22</w:t>
                  </w:r>
                </w:p>
              </w:tc>
              <w:tc>
                <w:tcPr>
                  <w:tcW w:w="510" w:type="pct"/>
                  <w:tcBorders>
                    <w:tl2br w:val="nil"/>
                    <w:tr2bl w:val="nil"/>
                  </w:tcBorders>
                  <w:vAlign w:val="center"/>
                </w:tcPr>
                <w:p w14:paraId="3F9911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固态</w:t>
                  </w:r>
                </w:p>
              </w:tc>
              <w:tc>
                <w:tcPr>
                  <w:tcW w:w="788" w:type="pct"/>
                  <w:tcBorders>
                    <w:tl2br w:val="nil"/>
                    <w:tr2bl w:val="nil"/>
                  </w:tcBorders>
                  <w:vAlign w:val="center"/>
                </w:tcPr>
                <w:p w14:paraId="3100C3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吨袋</w:t>
                  </w:r>
                </w:p>
              </w:tc>
              <w:tc>
                <w:tcPr>
                  <w:tcW w:w="582" w:type="pct"/>
                  <w:tcBorders>
                    <w:tl2br w:val="nil"/>
                    <w:tr2bl w:val="nil"/>
                  </w:tcBorders>
                  <w:vAlign w:val="center"/>
                </w:tcPr>
                <w:p w14:paraId="3C0BFE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182</w:t>
                  </w:r>
                </w:p>
              </w:tc>
              <w:tc>
                <w:tcPr>
                  <w:tcW w:w="668" w:type="pct"/>
                  <w:tcBorders>
                    <w:tl2br w:val="nil"/>
                    <w:tr2bl w:val="nil"/>
                  </w:tcBorders>
                  <w:vAlign w:val="center"/>
                </w:tcPr>
                <w:p w14:paraId="30D6B2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default" w:ascii="Times New Roman" w:hAnsi="Times New Roman" w:eastAsia="等线" w:cs="Times New Roman"/>
                      <w:i w:val="0"/>
                      <w:iCs w:val="0"/>
                      <w:color w:val="000000"/>
                      <w:kern w:val="0"/>
                      <w:sz w:val="18"/>
                      <w:szCs w:val="18"/>
                      <w:highlight w:val="none"/>
                      <w:u w:val="none"/>
                      <w:lang w:val="en-US" w:eastAsia="zh-CN" w:bidi="ar"/>
                    </w:rPr>
                    <w:t>91.11</w:t>
                  </w:r>
                </w:p>
              </w:tc>
            </w:tr>
            <w:tr w14:paraId="05FFF4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9"/>
                  <w:tcBorders>
                    <w:tl2br w:val="nil"/>
                    <w:tr2bl w:val="nil"/>
                  </w:tcBorders>
                  <w:vAlign w:val="center"/>
                </w:tcPr>
                <w:p w14:paraId="537CA85E">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备注：①产生量为本次扩建项目投产后全厂各种类危险废物产生量，贮存量为每个贮存周期内危险废物贮存量。</w:t>
                  </w:r>
                </w:p>
                <w:p w14:paraId="6756839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i w:val="0"/>
                      <w:kern w:val="2"/>
                      <w:sz w:val="18"/>
                      <w:szCs w:val="18"/>
                      <w:highlight w:val="none"/>
                      <w:vertAlign w:val="baseline"/>
                      <w:lang w:val="en-US" w:eastAsia="zh-CN" w:bidi="ar-SA"/>
                    </w:rPr>
                  </w:pPr>
                  <w:r>
                    <w:rPr>
                      <w:rFonts w:hint="eastAsia" w:ascii="Times New Roman" w:hAnsi="Times New Roman" w:eastAsia="宋体" w:cs="Times New Roman"/>
                      <w:b w:val="0"/>
                      <w:bCs w:val="0"/>
                      <w:i w:val="0"/>
                      <w:kern w:val="2"/>
                      <w:sz w:val="18"/>
                      <w:szCs w:val="18"/>
                      <w:highlight w:val="none"/>
                      <w:vertAlign w:val="baseline"/>
                      <w:lang w:val="en-US" w:eastAsia="zh-CN" w:bidi="ar-SA"/>
                    </w:rPr>
                    <w:t>②燃生物质锅炉灰渣在完成危废鉴定前暂按危险废物管理。</w:t>
                  </w:r>
                </w:p>
              </w:tc>
            </w:tr>
          </w:tbl>
          <w:p w14:paraId="21AA29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i w:val="0"/>
                <w:kern w:val="2"/>
                <w:sz w:val="24"/>
                <w:szCs w:val="24"/>
                <w:highlight w:val="none"/>
                <w:lang w:val="en-US" w:eastAsia="zh-CN" w:bidi="ar-SA"/>
              </w:rPr>
            </w:pPr>
            <w:r>
              <w:rPr>
                <w:rFonts w:hint="eastAsia" w:ascii="Times New Roman" w:hAnsi="Times New Roman" w:cs="Times New Roman"/>
                <w:b w:val="0"/>
                <w:bCs w:val="0"/>
                <w:i w:val="0"/>
                <w:kern w:val="2"/>
                <w:sz w:val="24"/>
                <w:szCs w:val="24"/>
                <w:highlight w:val="none"/>
                <w:lang w:val="en-US" w:eastAsia="zh-CN" w:bidi="ar-SA"/>
              </w:rPr>
              <w:t>根据上表，本次扩建项目投产后，全厂危险废物所需贮存面积约为131.50m</w:t>
            </w:r>
            <w:r>
              <w:rPr>
                <w:rFonts w:hint="eastAsia" w:ascii="Times New Roman" w:hAnsi="Times New Roman" w:cs="Times New Roman"/>
                <w:b w:val="0"/>
                <w:bCs w:val="0"/>
                <w:i w:val="0"/>
                <w:kern w:val="2"/>
                <w:sz w:val="24"/>
                <w:szCs w:val="24"/>
                <w:highlight w:val="none"/>
                <w:vertAlign w:val="superscript"/>
                <w:lang w:val="en-US" w:eastAsia="zh-CN" w:bidi="ar-SA"/>
              </w:rPr>
              <w:t>2</w:t>
            </w:r>
            <w:r>
              <w:rPr>
                <w:rFonts w:hint="eastAsia" w:ascii="Times New Roman" w:hAnsi="Times New Roman" w:cs="Times New Roman"/>
                <w:b w:val="0"/>
                <w:bCs w:val="0"/>
                <w:i w:val="0"/>
                <w:kern w:val="2"/>
                <w:sz w:val="24"/>
                <w:szCs w:val="24"/>
                <w:highlight w:val="none"/>
                <w:vertAlign w:val="baseline"/>
                <w:lang w:val="en-US" w:eastAsia="zh-CN" w:bidi="ar-SA"/>
              </w:rPr>
              <w:t>，小于已建危废间面积551m</w:t>
            </w:r>
            <w:r>
              <w:rPr>
                <w:rFonts w:hint="eastAsia" w:ascii="Times New Roman" w:hAnsi="Times New Roman" w:cs="Times New Roman"/>
                <w:b w:val="0"/>
                <w:bCs w:val="0"/>
                <w:i w:val="0"/>
                <w:kern w:val="2"/>
                <w:sz w:val="24"/>
                <w:szCs w:val="24"/>
                <w:highlight w:val="none"/>
                <w:vertAlign w:val="superscript"/>
                <w:lang w:val="en-US" w:eastAsia="zh-CN" w:bidi="ar-SA"/>
              </w:rPr>
              <w:t>2</w:t>
            </w:r>
            <w:r>
              <w:rPr>
                <w:rFonts w:hint="eastAsia" w:ascii="Times New Roman" w:hAnsi="Times New Roman" w:cs="Times New Roman"/>
                <w:b w:val="0"/>
                <w:bCs w:val="0"/>
                <w:i w:val="0"/>
                <w:kern w:val="2"/>
                <w:sz w:val="24"/>
                <w:szCs w:val="24"/>
                <w:highlight w:val="none"/>
                <w:vertAlign w:val="baseline"/>
                <w:lang w:val="en-US" w:eastAsia="zh-CN" w:bidi="ar-SA"/>
              </w:rPr>
              <w:t>，故现有危废间</w:t>
            </w:r>
            <w:r>
              <w:rPr>
                <w:rFonts w:hint="eastAsia"/>
                <w:highlight w:val="none"/>
              </w:rPr>
              <w:t>可容纳本次项目产生的</w:t>
            </w:r>
            <w:r>
              <w:rPr>
                <w:rFonts w:hint="eastAsia"/>
                <w:highlight w:val="none"/>
                <w:lang w:val="en-US" w:eastAsia="zh-CN"/>
              </w:rPr>
              <w:t>危险废物。</w:t>
            </w:r>
          </w:p>
          <w:p w14:paraId="6BCCF657">
            <w:pPr>
              <w:ind w:firstLine="480"/>
            </w:pPr>
            <w:r>
              <w:rPr>
                <w:rFonts w:hint="eastAsia"/>
              </w:rPr>
              <w:t>综上所述，项目运营期产生的固废均可得到有效处置，不会对周边环境产生明显不良影响，因此治理措施可行。</w:t>
            </w:r>
          </w:p>
          <w:p w14:paraId="311345CB">
            <w:pPr>
              <w:pStyle w:val="4"/>
              <w:spacing w:before="120" w:after="0" w:afterLines="0"/>
            </w:pPr>
            <w:r>
              <w:rPr>
                <w:rFonts w:hint="eastAsia"/>
              </w:rPr>
              <w:t>4.2.5 电磁辐射</w:t>
            </w:r>
          </w:p>
          <w:p w14:paraId="4B693CA9">
            <w:pPr>
              <w:ind w:firstLine="480"/>
            </w:pPr>
            <w:r>
              <w:rPr>
                <w:rFonts w:hint="eastAsia"/>
              </w:rPr>
              <w:t>本项目不涉及电磁辐射源。</w:t>
            </w:r>
          </w:p>
          <w:p w14:paraId="1F48F6EA">
            <w:pPr>
              <w:pStyle w:val="4"/>
              <w:spacing w:before="120" w:after="0" w:afterLines="0"/>
            </w:pPr>
            <w:r>
              <w:rPr>
                <w:rFonts w:hint="eastAsia"/>
              </w:rPr>
              <w:t>4.2.6 环境影响风险分析</w:t>
            </w:r>
          </w:p>
          <w:p w14:paraId="4D35287A">
            <w:pPr>
              <w:ind w:firstLine="480"/>
            </w:pPr>
            <w:r>
              <w:rPr>
                <w:rFonts w:hint="eastAsia"/>
              </w:rPr>
              <w:t>1.环境风险潜势</w:t>
            </w:r>
          </w:p>
          <w:p w14:paraId="0B5EB660">
            <w:pPr>
              <w:ind w:firstLine="480"/>
            </w:pPr>
            <w:r>
              <w:rPr>
                <w:rFonts w:hint="eastAsia"/>
              </w:rPr>
              <w:t>根据《建设项目环境风险评价技术导则》（HJ169-2018）附录B中的表B.1突发环境事件风险物质及临界量查询本项目涉及储存物质的临界量；未列入表B.1的危险物质依据附录B中的表B.2其他危险物质临界量推荐值确定其临界量；若均不在表B.1和表B.2列出范围的物质，则不计入Q值计算。本项目危险物质数量与临界量比值（Q）见表4.2-13。</w:t>
            </w:r>
          </w:p>
          <w:p w14:paraId="4B87437C">
            <w:pPr>
              <w:pStyle w:val="13"/>
            </w:pPr>
            <w:r>
              <w:rPr>
                <w:rFonts w:hint="eastAsia"/>
              </w:rPr>
              <w:t>表4.2-13  危险物质存储量及临界量一览表</w:t>
            </w:r>
          </w:p>
          <w:tbl>
            <w:tblPr>
              <w:tblStyle w:val="17"/>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01"/>
              <w:gridCol w:w="1600"/>
              <w:gridCol w:w="1199"/>
              <w:gridCol w:w="1487"/>
              <w:gridCol w:w="1313"/>
              <w:gridCol w:w="1658"/>
            </w:tblGrid>
            <w:tr w14:paraId="168DB1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1F34D83F">
                  <w:pPr>
                    <w:pStyle w:val="83"/>
                    <w:rPr>
                      <w:rFonts w:hint="default"/>
                    </w:rPr>
                  </w:pPr>
                  <w:r>
                    <w:t>序号</w:t>
                  </w:r>
                </w:p>
              </w:tc>
              <w:tc>
                <w:tcPr>
                  <w:tcW w:w="1600" w:type="dxa"/>
                  <w:vAlign w:val="center"/>
                </w:tcPr>
                <w:p w14:paraId="4958A774">
                  <w:pPr>
                    <w:pStyle w:val="83"/>
                    <w:rPr>
                      <w:rFonts w:hint="default"/>
                    </w:rPr>
                  </w:pPr>
                  <w:r>
                    <w:t>危险物质名称</w:t>
                  </w:r>
                </w:p>
              </w:tc>
              <w:tc>
                <w:tcPr>
                  <w:tcW w:w="1199" w:type="dxa"/>
                  <w:vAlign w:val="center"/>
                </w:tcPr>
                <w:p w14:paraId="691CDA51">
                  <w:pPr>
                    <w:pStyle w:val="83"/>
                    <w:rPr>
                      <w:rFonts w:hint="default"/>
                    </w:rPr>
                  </w:pPr>
                  <w:r>
                    <w:t>CAS号</w:t>
                  </w:r>
                </w:p>
              </w:tc>
              <w:tc>
                <w:tcPr>
                  <w:tcW w:w="1487" w:type="dxa"/>
                  <w:vAlign w:val="center"/>
                </w:tcPr>
                <w:p w14:paraId="12F032B7">
                  <w:pPr>
                    <w:pStyle w:val="83"/>
                    <w:rPr>
                      <w:rFonts w:hint="default"/>
                    </w:rPr>
                  </w:pPr>
                  <w:r>
                    <w:t>最大存储量t</w:t>
                  </w:r>
                </w:p>
              </w:tc>
              <w:tc>
                <w:tcPr>
                  <w:tcW w:w="1313" w:type="dxa"/>
                  <w:vAlign w:val="center"/>
                </w:tcPr>
                <w:p w14:paraId="23D64F6E">
                  <w:pPr>
                    <w:pStyle w:val="83"/>
                    <w:rPr>
                      <w:rFonts w:hint="default"/>
                    </w:rPr>
                  </w:pPr>
                  <w:r>
                    <w:t>临界量</w:t>
                  </w:r>
                </w:p>
              </w:tc>
              <w:tc>
                <w:tcPr>
                  <w:tcW w:w="1658" w:type="dxa"/>
                  <w:vAlign w:val="center"/>
                </w:tcPr>
                <w:p w14:paraId="6FB1E43B">
                  <w:pPr>
                    <w:pStyle w:val="83"/>
                    <w:rPr>
                      <w:rFonts w:hint="default"/>
                    </w:rPr>
                  </w:pPr>
                  <w:r>
                    <w:t>危险物质Q值</w:t>
                  </w:r>
                </w:p>
              </w:tc>
            </w:tr>
            <w:tr w14:paraId="4BC7B8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54D5F456">
                  <w:pPr>
                    <w:pStyle w:val="83"/>
                    <w:rPr>
                      <w:rFonts w:hint="default"/>
                    </w:rPr>
                  </w:pPr>
                  <w:r>
                    <w:t>1</w:t>
                  </w:r>
                </w:p>
              </w:tc>
              <w:tc>
                <w:tcPr>
                  <w:tcW w:w="1600" w:type="dxa"/>
                  <w:vAlign w:val="center"/>
                </w:tcPr>
                <w:p w14:paraId="2F0B6C66">
                  <w:pPr>
                    <w:pStyle w:val="83"/>
                    <w:rPr>
                      <w:rFonts w:hint="default"/>
                    </w:rPr>
                  </w:pPr>
                  <w:r>
                    <w:t>纺丝油剂</w:t>
                  </w:r>
                </w:p>
              </w:tc>
              <w:tc>
                <w:tcPr>
                  <w:tcW w:w="1199" w:type="dxa"/>
                  <w:vAlign w:val="center"/>
                </w:tcPr>
                <w:p w14:paraId="644A40C5">
                  <w:pPr>
                    <w:pStyle w:val="83"/>
                    <w:rPr>
                      <w:rFonts w:hint="default"/>
                    </w:rPr>
                  </w:pPr>
                  <w:r>
                    <w:t>-</w:t>
                  </w:r>
                </w:p>
              </w:tc>
              <w:tc>
                <w:tcPr>
                  <w:tcW w:w="1487" w:type="dxa"/>
                  <w:vAlign w:val="center"/>
                </w:tcPr>
                <w:p w14:paraId="0FA3BCDB">
                  <w:pPr>
                    <w:pStyle w:val="83"/>
                    <w:rPr>
                      <w:rFonts w:hint="default"/>
                    </w:rPr>
                  </w:pPr>
                  <w:r>
                    <w:t>5</w:t>
                  </w:r>
                </w:p>
              </w:tc>
              <w:tc>
                <w:tcPr>
                  <w:tcW w:w="1313" w:type="dxa"/>
                  <w:vAlign w:val="center"/>
                </w:tcPr>
                <w:p w14:paraId="1790D7A1">
                  <w:pPr>
                    <w:pStyle w:val="83"/>
                    <w:rPr>
                      <w:rFonts w:hint="default"/>
                    </w:rPr>
                  </w:pPr>
                  <w:r>
                    <w:t>2500</w:t>
                  </w:r>
                </w:p>
              </w:tc>
              <w:tc>
                <w:tcPr>
                  <w:tcW w:w="1658" w:type="dxa"/>
                  <w:vAlign w:val="center"/>
                </w:tcPr>
                <w:p w14:paraId="2AAD0C90">
                  <w:pPr>
                    <w:pStyle w:val="83"/>
                    <w:rPr>
                      <w:rFonts w:hint="default"/>
                    </w:rPr>
                  </w:pPr>
                  <w:r>
                    <w:t>0.002</w:t>
                  </w:r>
                </w:p>
              </w:tc>
            </w:tr>
            <w:tr w14:paraId="42A307E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47F6EA9F">
                  <w:pPr>
                    <w:pStyle w:val="83"/>
                    <w:rPr>
                      <w:rFonts w:hint="default"/>
                    </w:rPr>
                  </w:pPr>
                  <w:r>
                    <w:t>2</w:t>
                  </w:r>
                </w:p>
              </w:tc>
              <w:tc>
                <w:tcPr>
                  <w:tcW w:w="1600" w:type="dxa"/>
                  <w:vAlign w:val="center"/>
                </w:tcPr>
                <w:p w14:paraId="66939E84">
                  <w:pPr>
                    <w:pStyle w:val="83"/>
                    <w:rPr>
                      <w:rFonts w:hint="default"/>
                    </w:rPr>
                  </w:pPr>
                  <w:r>
                    <w:t>甲酸</w:t>
                  </w:r>
                </w:p>
              </w:tc>
              <w:tc>
                <w:tcPr>
                  <w:tcW w:w="1199" w:type="dxa"/>
                  <w:vAlign w:val="center"/>
                </w:tcPr>
                <w:p w14:paraId="4835161A">
                  <w:pPr>
                    <w:pStyle w:val="83"/>
                    <w:rPr>
                      <w:rFonts w:hint="default"/>
                    </w:rPr>
                  </w:pPr>
                  <w:r>
                    <w:t>64-18-6</w:t>
                  </w:r>
                </w:p>
              </w:tc>
              <w:tc>
                <w:tcPr>
                  <w:tcW w:w="1487" w:type="dxa"/>
                  <w:vAlign w:val="center"/>
                </w:tcPr>
                <w:p w14:paraId="379DCFB8">
                  <w:pPr>
                    <w:pStyle w:val="83"/>
                    <w:rPr>
                      <w:rFonts w:hint="default"/>
                    </w:rPr>
                  </w:pPr>
                  <w:r>
                    <w:t>0.012</w:t>
                  </w:r>
                </w:p>
              </w:tc>
              <w:tc>
                <w:tcPr>
                  <w:tcW w:w="1313" w:type="dxa"/>
                  <w:vAlign w:val="center"/>
                </w:tcPr>
                <w:p w14:paraId="3C368B61">
                  <w:pPr>
                    <w:pStyle w:val="83"/>
                    <w:rPr>
                      <w:rFonts w:hint="default"/>
                    </w:rPr>
                  </w:pPr>
                  <w:r>
                    <w:t>10</w:t>
                  </w:r>
                </w:p>
              </w:tc>
              <w:tc>
                <w:tcPr>
                  <w:tcW w:w="1658" w:type="dxa"/>
                  <w:vAlign w:val="center"/>
                </w:tcPr>
                <w:p w14:paraId="138DD14C">
                  <w:pPr>
                    <w:pStyle w:val="83"/>
                    <w:rPr>
                      <w:rFonts w:hint="default"/>
                    </w:rPr>
                  </w:pPr>
                  <w:r>
                    <w:t>0.0012</w:t>
                  </w:r>
                </w:p>
              </w:tc>
            </w:tr>
            <w:tr w14:paraId="27FE10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03732B13">
                  <w:pPr>
                    <w:pStyle w:val="83"/>
                    <w:rPr>
                      <w:rFonts w:hint="default"/>
                    </w:rPr>
                  </w:pPr>
                  <w:r>
                    <w:t>3</w:t>
                  </w:r>
                </w:p>
              </w:tc>
              <w:tc>
                <w:tcPr>
                  <w:tcW w:w="1600" w:type="dxa"/>
                  <w:vAlign w:val="center"/>
                </w:tcPr>
                <w:p w14:paraId="74481891">
                  <w:pPr>
                    <w:pStyle w:val="83"/>
                    <w:rPr>
                      <w:rFonts w:hint="default"/>
                    </w:rPr>
                  </w:pPr>
                  <w:r>
                    <w:t>甲醇</w:t>
                  </w:r>
                </w:p>
              </w:tc>
              <w:tc>
                <w:tcPr>
                  <w:tcW w:w="1199" w:type="dxa"/>
                  <w:vAlign w:val="center"/>
                </w:tcPr>
                <w:p w14:paraId="0CE37A60">
                  <w:pPr>
                    <w:pStyle w:val="83"/>
                    <w:rPr>
                      <w:rFonts w:hint="default"/>
                    </w:rPr>
                  </w:pPr>
                  <w:r>
                    <w:t>67-56-1</w:t>
                  </w:r>
                </w:p>
              </w:tc>
              <w:tc>
                <w:tcPr>
                  <w:tcW w:w="1487" w:type="dxa"/>
                  <w:vAlign w:val="center"/>
                </w:tcPr>
                <w:p w14:paraId="0DDA668E">
                  <w:pPr>
                    <w:pStyle w:val="83"/>
                    <w:rPr>
                      <w:rFonts w:hint="default"/>
                    </w:rPr>
                  </w:pPr>
                  <w:r>
                    <w:t>0.0079</w:t>
                  </w:r>
                </w:p>
              </w:tc>
              <w:tc>
                <w:tcPr>
                  <w:tcW w:w="1313" w:type="dxa"/>
                  <w:vAlign w:val="center"/>
                </w:tcPr>
                <w:p w14:paraId="0E9D1979">
                  <w:pPr>
                    <w:pStyle w:val="83"/>
                    <w:rPr>
                      <w:rFonts w:hint="default"/>
                    </w:rPr>
                  </w:pPr>
                  <w:r>
                    <w:t>10</w:t>
                  </w:r>
                </w:p>
              </w:tc>
              <w:tc>
                <w:tcPr>
                  <w:tcW w:w="1658" w:type="dxa"/>
                  <w:vAlign w:val="center"/>
                </w:tcPr>
                <w:p w14:paraId="3BE7002A">
                  <w:pPr>
                    <w:pStyle w:val="83"/>
                    <w:rPr>
                      <w:rFonts w:hint="default"/>
                    </w:rPr>
                  </w:pPr>
                  <w:r>
                    <w:t>0.00079</w:t>
                  </w:r>
                </w:p>
              </w:tc>
            </w:tr>
            <w:tr w14:paraId="7AE80D7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58CB8551">
                  <w:pPr>
                    <w:pStyle w:val="83"/>
                    <w:rPr>
                      <w:rFonts w:hint="default"/>
                    </w:rPr>
                  </w:pPr>
                  <w:r>
                    <w:t>4</w:t>
                  </w:r>
                </w:p>
              </w:tc>
              <w:tc>
                <w:tcPr>
                  <w:tcW w:w="1600" w:type="dxa"/>
                  <w:vAlign w:val="center"/>
                </w:tcPr>
                <w:p w14:paraId="12C66293">
                  <w:pPr>
                    <w:pStyle w:val="83"/>
                    <w:rPr>
                      <w:rFonts w:hint="default"/>
                    </w:rPr>
                  </w:pPr>
                  <w:r>
                    <w:t>乙腈</w:t>
                  </w:r>
                </w:p>
              </w:tc>
              <w:tc>
                <w:tcPr>
                  <w:tcW w:w="1199" w:type="dxa"/>
                  <w:vAlign w:val="center"/>
                </w:tcPr>
                <w:p w14:paraId="5FC05553">
                  <w:pPr>
                    <w:pStyle w:val="83"/>
                    <w:rPr>
                      <w:rFonts w:hint="default"/>
                    </w:rPr>
                  </w:pPr>
                  <w:r>
                    <w:t>75-05-8</w:t>
                  </w:r>
                </w:p>
              </w:tc>
              <w:tc>
                <w:tcPr>
                  <w:tcW w:w="1487" w:type="dxa"/>
                  <w:vAlign w:val="center"/>
                </w:tcPr>
                <w:p w14:paraId="70964CA2">
                  <w:pPr>
                    <w:pStyle w:val="83"/>
                    <w:rPr>
                      <w:rFonts w:hint="default"/>
                    </w:rPr>
                  </w:pPr>
                  <w:r>
                    <w:t>0.0078</w:t>
                  </w:r>
                </w:p>
              </w:tc>
              <w:tc>
                <w:tcPr>
                  <w:tcW w:w="1313" w:type="dxa"/>
                  <w:vAlign w:val="center"/>
                </w:tcPr>
                <w:p w14:paraId="5106C9E1">
                  <w:pPr>
                    <w:pStyle w:val="83"/>
                    <w:rPr>
                      <w:rFonts w:hint="default"/>
                    </w:rPr>
                  </w:pPr>
                  <w:r>
                    <w:t>10</w:t>
                  </w:r>
                </w:p>
              </w:tc>
              <w:tc>
                <w:tcPr>
                  <w:tcW w:w="1658" w:type="dxa"/>
                  <w:vAlign w:val="center"/>
                </w:tcPr>
                <w:p w14:paraId="0C7B8D4A">
                  <w:pPr>
                    <w:pStyle w:val="83"/>
                    <w:rPr>
                      <w:rFonts w:hint="default"/>
                    </w:rPr>
                  </w:pPr>
                  <w:r>
                    <w:t>0.00078</w:t>
                  </w:r>
                </w:p>
              </w:tc>
            </w:tr>
            <w:tr w14:paraId="4FB20B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3359C0A3">
                  <w:pPr>
                    <w:pStyle w:val="83"/>
                    <w:rPr>
                      <w:rFonts w:hint="default"/>
                    </w:rPr>
                  </w:pPr>
                  <w:r>
                    <w:t>5</w:t>
                  </w:r>
                </w:p>
              </w:tc>
              <w:tc>
                <w:tcPr>
                  <w:tcW w:w="1600" w:type="dxa"/>
                  <w:vAlign w:val="center"/>
                </w:tcPr>
                <w:p w14:paraId="153FF36D">
                  <w:pPr>
                    <w:pStyle w:val="83"/>
                    <w:rPr>
                      <w:rFonts w:hint="default"/>
                    </w:rPr>
                  </w:pPr>
                  <w:r>
                    <w:t>异丙醇</w:t>
                  </w:r>
                </w:p>
              </w:tc>
              <w:tc>
                <w:tcPr>
                  <w:tcW w:w="1199" w:type="dxa"/>
                  <w:vAlign w:val="center"/>
                </w:tcPr>
                <w:p w14:paraId="516A57A4">
                  <w:pPr>
                    <w:pStyle w:val="83"/>
                    <w:rPr>
                      <w:rFonts w:hint="default"/>
                    </w:rPr>
                  </w:pPr>
                  <w:r>
                    <w:t>67-63-0</w:t>
                  </w:r>
                </w:p>
              </w:tc>
              <w:tc>
                <w:tcPr>
                  <w:tcW w:w="1487" w:type="dxa"/>
                  <w:vAlign w:val="center"/>
                </w:tcPr>
                <w:p w14:paraId="77B10D82">
                  <w:pPr>
                    <w:pStyle w:val="83"/>
                    <w:rPr>
                      <w:rFonts w:hint="default"/>
                    </w:rPr>
                  </w:pPr>
                  <w:r>
                    <w:t>0.00078</w:t>
                  </w:r>
                </w:p>
              </w:tc>
              <w:tc>
                <w:tcPr>
                  <w:tcW w:w="1313" w:type="dxa"/>
                  <w:vAlign w:val="center"/>
                </w:tcPr>
                <w:p w14:paraId="5E6039BF">
                  <w:pPr>
                    <w:pStyle w:val="83"/>
                    <w:rPr>
                      <w:rFonts w:hint="default"/>
                    </w:rPr>
                  </w:pPr>
                  <w:r>
                    <w:t>10</w:t>
                  </w:r>
                </w:p>
              </w:tc>
              <w:tc>
                <w:tcPr>
                  <w:tcW w:w="1658" w:type="dxa"/>
                  <w:vAlign w:val="center"/>
                </w:tcPr>
                <w:p w14:paraId="2C94489A">
                  <w:pPr>
                    <w:pStyle w:val="83"/>
                    <w:rPr>
                      <w:rFonts w:hint="default"/>
                    </w:rPr>
                  </w:pPr>
                  <w:r>
                    <w:t>0.000078</w:t>
                  </w:r>
                </w:p>
              </w:tc>
            </w:tr>
            <w:tr w14:paraId="1622BF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7C6543EC">
                  <w:pPr>
                    <w:pStyle w:val="83"/>
                    <w:rPr>
                      <w:rFonts w:hint="default"/>
                    </w:rPr>
                  </w:pPr>
                  <w:r>
                    <w:t>6</w:t>
                  </w:r>
                </w:p>
              </w:tc>
              <w:tc>
                <w:tcPr>
                  <w:tcW w:w="1600" w:type="dxa"/>
                  <w:vAlign w:val="center"/>
                </w:tcPr>
                <w:p w14:paraId="53EBBA1B">
                  <w:pPr>
                    <w:pStyle w:val="83"/>
                    <w:rPr>
                      <w:rFonts w:hint="default"/>
                    </w:rPr>
                  </w:pPr>
                  <w:r>
                    <w:t>磷酸</w:t>
                  </w:r>
                </w:p>
              </w:tc>
              <w:tc>
                <w:tcPr>
                  <w:tcW w:w="1199" w:type="dxa"/>
                  <w:vAlign w:val="center"/>
                </w:tcPr>
                <w:p w14:paraId="154F83F0">
                  <w:pPr>
                    <w:pStyle w:val="83"/>
                    <w:rPr>
                      <w:rFonts w:hint="default"/>
                    </w:rPr>
                  </w:pPr>
                  <w:r>
                    <w:t>7664-38-2</w:t>
                  </w:r>
                </w:p>
              </w:tc>
              <w:tc>
                <w:tcPr>
                  <w:tcW w:w="1487" w:type="dxa"/>
                  <w:vAlign w:val="center"/>
                </w:tcPr>
                <w:p w14:paraId="268557C5">
                  <w:pPr>
                    <w:pStyle w:val="83"/>
                    <w:rPr>
                      <w:rFonts w:hint="default"/>
                    </w:rPr>
                  </w:pPr>
                  <w:r>
                    <w:t>0.00187</w:t>
                  </w:r>
                </w:p>
              </w:tc>
              <w:tc>
                <w:tcPr>
                  <w:tcW w:w="1313" w:type="dxa"/>
                  <w:vAlign w:val="center"/>
                </w:tcPr>
                <w:p w14:paraId="6484E247">
                  <w:pPr>
                    <w:pStyle w:val="83"/>
                    <w:rPr>
                      <w:rFonts w:hint="default"/>
                    </w:rPr>
                  </w:pPr>
                  <w:r>
                    <w:t>10</w:t>
                  </w:r>
                </w:p>
              </w:tc>
              <w:tc>
                <w:tcPr>
                  <w:tcW w:w="1658" w:type="dxa"/>
                  <w:vAlign w:val="center"/>
                </w:tcPr>
                <w:p w14:paraId="58E9A318">
                  <w:pPr>
                    <w:pStyle w:val="83"/>
                    <w:rPr>
                      <w:rFonts w:hint="default"/>
                    </w:rPr>
                  </w:pPr>
                  <w:r>
                    <w:t>0.000187</w:t>
                  </w:r>
                </w:p>
              </w:tc>
            </w:tr>
            <w:tr w14:paraId="55BB28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4E227E57">
                  <w:pPr>
                    <w:pStyle w:val="83"/>
                    <w:rPr>
                      <w:rFonts w:hint="default"/>
                    </w:rPr>
                  </w:pPr>
                  <w:r>
                    <w:t>7</w:t>
                  </w:r>
                </w:p>
              </w:tc>
              <w:tc>
                <w:tcPr>
                  <w:tcW w:w="1600" w:type="dxa"/>
                  <w:vAlign w:val="center"/>
                </w:tcPr>
                <w:p w14:paraId="1C55B0CA">
                  <w:pPr>
                    <w:pStyle w:val="83"/>
                    <w:rPr>
                      <w:rFonts w:hint="default"/>
                    </w:rPr>
                  </w:pPr>
                  <w:r>
                    <w:t>无水乙醚</w:t>
                  </w:r>
                </w:p>
              </w:tc>
              <w:tc>
                <w:tcPr>
                  <w:tcW w:w="1199" w:type="dxa"/>
                  <w:vAlign w:val="center"/>
                </w:tcPr>
                <w:p w14:paraId="1E6BFF6A">
                  <w:pPr>
                    <w:pStyle w:val="83"/>
                    <w:rPr>
                      <w:rFonts w:hint="default"/>
                    </w:rPr>
                  </w:pPr>
                  <w:r>
                    <w:t>60-29-7</w:t>
                  </w:r>
                </w:p>
              </w:tc>
              <w:tc>
                <w:tcPr>
                  <w:tcW w:w="1487" w:type="dxa"/>
                  <w:vAlign w:val="center"/>
                </w:tcPr>
                <w:p w14:paraId="30324AAB">
                  <w:pPr>
                    <w:pStyle w:val="83"/>
                    <w:rPr>
                      <w:rFonts w:hint="default"/>
                    </w:rPr>
                  </w:pPr>
                  <w:r>
                    <w:t>0.00355</w:t>
                  </w:r>
                </w:p>
              </w:tc>
              <w:tc>
                <w:tcPr>
                  <w:tcW w:w="1313" w:type="dxa"/>
                  <w:vAlign w:val="center"/>
                </w:tcPr>
                <w:p w14:paraId="14674EB3">
                  <w:pPr>
                    <w:pStyle w:val="83"/>
                    <w:rPr>
                      <w:rFonts w:hint="default"/>
                    </w:rPr>
                  </w:pPr>
                  <w:r>
                    <w:t>10</w:t>
                  </w:r>
                </w:p>
              </w:tc>
              <w:tc>
                <w:tcPr>
                  <w:tcW w:w="1658" w:type="dxa"/>
                  <w:vAlign w:val="center"/>
                </w:tcPr>
                <w:p w14:paraId="5A42F4EE">
                  <w:pPr>
                    <w:pStyle w:val="83"/>
                    <w:rPr>
                      <w:rFonts w:hint="default"/>
                    </w:rPr>
                  </w:pPr>
                  <w:r>
                    <w:t>0.000355</w:t>
                  </w:r>
                </w:p>
              </w:tc>
            </w:tr>
            <w:tr w14:paraId="6A49EB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801" w:type="dxa"/>
                  <w:vAlign w:val="center"/>
                </w:tcPr>
                <w:p w14:paraId="0808C385">
                  <w:pPr>
                    <w:pStyle w:val="83"/>
                    <w:rPr>
                      <w:rFonts w:hint="default"/>
                    </w:rPr>
                  </w:pPr>
                  <w:r>
                    <w:t>8</w:t>
                  </w:r>
                </w:p>
              </w:tc>
              <w:tc>
                <w:tcPr>
                  <w:tcW w:w="1600" w:type="dxa"/>
                  <w:vAlign w:val="center"/>
                </w:tcPr>
                <w:p w14:paraId="53417438">
                  <w:pPr>
                    <w:pStyle w:val="83"/>
                    <w:rPr>
                      <w:rFonts w:hint="default"/>
                    </w:rPr>
                  </w:pPr>
                  <w:r>
                    <w:t>98%硫酸</w:t>
                  </w:r>
                </w:p>
              </w:tc>
              <w:tc>
                <w:tcPr>
                  <w:tcW w:w="1199" w:type="dxa"/>
                  <w:vAlign w:val="center"/>
                </w:tcPr>
                <w:p w14:paraId="11147D4F">
                  <w:pPr>
                    <w:pStyle w:val="83"/>
                    <w:rPr>
                      <w:rFonts w:hint="default"/>
                    </w:rPr>
                  </w:pPr>
                  <w:r>
                    <w:t>7664-93-9</w:t>
                  </w:r>
                </w:p>
              </w:tc>
              <w:tc>
                <w:tcPr>
                  <w:tcW w:w="1487" w:type="dxa"/>
                  <w:vAlign w:val="center"/>
                </w:tcPr>
                <w:p w14:paraId="5A1807EE">
                  <w:pPr>
                    <w:pStyle w:val="83"/>
                    <w:rPr>
                      <w:rFonts w:hint="default"/>
                    </w:rPr>
                  </w:pPr>
                  <w:r>
                    <w:t>0.0096</w:t>
                  </w:r>
                </w:p>
              </w:tc>
              <w:tc>
                <w:tcPr>
                  <w:tcW w:w="1313" w:type="dxa"/>
                  <w:vAlign w:val="center"/>
                </w:tcPr>
                <w:p w14:paraId="66F51332">
                  <w:pPr>
                    <w:pStyle w:val="83"/>
                    <w:rPr>
                      <w:rFonts w:hint="default"/>
                    </w:rPr>
                  </w:pPr>
                  <w:r>
                    <w:t>10</w:t>
                  </w:r>
                </w:p>
              </w:tc>
              <w:tc>
                <w:tcPr>
                  <w:tcW w:w="1658" w:type="dxa"/>
                  <w:vAlign w:val="center"/>
                </w:tcPr>
                <w:p w14:paraId="62EE47EB">
                  <w:pPr>
                    <w:pStyle w:val="83"/>
                    <w:rPr>
                      <w:rFonts w:hint="default"/>
                    </w:rPr>
                  </w:pPr>
                  <w:r>
                    <w:t>0.00096</w:t>
                  </w:r>
                </w:p>
              </w:tc>
            </w:tr>
          </w:tbl>
          <w:p w14:paraId="30E1FAA6">
            <w:pPr>
              <w:ind w:firstLine="480"/>
              <w:rPr>
                <w:rFonts w:hint="default" w:ascii="Times New Roman" w:hAnsi="Times New Roman" w:cs="Times New Roman"/>
              </w:rPr>
            </w:pPr>
            <w:r>
              <w:rPr>
                <w:rFonts w:hint="eastAsia"/>
              </w:rPr>
              <w:t>由上表分析可知本项目∑Q=0.00635&lt;1，环境风险潜势为</w:t>
            </w:r>
            <w:r>
              <w:rPr>
                <w:rFonts w:hint="default" w:ascii="Times New Roman" w:hAnsi="Times New Roman" w:cs="Times New Roman"/>
              </w:rPr>
              <w:t>Ⅰ。</w:t>
            </w:r>
          </w:p>
          <w:p w14:paraId="685986BF">
            <w:pPr>
              <w:ind w:firstLine="480"/>
              <w:rPr>
                <w:rFonts w:hint="default" w:ascii="Times New Roman" w:hAnsi="Times New Roman" w:cs="Times New Roman"/>
              </w:rPr>
            </w:pPr>
            <w:r>
              <w:rPr>
                <w:rFonts w:hint="default" w:ascii="Times New Roman" w:hAnsi="Times New Roman" w:cs="Times New Roman"/>
              </w:rPr>
              <w:t>2.环境风险评价等级</w:t>
            </w:r>
          </w:p>
          <w:p w14:paraId="4D93426D">
            <w:pPr>
              <w:ind w:firstLine="480"/>
            </w:pPr>
            <w:r>
              <w:rPr>
                <w:rFonts w:hint="default" w:ascii="Times New Roman" w:hAnsi="Times New Roman" w:cs="Times New Roman"/>
              </w:rPr>
              <w:t>根据项目环境风险潜势初判，确定本项目环境风险潜势为Ⅰ，</w:t>
            </w:r>
            <w:r>
              <w:rPr>
                <w:rFonts w:hint="eastAsia"/>
              </w:rPr>
              <w:t>根据《建设项目环境风险评价技术导则》（HJ169-2018），确定项目风险评价工作等级为简单分析。</w:t>
            </w:r>
          </w:p>
          <w:p w14:paraId="25681ECC">
            <w:pPr>
              <w:ind w:firstLine="480"/>
            </w:pPr>
            <w:r>
              <w:rPr>
                <w:rFonts w:hint="eastAsia"/>
              </w:rPr>
              <w:t>3.环境风险识别</w:t>
            </w:r>
          </w:p>
          <w:p w14:paraId="267251BA">
            <w:pPr>
              <w:ind w:firstLine="480"/>
            </w:pPr>
            <w:r>
              <w:rPr>
                <w:rFonts w:hint="eastAsia"/>
              </w:rPr>
              <w:t>本项目主要危险物质环境风险识别见表4.2-14。</w:t>
            </w:r>
          </w:p>
          <w:p w14:paraId="0AB60957">
            <w:pPr>
              <w:pStyle w:val="13"/>
            </w:pPr>
            <w:r>
              <w:rPr>
                <w:rFonts w:hint="eastAsia"/>
              </w:rPr>
              <w:t>表4.2-14  风险源分布情况一览表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020"/>
              <w:gridCol w:w="2600"/>
              <w:gridCol w:w="3549"/>
            </w:tblGrid>
            <w:tr w14:paraId="76577E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36" w:type="pct"/>
                  <w:tcBorders>
                    <w:top w:val="single" w:color="auto" w:sz="12" w:space="0"/>
                    <w:left w:val="nil"/>
                    <w:bottom w:val="single" w:color="auto" w:sz="6" w:space="0"/>
                    <w:right w:val="single" w:color="auto" w:sz="6" w:space="0"/>
                  </w:tcBorders>
                  <w:vAlign w:val="center"/>
                </w:tcPr>
                <w:p w14:paraId="04910E00">
                  <w:pPr>
                    <w:pStyle w:val="83"/>
                    <w:rPr>
                      <w:rFonts w:hint="default"/>
                    </w:rPr>
                  </w:pPr>
                  <w:r>
                    <w:t>风险单元</w:t>
                  </w:r>
                </w:p>
              </w:tc>
              <w:tc>
                <w:tcPr>
                  <w:tcW w:w="1591" w:type="pct"/>
                  <w:tcBorders>
                    <w:top w:val="single" w:color="auto" w:sz="12" w:space="0"/>
                    <w:left w:val="single" w:color="auto" w:sz="6" w:space="0"/>
                    <w:bottom w:val="single" w:color="auto" w:sz="6" w:space="0"/>
                    <w:right w:val="single" w:color="auto" w:sz="6" w:space="0"/>
                  </w:tcBorders>
                  <w:vAlign w:val="center"/>
                </w:tcPr>
                <w:p w14:paraId="4BD2BCBD">
                  <w:pPr>
                    <w:pStyle w:val="83"/>
                    <w:rPr>
                      <w:rFonts w:hint="default"/>
                    </w:rPr>
                  </w:pPr>
                  <w:r>
                    <w:t>风险物质</w:t>
                  </w:r>
                </w:p>
              </w:tc>
              <w:tc>
                <w:tcPr>
                  <w:tcW w:w="2171" w:type="pct"/>
                  <w:tcBorders>
                    <w:top w:val="single" w:color="auto" w:sz="12" w:space="0"/>
                    <w:left w:val="single" w:color="auto" w:sz="6" w:space="0"/>
                    <w:bottom w:val="single" w:color="auto" w:sz="6" w:space="0"/>
                    <w:right w:val="nil"/>
                  </w:tcBorders>
                  <w:vAlign w:val="center"/>
                </w:tcPr>
                <w:p w14:paraId="6E9F74FA">
                  <w:pPr>
                    <w:pStyle w:val="83"/>
                    <w:rPr>
                      <w:rFonts w:hint="default"/>
                    </w:rPr>
                  </w:pPr>
                  <w:r>
                    <w:t>可能影响环境的途径</w:t>
                  </w:r>
                </w:p>
              </w:tc>
            </w:tr>
            <w:tr w14:paraId="7148F4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36" w:type="pct"/>
                  <w:tcBorders>
                    <w:top w:val="single" w:color="auto" w:sz="6" w:space="0"/>
                    <w:left w:val="nil"/>
                    <w:bottom w:val="single" w:color="auto" w:sz="6" w:space="0"/>
                    <w:right w:val="single" w:color="auto" w:sz="6" w:space="0"/>
                  </w:tcBorders>
                  <w:vAlign w:val="center"/>
                </w:tcPr>
                <w:p w14:paraId="15933897">
                  <w:pPr>
                    <w:pStyle w:val="83"/>
                    <w:rPr>
                      <w:rFonts w:hint="default"/>
                    </w:rPr>
                  </w:pPr>
                  <w:r>
                    <w:t>危废间、生产车间</w:t>
                  </w:r>
                </w:p>
              </w:tc>
              <w:tc>
                <w:tcPr>
                  <w:tcW w:w="1591" w:type="pct"/>
                  <w:tcBorders>
                    <w:top w:val="single" w:color="auto" w:sz="6" w:space="0"/>
                    <w:left w:val="single" w:color="auto" w:sz="6" w:space="0"/>
                    <w:bottom w:val="single" w:color="auto" w:sz="6" w:space="0"/>
                    <w:right w:val="single" w:color="auto" w:sz="6" w:space="0"/>
                  </w:tcBorders>
                  <w:vAlign w:val="center"/>
                </w:tcPr>
                <w:p w14:paraId="4BEEBC84">
                  <w:pPr>
                    <w:pStyle w:val="83"/>
                    <w:rPr>
                      <w:rFonts w:hint="default"/>
                    </w:rPr>
                  </w:pPr>
                  <w:r>
                    <w:t>（废）纺丝油剂</w:t>
                  </w:r>
                </w:p>
              </w:tc>
              <w:tc>
                <w:tcPr>
                  <w:tcW w:w="2171" w:type="pct"/>
                  <w:tcBorders>
                    <w:top w:val="single" w:color="auto" w:sz="6" w:space="0"/>
                    <w:left w:val="single" w:color="auto" w:sz="6" w:space="0"/>
                    <w:bottom w:val="single" w:color="auto" w:sz="6" w:space="0"/>
                    <w:right w:val="nil"/>
                  </w:tcBorders>
                  <w:vAlign w:val="center"/>
                </w:tcPr>
                <w:p w14:paraId="20C2EE9E">
                  <w:pPr>
                    <w:pStyle w:val="83"/>
                    <w:rPr>
                      <w:rFonts w:hint="default"/>
                    </w:rPr>
                  </w:pPr>
                  <w:r>
                    <w:t>泄漏以及火灾、爆炸等引起的伴生/次生污染物排放</w:t>
                  </w:r>
                </w:p>
              </w:tc>
            </w:tr>
            <w:tr w14:paraId="1FD20DE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36" w:type="pct"/>
                  <w:tcBorders>
                    <w:top w:val="single" w:color="auto" w:sz="6" w:space="0"/>
                    <w:left w:val="nil"/>
                    <w:bottom w:val="single" w:color="auto" w:sz="6" w:space="0"/>
                    <w:right w:val="single" w:color="auto" w:sz="6" w:space="0"/>
                  </w:tcBorders>
                  <w:vAlign w:val="center"/>
                </w:tcPr>
                <w:p w14:paraId="16EBAD10">
                  <w:pPr>
                    <w:pStyle w:val="83"/>
                    <w:rPr>
                      <w:rFonts w:hint="default"/>
                    </w:rPr>
                  </w:pPr>
                  <w:r>
                    <w:t>危废间、实验室</w:t>
                  </w:r>
                </w:p>
              </w:tc>
              <w:tc>
                <w:tcPr>
                  <w:tcW w:w="1591" w:type="pct"/>
                  <w:tcBorders>
                    <w:top w:val="single" w:color="auto" w:sz="6" w:space="0"/>
                    <w:left w:val="single" w:color="auto" w:sz="6" w:space="0"/>
                    <w:bottom w:val="single" w:color="auto" w:sz="6" w:space="0"/>
                    <w:right w:val="single" w:color="auto" w:sz="6" w:space="0"/>
                  </w:tcBorders>
                  <w:vAlign w:val="center"/>
                </w:tcPr>
                <w:p w14:paraId="6A5AEACB">
                  <w:pPr>
                    <w:pStyle w:val="83"/>
                    <w:rPr>
                      <w:rFonts w:hint="default"/>
                    </w:rPr>
                  </w:pPr>
                  <w:r>
                    <w:t>实验废液</w:t>
                  </w:r>
                </w:p>
              </w:tc>
              <w:tc>
                <w:tcPr>
                  <w:tcW w:w="2171" w:type="pct"/>
                  <w:tcBorders>
                    <w:top w:val="single" w:color="auto" w:sz="6" w:space="0"/>
                    <w:left w:val="single" w:color="auto" w:sz="6" w:space="0"/>
                    <w:bottom w:val="single" w:color="auto" w:sz="6" w:space="0"/>
                    <w:right w:val="nil"/>
                  </w:tcBorders>
                  <w:vAlign w:val="center"/>
                </w:tcPr>
                <w:p w14:paraId="3CEE5F7D">
                  <w:pPr>
                    <w:pStyle w:val="83"/>
                    <w:rPr>
                      <w:rFonts w:hint="default"/>
                    </w:rPr>
                  </w:pPr>
                  <w:r>
                    <w:t>贮存和管理不当，发生泄漏</w:t>
                  </w:r>
                </w:p>
              </w:tc>
            </w:tr>
            <w:tr w14:paraId="37E7C2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36" w:type="pct"/>
                  <w:tcBorders>
                    <w:top w:val="single" w:color="auto" w:sz="6" w:space="0"/>
                    <w:left w:val="nil"/>
                    <w:bottom w:val="single" w:color="auto" w:sz="6" w:space="0"/>
                    <w:right w:val="single" w:color="auto" w:sz="6" w:space="0"/>
                  </w:tcBorders>
                  <w:vAlign w:val="center"/>
                </w:tcPr>
                <w:p w14:paraId="586C72C5">
                  <w:pPr>
                    <w:pStyle w:val="83"/>
                    <w:rPr>
                      <w:rFonts w:hint="default"/>
                    </w:rPr>
                  </w:pPr>
                  <w:r>
                    <w:t>实验室试剂器皿仓</w:t>
                  </w:r>
                </w:p>
              </w:tc>
              <w:tc>
                <w:tcPr>
                  <w:tcW w:w="1591" w:type="pct"/>
                  <w:tcBorders>
                    <w:top w:val="single" w:color="auto" w:sz="6" w:space="0"/>
                    <w:left w:val="single" w:color="auto" w:sz="6" w:space="0"/>
                    <w:bottom w:val="single" w:color="auto" w:sz="6" w:space="0"/>
                    <w:right w:val="single" w:color="auto" w:sz="6" w:space="0"/>
                  </w:tcBorders>
                  <w:vAlign w:val="center"/>
                </w:tcPr>
                <w:p w14:paraId="537BC236">
                  <w:pPr>
                    <w:pStyle w:val="83"/>
                    <w:rPr>
                      <w:rFonts w:hint="default"/>
                    </w:rPr>
                  </w:pPr>
                  <w:r>
                    <w:t>甲酸、甲醇、乙醚、乙腈、异丙醇、磷酸、98%硫酸等化学品</w:t>
                  </w:r>
                </w:p>
              </w:tc>
              <w:tc>
                <w:tcPr>
                  <w:tcW w:w="2171" w:type="pct"/>
                  <w:tcBorders>
                    <w:top w:val="single" w:color="auto" w:sz="6" w:space="0"/>
                    <w:left w:val="single" w:color="auto" w:sz="6" w:space="0"/>
                    <w:bottom w:val="single" w:color="auto" w:sz="6" w:space="0"/>
                    <w:right w:val="nil"/>
                  </w:tcBorders>
                  <w:vAlign w:val="center"/>
                </w:tcPr>
                <w:p w14:paraId="4DD678DE">
                  <w:pPr>
                    <w:pStyle w:val="83"/>
                    <w:rPr>
                      <w:rFonts w:hint="default"/>
                    </w:rPr>
                  </w:pPr>
                  <w:r>
                    <w:t>液体物质发生泄漏遇明火或其他易燃物质会发生火灾，甚至发生爆炸</w:t>
                  </w:r>
                </w:p>
              </w:tc>
            </w:tr>
            <w:tr w14:paraId="41CE24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36" w:type="pct"/>
                  <w:tcBorders>
                    <w:top w:val="single" w:color="auto" w:sz="6" w:space="0"/>
                    <w:left w:val="nil"/>
                    <w:right w:val="single" w:color="auto" w:sz="6" w:space="0"/>
                  </w:tcBorders>
                  <w:vAlign w:val="center"/>
                </w:tcPr>
                <w:p w14:paraId="510B572A">
                  <w:pPr>
                    <w:pStyle w:val="83"/>
                    <w:rPr>
                      <w:rFonts w:hint="default"/>
                    </w:rPr>
                  </w:pPr>
                  <w:r>
                    <w:t>污水处理站</w:t>
                  </w:r>
                </w:p>
              </w:tc>
              <w:tc>
                <w:tcPr>
                  <w:tcW w:w="1591" w:type="pct"/>
                  <w:tcBorders>
                    <w:top w:val="single" w:color="auto" w:sz="6" w:space="0"/>
                    <w:left w:val="single" w:color="auto" w:sz="6" w:space="0"/>
                    <w:right w:val="single" w:color="auto" w:sz="6" w:space="0"/>
                  </w:tcBorders>
                  <w:vAlign w:val="center"/>
                </w:tcPr>
                <w:p w14:paraId="3B1BD12E">
                  <w:pPr>
                    <w:pStyle w:val="83"/>
                    <w:rPr>
                      <w:rFonts w:hint="default"/>
                    </w:rPr>
                  </w:pPr>
                  <w:r>
                    <w:t>生产废水</w:t>
                  </w:r>
                </w:p>
              </w:tc>
              <w:tc>
                <w:tcPr>
                  <w:tcW w:w="2171" w:type="pct"/>
                  <w:tcBorders>
                    <w:top w:val="single" w:color="auto" w:sz="6" w:space="0"/>
                    <w:left w:val="single" w:color="auto" w:sz="6" w:space="0"/>
                    <w:right w:val="nil"/>
                  </w:tcBorders>
                  <w:vAlign w:val="center"/>
                </w:tcPr>
                <w:p w14:paraId="3534B345">
                  <w:pPr>
                    <w:pStyle w:val="83"/>
                    <w:rPr>
                      <w:rFonts w:hint="default"/>
                    </w:rPr>
                  </w:pPr>
                  <w:r>
                    <w:t>污水处理站出现停电、设备不能正常运转等状况时，废水不能得到有效处理发生泄漏</w:t>
                  </w:r>
                </w:p>
              </w:tc>
            </w:tr>
          </w:tbl>
          <w:p w14:paraId="1C5DF252">
            <w:pPr>
              <w:ind w:firstLine="480"/>
            </w:pPr>
            <w:r>
              <w:rPr>
                <w:rFonts w:hint="eastAsia"/>
              </w:rPr>
              <w:t>4.环境风险影响分析</w:t>
            </w:r>
          </w:p>
          <w:p w14:paraId="5B26023D">
            <w:pPr>
              <w:ind w:firstLine="480"/>
            </w:pPr>
            <w:r>
              <w:rPr>
                <w:rFonts w:hint="eastAsia"/>
              </w:rPr>
              <w:t>经识别，本项目涉及的主要风险物质为纺丝油剂、实验废液、甲酸、甲醇、乙醚、乙腈、异丙醇、磷酸、98%硫酸等化学品。</w:t>
            </w:r>
          </w:p>
          <w:p w14:paraId="5C30BED1">
            <w:pPr>
              <w:ind w:firstLine="480"/>
            </w:pPr>
            <w:r>
              <w:rPr>
                <w:rFonts w:hint="eastAsia"/>
              </w:rPr>
              <w:t>油类物质发生泄漏挥发会产生有机废气进入大气环境，导致周围大气环境中相应污染物浓度增高，造成环境空气质量污染；风险物质遇明火、火花则可能发生火灾爆炸事故，同时燃烧产生烟尘、SO</w:t>
            </w:r>
            <w:r>
              <w:rPr>
                <w:rFonts w:hint="eastAsia"/>
                <w:vertAlign w:val="subscript"/>
              </w:rPr>
              <w:t>2</w:t>
            </w:r>
            <w:r>
              <w:rPr>
                <w:rFonts w:hint="eastAsia"/>
              </w:rPr>
              <w:t>、NOx等废气进入大气环境，导致周围大气环境中相应污染物浓度增高，造成环境空气质量污染。风险物质如发生泄漏或者厂内发生火灾事故，泄漏废液、消防废水等如拦截不当则可能会进入周围水环境中，会导致受纳水体环境中相应污染物浓度增高，造成水环境质量污染。另厂区发生泄漏以及火灾、爆炸事故也可能会导致有毒有害物质渗透入土壤中，造成土壤、地下水污染。</w:t>
            </w:r>
          </w:p>
          <w:p w14:paraId="55153DE7">
            <w:pPr>
              <w:ind w:firstLine="480"/>
            </w:pPr>
            <w:r>
              <w:rPr>
                <w:rFonts w:hint="eastAsia"/>
              </w:rPr>
              <w:t>5.环境风险防范措施</w:t>
            </w:r>
          </w:p>
          <w:p w14:paraId="2AF4A8ED">
            <w:pPr>
              <w:ind w:firstLine="480"/>
            </w:pPr>
            <w:r>
              <w:rPr>
                <w:rFonts w:hint="eastAsia"/>
              </w:rPr>
              <w:t>为减少风险物质可能造成的环境风险，企业应采取以下风险防范及应急措施：</w:t>
            </w:r>
          </w:p>
          <w:p w14:paraId="0701560E">
            <w:pPr>
              <w:ind w:firstLine="480"/>
            </w:pPr>
            <w:r>
              <w:rPr>
                <w:rFonts w:hint="eastAsia"/>
              </w:rPr>
              <w:t>（1）建立健全各种有关消防与安全生产的规章制度，建立岗位责任制。危废间、生产车间等严禁明火。生产车间、公用工程、物料堆场等场所配置足量的泡沫、干粉等灭火器，并保持完好状态；</w:t>
            </w:r>
          </w:p>
          <w:p w14:paraId="594F1546">
            <w:pPr>
              <w:ind w:firstLine="480"/>
            </w:pPr>
            <w:r>
              <w:rPr>
                <w:rFonts w:hint="eastAsia"/>
              </w:rPr>
              <w:t>（2）厂区留有足够的消防通道。生产车间、物料堆场设置消防给水管道和消防栓。企业要组织义务消防员，并进行定期的培训和训练。对有火灾危险的场所设置自动报警系统，一旦发生火灾，立即做出应急反应；</w:t>
            </w:r>
          </w:p>
          <w:p w14:paraId="49F0157E">
            <w:pPr>
              <w:ind w:firstLine="480"/>
            </w:pPr>
            <w:r>
              <w:rPr>
                <w:rFonts w:hint="eastAsia"/>
              </w:rPr>
              <w:t>（3）对于危废间，企业设置监控系统，主要在危废间出入口、室内、厂门口等关键位置安装视频监控设施，进行实时监控。厂区门口设置危废信息公开栏，危废间外墙及各类危废贮存处墙面设置贮存设施警示标志牌。贮存过程在液态危险废物贮存容器下方设置不锈钢托盘，或在危废间设置地沟等，发生少量泄漏立即将容器内剩余溶液转移，并收集托盘、地沟内泄漏液体，防止泄漏物料挥发到大气中。</w:t>
            </w:r>
          </w:p>
          <w:p w14:paraId="1A754E4E">
            <w:pPr>
              <w:ind w:firstLine="480"/>
            </w:pPr>
            <w:r>
              <w:rPr>
                <w:rFonts w:hint="eastAsia"/>
              </w:rPr>
              <w:t>（4）定期对化学品进行安全检查，试剂器皿仓保证通风，远离火种热源，独立存放，应在员工易见之处，标示原料MSDS表、输送对象设备及其它必要事项。</w:t>
            </w:r>
          </w:p>
          <w:p w14:paraId="2149BD69">
            <w:pPr>
              <w:ind w:firstLine="480"/>
            </w:pPr>
            <w:r>
              <w:rPr>
                <w:rFonts w:hint="eastAsia"/>
              </w:rPr>
              <w:t>（5）水环境风险防范措施</w:t>
            </w:r>
          </w:p>
          <w:p w14:paraId="24F42C07">
            <w:pPr>
              <w:ind w:firstLine="480"/>
            </w:pPr>
            <w:r>
              <w:rPr>
                <w:rFonts w:hint="eastAsia"/>
              </w:rPr>
              <w:t>为分析现有事故池是否满足扩建后全厂事故废水的储存需要，本次参照《石化企业水体环境风险防控技术要求》（Q/SH0729-2018）和中国石油天然气集团公司企业标准《事故状态下水体污染的预防和控制规范》（Q/SY08190-2019）对全厂事故废水进行核算，事故储存设施总有效容积计算公式如下：</w:t>
            </w:r>
          </w:p>
          <w:p w14:paraId="4649DBF0">
            <w:pPr>
              <w:ind w:firstLine="0" w:firstLineChars="0"/>
              <w:jc w:val="center"/>
            </w:pPr>
            <m:oMathPara>
              <m:oMathParaPr>
                <m:jc m:val="center"/>
              </m:oMathParaPr>
              <m:oMath>
                <m:sSub>
                  <m:sSubPr>
                    <m:ctrlPr>
                      <w:rPr>
                        <w:rFonts w:hint="eastAsia" w:ascii="Cambria Math" w:hAnsi="Cambria Math"/>
                        <w:i/>
                        <w:iCs/>
                      </w:rPr>
                    </m:ctrlPr>
                  </m:sSubPr>
                  <m:e>
                    <m:r>
                      <m:rPr/>
                      <w:rPr>
                        <w:rFonts w:hint="default" w:ascii="Cambria Math" w:hAnsi="Cambria Math"/>
                      </w:rPr>
                      <m:t>V</m:t>
                    </m:r>
                    <m:ctrlPr>
                      <w:rPr>
                        <w:rFonts w:hint="eastAsia" w:ascii="Cambria Math" w:hAnsi="Cambria Math"/>
                        <w:i/>
                        <w:iCs/>
                      </w:rPr>
                    </m:ctrlPr>
                  </m:e>
                  <m:sub>
                    <m:r>
                      <m:rPr/>
                      <w:rPr>
                        <w:rFonts w:hint="eastAsia" w:ascii="Cambria Math" w:hAnsi="Cambria Math"/>
                      </w:rPr>
                      <m:t>总</m:t>
                    </m:r>
                    <m:ctrlPr>
                      <w:rPr>
                        <w:rFonts w:hint="eastAsia" w:ascii="Cambria Math" w:hAnsi="Cambria Math"/>
                        <w:i/>
                        <w:iCs/>
                      </w:rPr>
                    </m:ctrlPr>
                  </m:sub>
                </m:sSub>
                <m:r>
                  <m:rPr/>
                  <w:rPr>
                    <w:rFonts w:hint="eastAsia" w:ascii="Cambria Math" w:hAnsi="Cambria Math"/>
                  </w:rPr>
                  <m:t>=</m:t>
                </m:r>
                <m:sSub>
                  <m:sSubPr>
                    <m:ctrlPr>
                      <w:rPr>
                        <w:rFonts w:hint="eastAsia" w:ascii="Cambria Math" w:hAnsi="Cambria Math"/>
                        <w:i/>
                        <w:iCs/>
                      </w:rPr>
                    </m:ctrlPr>
                  </m:sSubPr>
                  <m:e>
                    <m:d>
                      <m:dPr>
                        <m:ctrlPr>
                          <w:rPr>
                            <w:rFonts w:hint="eastAsia" w:ascii="Cambria Math" w:hAnsi="Cambria Math"/>
                            <w:i/>
                            <w:iCs/>
                          </w:rPr>
                        </m:ctrlPr>
                      </m:dPr>
                      <m:e>
                        <m:sSub>
                          <m:sSubPr>
                            <m:ctrlPr>
                              <w:rPr>
                                <w:rFonts w:hint="eastAsia" w:ascii="Cambria Math" w:hAnsi="Cambria Math"/>
                                <w:i/>
                                <w:iCs/>
                              </w:rPr>
                            </m:ctrlPr>
                          </m:sSubPr>
                          <m:e>
                            <m:r>
                              <m:rPr/>
                              <w:rPr>
                                <w:rFonts w:hint="default" w:ascii="Cambria Math" w:hAnsi="Cambria Math"/>
                              </w:rPr>
                              <m:t>V</m:t>
                            </m:r>
                            <m:ctrlPr>
                              <w:rPr>
                                <w:rFonts w:hint="eastAsia" w:ascii="Cambria Math" w:hAnsi="Cambria Math"/>
                                <w:i/>
                                <w:iCs/>
                              </w:rPr>
                            </m:ctrlPr>
                          </m:e>
                          <m:sub>
                            <m:r>
                              <m:rPr/>
                              <w:rPr>
                                <w:rFonts w:hint="eastAsia" w:ascii="Cambria Math" w:hAnsi="Cambria Math"/>
                              </w:rPr>
                              <m:t>1</m:t>
                            </m:r>
                            <m:ctrlPr>
                              <w:rPr>
                                <w:rFonts w:hint="eastAsia" w:ascii="Cambria Math" w:hAnsi="Cambria Math"/>
                                <w:i/>
                                <w:iCs/>
                              </w:rPr>
                            </m:ctrlPr>
                          </m:sub>
                        </m:sSub>
                        <m:r>
                          <m:rPr/>
                          <w:rPr>
                            <w:rFonts w:hint="eastAsia" w:ascii="Cambria Math" w:hAnsi="Cambria Math"/>
                          </w:rPr>
                          <m:t>+</m:t>
                        </m:r>
                        <m:sSub>
                          <m:sSubPr>
                            <m:ctrlPr>
                              <w:rPr>
                                <w:rFonts w:hint="eastAsia" w:ascii="Cambria Math" w:hAnsi="Cambria Math"/>
                                <w:i/>
                                <w:iCs/>
                              </w:rPr>
                            </m:ctrlPr>
                          </m:sSubPr>
                          <m:e>
                            <m:r>
                              <m:rPr/>
                              <w:rPr>
                                <w:rFonts w:hint="default" w:ascii="Cambria Math" w:hAnsi="Cambria Math"/>
                              </w:rPr>
                              <m:t>V</m:t>
                            </m:r>
                            <m:ctrlPr>
                              <w:rPr>
                                <w:rFonts w:hint="eastAsia" w:ascii="Cambria Math" w:hAnsi="Cambria Math"/>
                                <w:i/>
                                <w:iCs/>
                              </w:rPr>
                            </m:ctrlPr>
                          </m:e>
                          <m:sub>
                            <m:r>
                              <m:rPr/>
                              <w:rPr>
                                <w:rFonts w:hint="eastAsia" w:ascii="Cambria Math" w:hAnsi="Cambria Math"/>
                              </w:rPr>
                              <m:t>2</m:t>
                            </m:r>
                            <m:ctrlPr>
                              <w:rPr>
                                <w:rFonts w:hint="eastAsia" w:ascii="Cambria Math" w:hAnsi="Cambria Math"/>
                                <w:i/>
                                <w:iCs/>
                              </w:rPr>
                            </m:ctrlPr>
                          </m:sub>
                        </m:sSub>
                        <m:r>
                          <m:rPr/>
                          <w:rPr>
                            <w:rFonts w:hint="eastAsia" w:ascii="Cambria Math" w:hAnsi="Cambria Math"/>
                          </w:rPr>
                          <m:t>−</m:t>
                        </m:r>
                        <m:sSub>
                          <m:sSubPr>
                            <m:ctrlPr>
                              <w:rPr>
                                <w:rFonts w:hint="eastAsia" w:ascii="Cambria Math" w:hAnsi="Cambria Math"/>
                                <w:i/>
                                <w:iCs/>
                              </w:rPr>
                            </m:ctrlPr>
                          </m:sSubPr>
                          <m:e>
                            <m:r>
                              <m:rPr/>
                              <w:rPr>
                                <w:rFonts w:hint="default" w:ascii="Cambria Math" w:hAnsi="Cambria Math"/>
                              </w:rPr>
                              <m:t>V</m:t>
                            </m:r>
                            <m:ctrlPr>
                              <w:rPr>
                                <w:rFonts w:hint="eastAsia" w:ascii="Cambria Math" w:hAnsi="Cambria Math"/>
                                <w:i/>
                                <w:iCs/>
                              </w:rPr>
                            </m:ctrlPr>
                          </m:e>
                          <m:sub>
                            <m:r>
                              <m:rPr/>
                              <w:rPr>
                                <w:rFonts w:hint="eastAsia" w:ascii="Cambria Math" w:hAnsi="Cambria Math"/>
                              </w:rPr>
                              <m:t>3</m:t>
                            </m:r>
                            <m:ctrlPr>
                              <w:rPr>
                                <w:rFonts w:hint="eastAsia" w:ascii="Cambria Math" w:hAnsi="Cambria Math"/>
                                <w:i/>
                                <w:iCs/>
                              </w:rPr>
                            </m:ctrlPr>
                          </m:sub>
                        </m:sSub>
                        <m:ctrlPr>
                          <w:rPr>
                            <w:rFonts w:hint="eastAsia" w:ascii="Cambria Math" w:hAnsi="Cambria Math"/>
                            <w:i/>
                            <w:iCs/>
                          </w:rPr>
                        </m:ctrlPr>
                      </m:e>
                    </m:d>
                    <m:ctrlPr>
                      <w:rPr>
                        <w:rFonts w:hint="eastAsia" w:ascii="Cambria Math" w:hAnsi="Cambria Math"/>
                        <w:i/>
                        <w:iCs/>
                      </w:rPr>
                    </m:ctrlPr>
                  </m:e>
                  <m:sub>
                    <m:r>
                      <m:rPr/>
                      <w:rPr>
                        <w:rFonts w:hint="default" w:ascii="Cambria Math" w:hAnsi="Cambria Math"/>
                      </w:rPr>
                      <m:t>max</m:t>
                    </m:r>
                    <m:ctrlPr>
                      <w:rPr>
                        <w:rFonts w:hint="eastAsia" w:ascii="Cambria Math" w:hAnsi="Cambria Math"/>
                        <w:i/>
                        <w:iCs/>
                      </w:rPr>
                    </m:ctrlPr>
                  </m:sub>
                </m:sSub>
                <m:r>
                  <m:rPr/>
                  <w:rPr>
                    <w:rFonts w:hint="eastAsia" w:ascii="Cambria Math" w:hAnsi="Cambria Math"/>
                  </w:rPr>
                  <m:t>+</m:t>
                </m:r>
                <m:sSub>
                  <m:sSubPr>
                    <m:ctrlPr>
                      <w:rPr>
                        <w:rFonts w:hint="eastAsia" w:ascii="Cambria Math" w:hAnsi="Cambria Math"/>
                        <w:i/>
                        <w:iCs/>
                      </w:rPr>
                    </m:ctrlPr>
                  </m:sSubPr>
                  <m:e>
                    <m:r>
                      <m:rPr/>
                      <w:rPr>
                        <w:rFonts w:hint="default" w:ascii="Cambria Math" w:hAnsi="Cambria Math"/>
                      </w:rPr>
                      <m:t>V</m:t>
                    </m:r>
                    <m:ctrlPr>
                      <w:rPr>
                        <w:rFonts w:hint="eastAsia" w:ascii="Cambria Math" w:hAnsi="Cambria Math"/>
                        <w:i/>
                        <w:iCs/>
                      </w:rPr>
                    </m:ctrlPr>
                  </m:e>
                  <m:sub>
                    <m:r>
                      <m:rPr/>
                      <w:rPr>
                        <w:rFonts w:hint="eastAsia" w:ascii="Cambria Math" w:hAnsi="Cambria Math"/>
                      </w:rPr>
                      <m:t>4</m:t>
                    </m:r>
                    <m:ctrlPr>
                      <w:rPr>
                        <w:rFonts w:hint="eastAsia" w:ascii="Cambria Math" w:hAnsi="Cambria Math"/>
                        <w:i/>
                        <w:iCs/>
                      </w:rPr>
                    </m:ctrlPr>
                  </m:sub>
                </m:sSub>
                <m:r>
                  <m:rPr/>
                  <w:rPr>
                    <w:rFonts w:hint="eastAsia" w:ascii="Cambria Math" w:hAnsi="Cambria Math"/>
                  </w:rPr>
                  <m:t>+</m:t>
                </m:r>
                <m:sSub>
                  <m:sSubPr>
                    <m:ctrlPr>
                      <w:rPr>
                        <w:rFonts w:hint="eastAsia" w:ascii="Cambria Math" w:hAnsi="Cambria Math"/>
                        <w:i/>
                        <w:iCs/>
                      </w:rPr>
                    </m:ctrlPr>
                  </m:sSubPr>
                  <m:e>
                    <m:r>
                      <m:rPr/>
                      <w:rPr>
                        <w:rFonts w:hint="default" w:ascii="Cambria Math" w:hAnsi="Cambria Math"/>
                      </w:rPr>
                      <m:t>V</m:t>
                    </m:r>
                    <m:ctrlPr>
                      <w:rPr>
                        <w:rFonts w:hint="eastAsia" w:ascii="Cambria Math" w:hAnsi="Cambria Math"/>
                        <w:i/>
                        <w:iCs/>
                      </w:rPr>
                    </m:ctrlPr>
                  </m:e>
                  <m:sub>
                    <m:r>
                      <m:rPr/>
                      <w:rPr>
                        <w:rFonts w:hint="eastAsia" w:ascii="Cambria Math" w:hAnsi="Cambria Math"/>
                      </w:rPr>
                      <m:t>5</m:t>
                    </m:r>
                    <m:ctrlPr>
                      <w:rPr>
                        <w:rFonts w:hint="eastAsia" w:ascii="Cambria Math" w:hAnsi="Cambria Math"/>
                        <w:i/>
                        <w:iCs/>
                      </w:rPr>
                    </m:ctrlPr>
                  </m:sub>
                </m:sSub>
              </m:oMath>
            </m:oMathPara>
          </w:p>
          <w:p w14:paraId="1A876666">
            <w:pPr>
              <w:ind w:firstLine="480"/>
            </w:pPr>
            <w:r>
              <w:rPr>
                <w:rFonts w:hint="eastAsia"/>
              </w:rPr>
              <w:t>其中：</w:t>
            </w:r>
          </w:p>
          <w:p w14:paraId="57701339">
            <w:pPr>
              <w:ind w:firstLine="480"/>
            </w:pPr>
            <w:r>
              <w:rPr>
                <w:rFonts w:hint="eastAsia"/>
                <w:i/>
                <w:iCs/>
              </w:rPr>
              <w:t>V</w:t>
            </w:r>
            <w:r>
              <w:rPr>
                <w:rFonts w:hint="eastAsia"/>
                <w:i/>
                <w:iCs/>
                <w:vertAlign w:val="subscript"/>
              </w:rPr>
              <w:t>1</w:t>
            </w:r>
            <w:r>
              <w:rPr>
                <w:rFonts w:hint="eastAsia"/>
              </w:rPr>
              <w:t>——收集系统范围内发生事故的一个罐组或一套装置的物料量；本项目取现有聚合工程生产车间最大反应釜容积为120m</w:t>
            </w:r>
            <w:r>
              <w:rPr>
                <w:rFonts w:hint="eastAsia"/>
                <w:vertAlign w:val="superscript"/>
              </w:rPr>
              <w:t>3</w:t>
            </w:r>
            <w:r>
              <w:rPr>
                <w:rFonts w:hint="eastAsia"/>
              </w:rPr>
              <w:t>；</w:t>
            </w:r>
          </w:p>
          <w:p w14:paraId="019E4615">
            <w:pPr>
              <w:ind w:firstLine="480"/>
            </w:pPr>
            <w:r>
              <w:rPr>
                <w:rFonts w:hint="eastAsia"/>
                <w:i/>
                <w:iCs/>
              </w:rPr>
              <w:t>V</w:t>
            </w:r>
            <w:r>
              <w:rPr>
                <w:rFonts w:hint="eastAsia"/>
                <w:i/>
                <w:iCs/>
                <w:vertAlign w:val="subscript"/>
              </w:rPr>
              <w:t>2</w:t>
            </w:r>
            <w:r>
              <w:rPr>
                <w:rFonts w:hint="eastAsia"/>
              </w:rPr>
              <w:t>——发生事故的储罐或装置的消防水量，m</w:t>
            </w:r>
            <w:r>
              <w:rPr>
                <w:rFonts w:hint="eastAsia"/>
                <w:vertAlign w:val="superscript"/>
              </w:rPr>
              <w:t>3</w:t>
            </w:r>
            <w:r>
              <w:rPr>
                <w:rFonts w:hint="eastAsia"/>
              </w:rPr>
              <w:t>；室外消火栓设计流量按30L/s计，火灾延续时间按3h考虑，故V</w:t>
            </w:r>
            <w:r>
              <w:rPr>
                <w:rFonts w:hint="eastAsia"/>
                <w:vertAlign w:val="subscript"/>
              </w:rPr>
              <w:t>2</w:t>
            </w:r>
            <w:r>
              <w:rPr>
                <w:rFonts w:hint="eastAsia"/>
              </w:rPr>
              <w:t>=30×3600×3/1000=324m</w:t>
            </w:r>
            <w:r>
              <w:rPr>
                <w:rFonts w:hint="eastAsia"/>
                <w:vertAlign w:val="superscript"/>
              </w:rPr>
              <w:t>3</w:t>
            </w:r>
            <w:r>
              <w:rPr>
                <w:rFonts w:hint="eastAsia"/>
              </w:rPr>
              <w:t>。</w:t>
            </w:r>
          </w:p>
          <w:p w14:paraId="2FF334F9">
            <w:pPr>
              <w:ind w:firstLine="480"/>
            </w:pPr>
            <w:r>
              <w:rPr>
                <w:rFonts w:hint="eastAsia"/>
                <w:i/>
                <w:iCs/>
              </w:rPr>
              <w:t>V</w:t>
            </w:r>
            <w:r>
              <w:rPr>
                <w:rFonts w:hint="eastAsia"/>
                <w:i/>
                <w:iCs/>
                <w:vertAlign w:val="subscript"/>
              </w:rPr>
              <w:t>3</w:t>
            </w:r>
            <w:r>
              <w:rPr>
                <w:rFonts w:hint="eastAsia"/>
              </w:rPr>
              <w:t>——发生事故时可以传输到其他储存或处理设施的物料量，m</w:t>
            </w:r>
            <w:r>
              <w:rPr>
                <w:rFonts w:hint="eastAsia"/>
                <w:vertAlign w:val="superscript"/>
              </w:rPr>
              <w:t>3</w:t>
            </w:r>
            <w:r>
              <w:rPr>
                <w:rFonts w:hint="eastAsia"/>
              </w:rPr>
              <w:t>；出于安全考虑，不考虑物料发生转移，V</w:t>
            </w:r>
            <w:r>
              <w:rPr>
                <w:rFonts w:hint="eastAsia"/>
                <w:vertAlign w:val="subscript"/>
              </w:rPr>
              <w:t>3</w:t>
            </w:r>
            <w:r>
              <w:rPr>
                <w:rFonts w:hint="eastAsia"/>
              </w:rPr>
              <w:t>取0；</w:t>
            </w:r>
          </w:p>
          <w:p w14:paraId="204407C8">
            <w:pPr>
              <w:ind w:firstLine="480"/>
            </w:pPr>
            <w:r>
              <w:rPr>
                <w:rFonts w:hint="eastAsia"/>
                <w:i/>
                <w:iCs/>
              </w:rPr>
              <w:t>V</w:t>
            </w:r>
            <w:r>
              <w:rPr>
                <w:rFonts w:hint="eastAsia"/>
                <w:i/>
                <w:iCs/>
                <w:vertAlign w:val="subscript"/>
              </w:rPr>
              <w:t>4</w:t>
            </w:r>
            <w:r>
              <w:rPr>
                <w:rFonts w:hint="eastAsia"/>
              </w:rPr>
              <w:t>——发生事故时仍必须进入该收集系统的生产废水量，m</w:t>
            </w:r>
            <w:r>
              <w:rPr>
                <w:rFonts w:hint="eastAsia"/>
                <w:vertAlign w:val="superscript"/>
              </w:rPr>
              <w:t>3</w:t>
            </w:r>
            <w:r>
              <w:rPr>
                <w:rFonts w:hint="eastAsia"/>
              </w:rPr>
              <w:t>；不存在发生事故时仍必须进入该收集系统的生产废水，V</w:t>
            </w:r>
            <w:r>
              <w:rPr>
                <w:rFonts w:hint="eastAsia"/>
                <w:vertAlign w:val="subscript"/>
              </w:rPr>
              <w:t>4</w:t>
            </w:r>
            <w:r>
              <w:rPr>
                <w:rFonts w:hint="eastAsia"/>
              </w:rPr>
              <w:t>取0；</w:t>
            </w:r>
          </w:p>
          <w:p w14:paraId="6CEB4208">
            <w:pPr>
              <w:ind w:firstLine="480"/>
            </w:pPr>
            <w:r>
              <w:rPr>
                <w:rFonts w:hint="eastAsia"/>
                <w:i/>
                <w:iCs/>
              </w:rPr>
              <w:t>V</w:t>
            </w:r>
            <w:r>
              <w:rPr>
                <w:rFonts w:hint="eastAsia"/>
                <w:i/>
                <w:iCs/>
                <w:vertAlign w:val="subscript"/>
              </w:rPr>
              <w:t>5</w:t>
            </w:r>
            <w:r>
              <w:rPr>
                <w:rFonts w:hint="eastAsia"/>
              </w:rPr>
              <w:t>——发生事故时可能进入该收集系统的降雨量，m</w:t>
            </w:r>
            <w:r>
              <w:rPr>
                <w:rFonts w:hint="eastAsia"/>
                <w:vertAlign w:val="superscript"/>
              </w:rPr>
              <w:t>3</w:t>
            </w:r>
            <w:r>
              <w:rPr>
                <w:rFonts w:hint="eastAsia"/>
              </w:rPr>
              <w:t>；</w:t>
            </w:r>
          </w:p>
          <w:p w14:paraId="18512236">
            <w:pPr>
              <w:ind w:firstLine="0" w:firstLineChars="0"/>
              <w:jc w:val="center"/>
            </w:pPr>
            <m:oMathPara>
              <m:oMathParaPr>
                <m:jc m:val="center"/>
              </m:oMathParaPr>
              <m:oMath>
                <m:sSub>
                  <m:sSubPr>
                    <m:ctrlPr>
                      <w:rPr>
                        <w:rFonts w:hint="eastAsia" w:ascii="Cambria Math" w:hAnsi="Cambria Math"/>
                        <w:i/>
                        <w:iCs/>
                      </w:rPr>
                    </m:ctrlPr>
                  </m:sSubPr>
                  <m:e>
                    <m:r>
                      <m:rPr/>
                      <w:rPr>
                        <w:rFonts w:hint="default" w:ascii="Cambria Math" w:hAnsi="Cambria Math"/>
                      </w:rPr>
                      <m:t>V</m:t>
                    </m:r>
                    <m:ctrlPr>
                      <w:rPr>
                        <w:rFonts w:hint="eastAsia" w:ascii="Cambria Math" w:hAnsi="Cambria Math"/>
                        <w:i/>
                        <w:iCs/>
                      </w:rPr>
                    </m:ctrlPr>
                  </m:e>
                  <m:sub>
                    <m:r>
                      <m:rPr/>
                      <w:rPr>
                        <w:rFonts w:hint="eastAsia" w:ascii="Cambria Math" w:hAnsi="Cambria Math"/>
                      </w:rPr>
                      <m:t>5</m:t>
                    </m:r>
                    <m:ctrlPr>
                      <w:rPr>
                        <w:rFonts w:hint="eastAsia" w:ascii="Cambria Math" w:hAnsi="Cambria Math"/>
                        <w:i/>
                        <w:iCs/>
                      </w:rPr>
                    </m:ctrlPr>
                  </m:sub>
                </m:sSub>
                <m:r>
                  <m:rPr/>
                  <w:rPr>
                    <w:rFonts w:hint="default" w:ascii="Cambria Math" w:hAnsi="Cambria Math"/>
                  </w:rPr>
                  <m:t>=10qF</m:t>
                </m:r>
              </m:oMath>
            </m:oMathPara>
          </w:p>
          <w:p w14:paraId="7B9A1FB2">
            <w:pPr>
              <w:ind w:firstLine="480"/>
            </w:pPr>
            <w:r>
              <w:rPr>
                <w:rFonts w:hint="eastAsia"/>
              </w:rPr>
              <w:t>q——降雨强度，mm；按平均日降雨量；</w:t>
            </w:r>
          </w:p>
          <w:p w14:paraId="62BEE4B3">
            <w:pPr>
              <w:ind w:firstLine="480"/>
            </w:pPr>
            <w:r>
              <w:rPr>
                <w:rFonts w:hint="eastAsia"/>
              </w:rPr>
              <w:t>F——必须进入事故废水收集系统的雨水汇水面积，ha。</w:t>
            </w:r>
          </w:p>
          <w:p w14:paraId="50589CBD">
            <w:pPr>
              <w:ind w:firstLine="480"/>
            </w:pPr>
            <w:r>
              <w:rPr>
                <w:rFonts w:hint="eastAsia"/>
              </w:rPr>
              <w:t>长乐区多年平均降雨量约1359mm，年平均降水天数160天。区域可能受污染面积（含现有工程和本次扩建工程）F约为23.4ha，故平均日降雨量q=1359mm÷160d=8.49mm/d，V</w:t>
            </w:r>
            <w:r>
              <w:rPr>
                <w:rFonts w:hint="eastAsia"/>
                <w:vertAlign w:val="subscript"/>
              </w:rPr>
              <w:t>5</w:t>
            </w:r>
            <w:r>
              <w:rPr>
                <w:rFonts w:hint="eastAsia"/>
              </w:rPr>
              <w:t>=10qf=10×8.49×23.4=1986.66m</w:t>
            </w:r>
            <w:r>
              <w:rPr>
                <w:rFonts w:hint="eastAsia"/>
                <w:vertAlign w:val="superscript"/>
              </w:rPr>
              <w:t>3</w:t>
            </w:r>
            <w:r>
              <w:rPr>
                <w:rFonts w:hint="eastAsia"/>
              </w:rPr>
              <w:t>。</w:t>
            </w:r>
          </w:p>
          <w:p w14:paraId="7281E635">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rPr>
              <w:t>V</w:t>
            </w:r>
            <w:r>
              <w:rPr>
                <w:rFonts w:hint="eastAsia"/>
                <w:vertAlign w:val="subscript"/>
              </w:rPr>
              <w:t>总</w:t>
            </w:r>
            <w:r>
              <w:rPr>
                <w:rFonts w:hint="eastAsia"/>
              </w:rPr>
              <w:t>=120+324+1986.66=2430.66m</w:t>
            </w:r>
            <w:r>
              <w:rPr>
                <w:rFonts w:hint="eastAsia"/>
                <w:vertAlign w:val="superscript"/>
              </w:rPr>
              <w:t>3</w:t>
            </w:r>
          </w:p>
          <w:p w14:paraId="7C698080">
            <w:pPr>
              <w:ind w:firstLine="480"/>
            </w:pPr>
            <w:r>
              <w:rPr>
                <w:rFonts w:hint="eastAsia"/>
              </w:rPr>
              <w:t>企业已建3340m</w:t>
            </w:r>
            <w:r>
              <w:rPr>
                <w:rFonts w:hint="eastAsia"/>
                <w:vertAlign w:val="superscript"/>
              </w:rPr>
              <w:t>3</w:t>
            </w:r>
            <w:r>
              <w:rPr>
                <w:rFonts w:hint="eastAsia"/>
              </w:rPr>
              <w:t>的事故应急池，可以满足事故废水收集要求。事故应急池采取严格的防渗措施，日常处于空置状态，厂区内的雨水管道、事故沟收集系统严格分开，设置应急切换阀，一旦发生火灾、爆炸事故，将立即进行阀门切换，将事故废水导入事故应急池。</w:t>
            </w:r>
          </w:p>
          <w:p w14:paraId="7673BB70">
            <w:pPr>
              <w:ind w:firstLine="480"/>
            </w:pPr>
            <w:r>
              <w:rPr>
                <w:rFonts w:hint="eastAsia"/>
              </w:rPr>
              <w:t>（6）建设单位应按照《企业事业单位突发环境事件应急预案备案管理办法（试行）》（环发〔2015〕4号）要求，结合本项目建设内容，对厂区应急预案进行修编，报送生态环境主管部门备案，并按预案要求定期开展应急培训及应急演练。</w:t>
            </w:r>
          </w:p>
          <w:p w14:paraId="50EAAB27">
            <w:pPr>
              <w:ind w:firstLine="480"/>
            </w:pPr>
            <w:r>
              <w:rPr>
                <w:rFonts w:hint="eastAsia"/>
              </w:rPr>
              <w:t>综上分析，项目风险类型主要为泄漏、火灾，由于主要的易燃物质在厂区内储存量很小，发生风险事故的影响范围不大，在各项环境风险防范措施落实到位的情况下，可降低本项目的环境风险，最大程度减少对环境可能造成的危害，项目对环境的风险影响可接受。</w:t>
            </w:r>
          </w:p>
          <w:p w14:paraId="55B4CD8F">
            <w:pPr>
              <w:ind w:firstLine="480"/>
            </w:pPr>
            <w:r>
              <w:rPr>
                <w:rFonts w:hint="eastAsia"/>
              </w:rPr>
              <w:t>6.环境风险分析结论</w:t>
            </w:r>
          </w:p>
          <w:p w14:paraId="143ED15A">
            <w:pPr>
              <w:ind w:firstLine="480"/>
            </w:pPr>
            <w:r>
              <w:rPr>
                <w:rFonts w:hint="eastAsia"/>
              </w:rPr>
              <w:t>在各环境风险防范措施落实到位的情况下，将大大降低建设项目的环境风险，最大程度减少对环境可能造成的危害。在企业落实本评价提出的各项风险防范措施后，项目对环境的风险影响可接受。</w:t>
            </w:r>
          </w:p>
          <w:p w14:paraId="48F21A79">
            <w:pPr>
              <w:ind w:firstLine="480"/>
            </w:pPr>
            <w:r>
              <w:rPr>
                <w:rFonts w:hint="eastAsia"/>
              </w:rPr>
              <w:t>本项目环境风险简单分析内容见表4.2-15。</w:t>
            </w:r>
          </w:p>
          <w:p w14:paraId="0AEE7751">
            <w:pPr>
              <w:pStyle w:val="13"/>
            </w:pPr>
            <w:r>
              <w:rPr>
                <w:rFonts w:hint="eastAsia"/>
              </w:rPr>
              <w:t>表4.2-15  建设项目环境风险简单分析内容表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160"/>
              <w:gridCol w:w="6009"/>
            </w:tblGrid>
            <w:tr w14:paraId="049C8A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322" w:type="pct"/>
                  <w:tcBorders>
                    <w:top w:val="single" w:color="auto" w:sz="12" w:space="0"/>
                    <w:left w:val="nil"/>
                    <w:bottom w:val="single" w:color="auto" w:sz="6" w:space="0"/>
                    <w:right w:val="single" w:color="auto" w:sz="6" w:space="0"/>
                  </w:tcBorders>
                  <w:vAlign w:val="center"/>
                </w:tcPr>
                <w:p w14:paraId="79640C5B">
                  <w:pPr>
                    <w:pStyle w:val="83"/>
                    <w:rPr>
                      <w:rFonts w:hint="default"/>
                    </w:rPr>
                  </w:pPr>
                  <w:r>
                    <w:t>建设项目名称</w:t>
                  </w:r>
                </w:p>
              </w:tc>
              <w:tc>
                <w:tcPr>
                  <w:tcW w:w="3678" w:type="pct"/>
                  <w:tcBorders>
                    <w:top w:val="single" w:color="auto" w:sz="12" w:space="0"/>
                    <w:left w:val="single" w:color="auto" w:sz="6" w:space="0"/>
                    <w:bottom w:val="single" w:color="auto" w:sz="6" w:space="0"/>
                    <w:right w:val="nil"/>
                  </w:tcBorders>
                  <w:vAlign w:val="center"/>
                </w:tcPr>
                <w:p w14:paraId="0E3AE62A">
                  <w:pPr>
                    <w:pStyle w:val="83"/>
                    <w:rPr>
                      <w:rFonts w:hint="default"/>
                    </w:rPr>
                  </w:pPr>
                  <w:r>
                    <w:t>永荣锦江绿色低碳环保、高性能、可降解、新材料智能化纺丝织造一体化配套产业研究院</w:t>
                  </w:r>
                </w:p>
              </w:tc>
            </w:tr>
            <w:tr w14:paraId="2098D4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322" w:type="pct"/>
                  <w:tcBorders>
                    <w:top w:val="single" w:color="auto" w:sz="6" w:space="0"/>
                    <w:left w:val="nil"/>
                    <w:bottom w:val="single" w:color="auto" w:sz="6" w:space="0"/>
                    <w:right w:val="single" w:color="auto" w:sz="6" w:space="0"/>
                  </w:tcBorders>
                  <w:vAlign w:val="center"/>
                </w:tcPr>
                <w:p w14:paraId="0473DE1C">
                  <w:pPr>
                    <w:pStyle w:val="83"/>
                    <w:rPr>
                      <w:rFonts w:hint="default"/>
                    </w:rPr>
                  </w:pPr>
                  <w:r>
                    <w:t>建设地点</w:t>
                  </w:r>
                </w:p>
              </w:tc>
              <w:tc>
                <w:tcPr>
                  <w:tcW w:w="3678" w:type="pct"/>
                  <w:tcBorders>
                    <w:top w:val="single" w:color="auto" w:sz="6" w:space="0"/>
                    <w:left w:val="single" w:color="auto" w:sz="6" w:space="0"/>
                    <w:bottom w:val="single" w:color="auto" w:sz="6" w:space="0"/>
                    <w:right w:val="nil"/>
                  </w:tcBorders>
                  <w:vAlign w:val="center"/>
                </w:tcPr>
                <w:p w14:paraId="6C1C9BFB">
                  <w:pPr>
                    <w:pStyle w:val="83"/>
                    <w:rPr>
                      <w:rFonts w:hint="default"/>
                    </w:rPr>
                  </w:pPr>
                  <w:r>
                    <w:t>福州市长乐区湖南镇鹏程路28号</w:t>
                  </w:r>
                </w:p>
              </w:tc>
            </w:tr>
            <w:tr w14:paraId="5C8981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322" w:type="pct"/>
                  <w:tcBorders>
                    <w:top w:val="single" w:color="auto" w:sz="6" w:space="0"/>
                    <w:left w:val="nil"/>
                    <w:bottom w:val="single" w:color="auto" w:sz="6" w:space="0"/>
                    <w:right w:val="single" w:color="auto" w:sz="6" w:space="0"/>
                  </w:tcBorders>
                  <w:vAlign w:val="center"/>
                </w:tcPr>
                <w:p w14:paraId="2227EC60">
                  <w:pPr>
                    <w:pStyle w:val="83"/>
                    <w:rPr>
                      <w:rFonts w:hint="default"/>
                    </w:rPr>
                  </w:pPr>
                  <w:r>
                    <w:t>地理坐标</w:t>
                  </w:r>
                </w:p>
              </w:tc>
              <w:tc>
                <w:tcPr>
                  <w:tcW w:w="3678" w:type="pct"/>
                  <w:tcBorders>
                    <w:top w:val="single" w:color="auto" w:sz="6" w:space="0"/>
                    <w:left w:val="single" w:color="auto" w:sz="6" w:space="0"/>
                    <w:bottom w:val="single" w:color="auto" w:sz="6" w:space="0"/>
                    <w:right w:val="nil"/>
                  </w:tcBorders>
                  <w:vAlign w:val="center"/>
                </w:tcPr>
                <w:p w14:paraId="70A3F20B">
                  <w:pPr>
                    <w:pStyle w:val="83"/>
                    <w:rPr>
                      <w:rFonts w:hint="default"/>
                    </w:rPr>
                  </w:pPr>
                  <w:r>
                    <w:t>东经119度40分12.65秒，北纬25度57分39.48秒</w:t>
                  </w:r>
                </w:p>
              </w:tc>
            </w:tr>
            <w:tr w14:paraId="49FF87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322" w:type="pct"/>
                  <w:tcBorders>
                    <w:top w:val="single" w:color="auto" w:sz="6" w:space="0"/>
                    <w:left w:val="nil"/>
                    <w:bottom w:val="single" w:color="auto" w:sz="6" w:space="0"/>
                    <w:right w:val="single" w:color="auto" w:sz="6" w:space="0"/>
                  </w:tcBorders>
                  <w:vAlign w:val="center"/>
                </w:tcPr>
                <w:p w14:paraId="22401F5E">
                  <w:pPr>
                    <w:pStyle w:val="83"/>
                    <w:rPr>
                      <w:rFonts w:hint="default"/>
                    </w:rPr>
                  </w:pPr>
                  <w:r>
                    <w:t>主要危险物质及分布</w:t>
                  </w:r>
                </w:p>
              </w:tc>
              <w:tc>
                <w:tcPr>
                  <w:tcW w:w="3678" w:type="pct"/>
                  <w:tcBorders>
                    <w:top w:val="single" w:color="auto" w:sz="6" w:space="0"/>
                    <w:left w:val="single" w:color="auto" w:sz="6" w:space="0"/>
                    <w:bottom w:val="single" w:color="auto" w:sz="6" w:space="0"/>
                    <w:right w:val="nil"/>
                  </w:tcBorders>
                  <w:vAlign w:val="center"/>
                </w:tcPr>
                <w:p w14:paraId="11000D01">
                  <w:pPr>
                    <w:pStyle w:val="83"/>
                    <w:rPr>
                      <w:rFonts w:hint="default"/>
                    </w:rPr>
                  </w:pPr>
                  <w:r>
                    <w:t>废油剂、实验废液暂存于危废间；甲酸、甲醇、乙醚、乙腈、异丙醇、磷酸、98%硫酸等化学品贮存于实验室试剂器皿仓</w:t>
                  </w:r>
                </w:p>
              </w:tc>
            </w:tr>
            <w:tr w14:paraId="426F53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322" w:type="pct"/>
                  <w:tcBorders>
                    <w:top w:val="single" w:color="auto" w:sz="6" w:space="0"/>
                    <w:left w:val="nil"/>
                    <w:bottom w:val="single" w:color="auto" w:sz="6" w:space="0"/>
                    <w:right w:val="single" w:color="auto" w:sz="6" w:space="0"/>
                  </w:tcBorders>
                  <w:vAlign w:val="center"/>
                </w:tcPr>
                <w:p w14:paraId="6AF0A7F3">
                  <w:pPr>
                    <w:pStyle w:val="83"/>
                    <w:rPr>
                      <w:rFonts w:hint="default"/>
                    </w:rPr>
                  </w:pPr>
                  <w:r>
                    <w:t>环境影响途径及危害后果（大气、地表水、地下水等）</w:t>
                  </w:r>
                </w:p>
              </w:tc>
              <w:tc>
                <w:tcPr>
                  <w:tcW w:w="3678" w:type="pct"/>
                  <w:tcBorders>
                    <w:top w:val="single" w:color="auto" w:sz="6" w:space="0"/>
                    <w:left w:val="single" w:color="auto" w:sz="6" w:space="0"/>
                    <w:bottom w:val="single" w:color="auto" w:sz="6" w:space="0"/>
                    <w:right w:val="nil"/>
                  </w:tcBorders>
                  <w:vAlign w:val="center"/>
                </w:tcPr>
                <w:p w14:paraId="2D680BBE">
                  <w:pPr>
                    <w:pStyle w:val="83"/>
                    <w:jc w:val="both"/>
                    <w:rPr>
                      <w:rFonts w:hint="default"/>
                    </w:rPr>
                  </w:pPr>
                  <w:r>
                    <w:t>①大气：油类物质发生泄漏挥发会产生有机废气进入大气环境；风险物质遇明火、火花则可能发生火灾爆炸事故，同时燃烧产生烟尘、SO</w:t>
                  </w:r>
                  <w:r>
                    <w:rPr>
                      <w:vertAlign w:val="subscript"/>
                    </w:rPr>
                    <w:t>2</w:t>
                  </w:r>
                  <w:r>
                    <w:t>、NOx等废气进入大气环境，导致周围大气环境中相应污染物浓度增高，造成环境空气质量污染。</w:t>
                  </w:r>
                </w:p>
                <w:p w14:paraId="0B97323F">
                  <w:pPr>
                    <w:pStyle w:val="83"/>
                    <w:jc w:val="both"/>
                    <w:rPr>
                      <w:rFonts w:hint="default"/>
                    </w:rPr>
                  </w:pPr>
                  <w:r>
                    <w:t>②地表水、地下水：发生火灾产生的消防废液以及事故废水等可能随雨水管道进入外环境，对周边土壤或河流造成污染。</w:t>
                  </w:r>
                </w:p>
              </w:tc>
            </w:tr>
            <w:tr w14:paraId="328E34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322" w:type="pct"/>
                  <w:tcBorders>
                    <w:top w:val="single" w:color="auto" w:sz="6" w:space="0"/>
                    <w:left w:val="nil"/>
                    <w:bottom w:val="single" w:color="auto" w:sz="6" w:space="0"/>
                    <w:right w:val="single" w:color="auto" w:sz="6" w:space="0"/>
                  </w:tcBorders>
                  <w:vAlign w:val="center"/>
                </w:tcPr>
                <w:p w14:paraId="43E46E89">
                  <w:pPr>
                    <w:pStyle w:val="83"/>
                    <w:rPr>
                      <w:rFonts w:hint="default"/>
                    </w:rPr>
                  </w:pPr>
                  <w:r>
                    <w:t>风险防范措施要求</w:t>
                  </w:r>
                </w:p>
              </w:tc>
              <w:tc>
                <w:tcPr>
                  <w:tcW w:w="3678" w:type="pct"/>
                  <w:tcBorders>
                    <w:top w:val="single" w:color="auto" w:sz="6" w:space="0"/>
                    <w:left w:val="single" w:color="auto" w:sz="6" w:space="0"/>
                    <w:bottom w:val="single" w:color="auto" w:sz="6" w:space="0"/>
                    <w:right w:val="nil"/>
                  </w:tcBorders>
                  <w:vAlign w:val="center"/>
                </w:tcPr>
                <w:p w14:paraId="2D71475A">
                  <w:pPr>
                    <w:pStyle w:val="83"/>
                    <w:jc w:val="both"/>
                    <w:rPr>
                      <w:rFonts w:hint="default"/>
                    </w:rPr>
                  </w:pPr>
                  <w:r>
                    <w:t>（1）建立健全各种有关消防与安全生产的规章制度，建立岗位责任制。危废间、生产车间等严禁明火。生产车间、公用工程、物料堆场等场所配置足量的泡沫、干粉等灭火器，并保持完好状态；</w:t>
                  </w:r>
                </w:p>
                <w:p w14:paraId="6DCB0968">
                  <w:pPr>
                    <w:pStyle w:val="83"/>
                    <w:jc w:val="both"/>
                    <w:rPr>
                      <w:rFonts w:hint="default"/>
                    </w:rPr>
                  </w:pPr>
                  <w:r>
                    <w:t>（2）厂区留有足够的消防通道。生产车间、物料堆场设置消防给水管道和消防栓。企业要组织义务消防员，并进行定期的培训和训练。对有火灾危险的场所设置自动报警系统，一旦发生火灾，立即做出应急反应；</w:t>
                  </w:r>
                </w:p>
                <w:p w14:paraId="2134C016">
                  <w:pPr>
                    <w:pStyle w:val="83"/>
                    <w:jc w:val="both"/>
                    <w:rPr>
                      <w:rFonts w:hint="default"/>
                    </w:rPr>
                  </w:pPr>
                  <w:r>
                    <w:t>（3）对于危废间，企业设置监控系统，主要在危废间出入口、室内、厂门口等关键位置安装视频监控设施，进行实时监控。厂区门口设置危废信息公开栏，危废间外墙及各类危废贮存处墙面设置贮存设施警示标志牌。贮存过程在液态危险废物贮存容器下方设置不锈钢托盘，或在危废间设置地沟等，发生少量泄漏立即将容器内剩余溶液转移，并收集托盘、地沟内泄漏液体，防止泄漏物料挥发到大气中。</w:t>
                  </w:r>
                </w:p>
                <w:p w14:paraId="7FB9D5A5">
                  <w:pPr>
                    <w:pStyle w:val="83"/>
                    <w:jc w:val="both"/>
                    <w:rPr>
                      <w:rFonts w:hint="default"/>
                    </w:rPr>
                  </w:pPr>
                  <w:r>
                    <w:t>（4）定期对化学品进行安全检查，试剂器皿仓保证通风，远离火种热源，独立存放，应在员工易见之处，标示原料MSDS表、输送对象设备及其它必要事项。</w:t>
                  </w:r>
                </w:p>
                <w:p w14:paraId="174609FD">
                  <w:pPr>
                    <w:pStyle w:val="83"/>
                    <w:jc w:val="both"/>
                    <w:rPr>
                      <w:rFonts w:hint="default"/>
                    </w:rPr>
                  </w:pPr>
                  <w:r>
                    <w:t>（5）企业已建3340m</w:t>
                  </w:r>
                  <w:r>
                    <w:rPr>
                      <w:vertAlign w:val="superscript"/>
                    </w:rPr>
                    <w:t>3</w:t>
                  </w:r>
                  <w:r>
                    <w:t>的事故应急池，可以满足事故废水收集要求，采取严格的防渗措施，日常处于空置状态。</w:t>
                  </w:r>
                </w:p>
                <w:p w14:paraId="74F9E9E0">
                  <w:pPr>
                    <w:pStyle w:val="83"/>
                    <w:jc w:val="both"/>
                    <w:rPr>
                      <w:rFonts w:hint="default"/>
                    </w:rPr>
                  </w:pPr>
                  <w:r>
                    <w:t>（6）厂区内的雨水管道、事故沟收集系统严格分开，设置切换阀。</w:t>
                  </w:r>
                </w:p>
              </w:tc>
            </w:tr>
            <w:tr w14:paraId="63ACEB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322" w:type="pct"/>
                  <w:tcBorders>
                    <w:top w:val="single" w:color="auto" w:sz="6" w:space="0"/>
                    <w:left w:val="nil"/>
                    <w:bottom w:val="single" w:color="auto" w:sz="12" w:space="0"/>
                    <w:right w:val="single" w:color="auto" w:sz="6" w:space="0"/>
                  </w:tcBorders>
                  <w:vAlign w:val="center"/>
                </w:tcPr>
                <w:p w14:paraId="1488C0D3">
                  <w:pPr>
                    <w:pStyle w:val="83"/>
                    <w:rPr>
                      <w:rFonts w:hint="default"/>
                    </w:rPr>
                  </w:pPr>
                  <w:r>
                    <w:t>填表说明</w:t>
                  </w:r>
                </w:p>
              </w:tc>
              <w:tc>
                <w:tcPr>
                  <w:tcW w:w="3678" w:type="pct"/>
                  <w:tcBorders>
                    <w:top w:val="single" w:color="auto" w:sz="6" w:space="0"/>
                    <w:left w:val="single" w:color="auto" w:sz="6" w:space="0"/>
                    <w:bottom w:val="single" w:color="auto" w:sz="12" w:space="0"/>
                    <w:right w:val="nil"/>
                  </w:tcBorders>
                  <w:vAlign w:val="center"/>
                </w:tcPr>
                <w:p w14:paraId="5D5A138D">
                  <w:pPr>
                    <w:pStyle w:val="83"/>
                    <w:jc w:val="both"/>
                    <w:rPr>
                      <w:rFonts w:hint="default"/>
                    </w:rPr>
                  </w:pPr>
                  <w:r>
                    <w:t>项目Q=0.00635&lt;1，环境风险潜势为Ⅰ，在企业落实本评价提出的各项风险防范措施后，项目对环境的风险影响可接受。</w:t>
                  </w:r>
                </w:p>
              </w:tc>
            </w:tr>
          </w:tbl>
          <w:p w14:paraId="7BC801B4">
            <w:pPr>
              <w:pStyle w:val="4"/>
              <w:spacing w:before="120" w:after="0" w:afterLines="0"/>
            </w:pPr>
            <w:r>
              <w:rPr>
                <w:rFonts w:hint="eastAsia"/>
              </w:rPr>
              <w:t>4.2.7 清洁生产分析</w:t>
            </w:r>
          </w:p>
          <w:p w14:paraId="42F65219">
            <w:pPr>
              <w:ind w:firstLine="480"/>
            </w:pPr>
            <w:r>
              <w:rPr>
                <w:rFonts w:hint="eastAsia"/>
              </w:rPr>
              <w:t>1.生产工艺装备及技术</w:t>
            </w:r>
          </w:p>
          <w:p w14:paraId="7EB85EB9">
            <w:pPr>
              <w:ind w:firstLine="480"/>
            </w:pPr>
            <w:r>
              <w:rPr>
                <w:rFonts w:hint="eastAsia"/>
              </w:rPr>
              <w:t>本项目建设生物基新材料、可降解材料、原液着色新材料、消费后再生新材料、高性能新材料等新材料小中试研发线，采用25+36挤出机吸料储料、计量下料、造粒改性、干燥及打包的智能自动化系统，主要设备选用国外与国内设备相优化组合，设备可靠性好，自动化程度高，利于控制，能够保证生产运行的连续稳定，提高生产效率。选用高精度、高灵敏度的研发测试仪器，将研发、试制与检测数据进行集成分析，具备对样品结构与关键性能指标的精准捕捉能力，确保工艺参数的精确控制。项目工艺技术与项目设计规模相匹配，与资源条件和管理水平相适应，能够确保生产过程合理、通畅、有序运行。</w:t>
            </w:r>
          </w:p>
          <w:p w14:paraId="0216D0A7">
            <w:pPr>
              <w:ind w:firstLine="480"/>
            </w:pPr>
            <w:r>
              <w:rPr>
                <w:rFonts w:hint="eastAsia"/>
              </w:rPr>
              <w:t>2.资源与能源综合利用</w:t>
            </w:r>
          </w:p>
          <w:p w14:paraId="404F4A72">
            <w:pPr>
              <w:ind w:firstLine="480"/>
            </w:pPr>
            <w:r>
              <w:rPr>
                <w:rFonts w:hint="eastAsia"/>
              </w:rPr>
              <w:t>本项目能源消费品种及数量分别为电力869.41×10</w:t>
            </w:r>
            <w:r>
              <w:rPr>
                <w:rFonts w:hint="eastAsia"/>
                <w:vertAlign w:val="superscript"/>
              </w:rPr>
              <w:t>4</w:t>
            </w:r>
            <w:r>
              <w:rPr>
                <w:rFonts w:hint="eastAsia"/>
              </w:rPr>
              <w:t>kWh/a、新鲜水25404t/a。根据《综合能耗计算通则》（GB/T2589-2020），项目年综合能源消耗量为1070.68tce，等价值为2595.63tce。项目生产废水经厂区污水处理站处理后回用于企业循环冷却系统，可大量节约新鲜水用量，生产过程中产生的废锦纶丝回用于再生切片项目。</w:t>
            </w:r>
          </w:p>
          <w:p w14:paraId="3CE7BE99">
            <w:pPr>
              <w:ind w:firstLine="480"/>
            </w:pPr>
            <w:r>
              <w:rPr>
                <w:rFonts w:hint="eastAsia"/>
              </w:rPr>
              <w:t>3.污染治理措施</w:t>
            </w:r>
          </w:p>
          <w:p w14:paraId="2187D37E">
            <w:pPr>
              <w:ind w:firstLine="480"/>
            </w:pPr>
            <w:r>
              <w:rPr>
                <w:rFonts w:hint="eastAsia"/>
              </w:rPr>
              <w:t>本工程生产设备及管道、阀门等管件选用不锈钢或碳钢材质，调节阀采用密封性能好的设备，所有易泄漏点均采用先进的防泄漏设计，可最大限度地降低系统物料的泄漏损失。项目采取了静电吸附、水喷淋等严格的废气治理措施，可确保营运期间废气稳定达标排放，大大降低了废气污染物的排放量；项目生产废水通过经企业污水处理站（预水解酸化+IEPI厌氧塔+A/O+MBR+RO）处理后回用于循环冷却系统，减少废水产生量，污水处理后产生的反渗透浓水进入滨海工业区污水处理厂统一处理，不直接外排；产生的危险废物委托有资质的单位合理处置；对各种泵类、风机等噪声设备采取了减振、消声和建筑隔声等措施；同时对于不同的生产区采取分区防渗措施，可有效防止生产过程对地下水和土壤环境的污染。通过采取上述较为完善的污染物治理措施，大大降低了项目生产对环境产生的污染。</w:t>
            </w:r>
          </w:p>
          <w:p w14:paraId="72C94F6E">
            <w:pPr>
              <w:ind w:firstLine="480"/>
            </w:pPr>
            <w:r>
              <w:rPr>
                <w:rFonts w:hint="eastAsia"/>
              </w:rPr>
              <w:t>4.环境管理</w:t>
            </w:r>
          </w:p>
          <w:p w14:paraId="2FF913D1">
            <w:pPr>
              <w:ind w:firstLine="480"/>
            </w:pPr>
            <w:r>
              <w:rPr>
                <w:rFonts w:hint="eastAsia"/>
              </w:rPr>
              <w:t>建设单位在组织机构方面设置专门环境管理机构和专职管理人员，开展环保和清洁生产有关工作。做好人员培训，增强全员环境意识，推动清洁生产实施；充分发挥各部门的力量，分清各部门环境管理职责，相互协调、密切合作，把清洁生产纳入环境管理体系中；制定有利于清洁生产的生产制度，加强科学研究和技术开发，促进行业内合作与交流，通过清洁生产的实施、环境管理体系的建立和认证工作，使环境保护管理走向科学化、规范化、标准化和系统化的轨道。为实现发展生产和保护环境的双赢目标，企业结合自身的实际情况，按照源头削减、过程控制、综合利用的原则，在实施清洁生产过程中，加强对清洁生产的规定和行动计划，完善与清洁生产相关的生产管理制度。进行岗位员工技术培训，增强岗位员工操作技能，提高操作有效性；对通过清洁生产审核发现有缺陷的设备，结合设备检修进行改造，改善工艺条件。确保企业生产符合国家和地方有关环境法律法规、污染物排放达到国家和地方排放标准，总量控制和排污许可证管理要求。</w:t>
            </w:r>
          </w:p>
          <w:p w14:paraId="0179FF4A">
            <w:pPr>
              <w:ind w:firstLine="480"/>
            </w:pPr>
            <w:r>
              <w:rPr>
                <w:rFonts w:hint="eastAsia"/>
              </w:rPr>
              <w:t>本项目在生产工艺与设备选择、原辅材料选用和管理、废物回收利用等几方面均采取合理可行的清洁生产措施，有效地控制污染，采取清洁生产方案和措施，大大降低能耗、物耗、水耗，减少污染物排放对环境的污染，降低产品的生产成本，又创造了可观的经济效益，因此本项目基本符合清洁生产要求。</w:t>
            </w:r>
          </w:p>
          <w:p w14:paraId="40435C80">
            <w:pPr>
              <w:ind w:firstLine="480"/>
            </w:pPr>
            <w:r>
              <w:rPr>
                <w:rFonts w:hint="eastAsia"/>
              </w:rPr>
              <w:t>为提高本项目清洁生产水平，本评价提出如下建议：</w:t>
            </w:r>
          </w:p>
          <w:p w14:paraId="73407131">
            <w:pPr>
              <w:ind w:firstLine="480"/>
            </w:pPr>
            <w:r>
              <w:rPr>
                <w:rFonts w:hint="eastAsia"/>
              </w:rPr>
              <w:t>①强化节能措施，各种设备尽量选用节能、低噪型设备；</w:t>
            </w:r>
          </w:p>
          <w:p w14:paraId="0A43502D">
            <w:pPr>
              <w:ind w:firstLine="480"/>
            </w:pPr>
            <w:r>
              <w:rPr>
                <w:rFonts w:hint="eastAsia"/>
              </w:rPr>
              <w:t>②加强现场管理，机械设备定期检查维修，避免“跑、冒、滴、漏”现象；</w:t>
            </w:r>
          </w:p>
          <w:p w14:paraId="53678D10">
            <w:pPr>
              <w:ind w:firstLine="480"/>
            </w:pPr>
            <w:r>
              <w:rPr>
                <w:rFonts w:hint="eastAsia"/>
              </w:rPr>
              <w:t>③加强企业管理的制度化，规范化，使企业按照现代化标准管理；</w:t>
            </w:r>
          </w:p>
          <w:p w14:paraId="469B79ED">
            <w:pPr>
              <w:ind w:firstLine="480"/>
            </w:pPr>
            <w:r>
              <w:rPr>
                <w:rFonts w:hint="eastAsia"/>
              </w:rPr>
              <w:t>④健全污染治理措施，做到污染物全部达标排放，最大限度地减轻对环境的污染，为企业持续发展创造条件。</w:t>
            </w:r>
          </w:p>
          <w:p w14:paraId="55A14E24">
            <w:pPr>
              <w:ind w:firstLine="480"/>
            </w:pPr>
            <w:r>
              <w:rPr>
                <w:rFonts w:hint="eastAsia"/>
              </w:rPr>
              <w:t>⑤加强企业职工环境法教育，增强环境意识。</w:t>
            </w:r>
          </w:p>
          <w:p w14:paraId="283F9B23">
            <w:pPr>
              <w:ind w:firstLine="480"/>
            </w:pPr>
            <w:r>
              <w:rPr>
                <w:rFonts w:hint="eastAsia"/>
              </w:rPr>
              <w:t>⑥对清洁生产方案进行具体实施，对已实施的清洁生产方案进行全面、及时的跟踪分析，不断完善企业的清洁生产方案。</w:t>
            </w:r>
          </w:p>
          <w:p w14:paraId="2B2F624F">
            <w:pPr>
              <w:ind w:firstLine="480"/>
            </w:pPr>
            <w:r>
              <w:rPr>
                <w:rFonts w:hint="eastAsia"/>
              </w:rPr>
              <w:t>综上所述，本项目在设计中应贯彻“使用清洁的能源、采用先进的生产工艺技术与合理、综合利用等措施，从源头削减污染，提高资源利用效率”等清洁生产要求，确保其清洁生产水平在同类企业中处于国内先进水平。</w:t>
            </w:r>
          </w:p>
          <w:p w14:paraId="53DB4D4F">
            <w:pPr>
              <w:pStyle w:val="14"/>
              <w:adjustRightInd w:val="0"/>
              <w:snapToGrid w:val="0"/>
              <w:spacing w:before="0" w:beforeAutospacing="0" w:after="0" w:afterAutospacing="0"/>
              <w:ind w:firstLine="480"/>
              <w:jc w:val="both"/>
              <w:rPr>
                <w:rFonts w:ascii="Times New Roman" w:hAnsi="Times New Roman" w:eastAsiaTheme="majorEastAsia"/>
                <w:bCs/>
                <w:snapToGrid w:val="0"/>
                <w:szCs w:val="24"/>
              </w:rPr>
            </w:pPr>
          </w:p>
        </w:tc>
      </w:tr>
    </w:tbl>
    <w:p w14:paraId="522D432E">
      <w:pPr>
        <w:ind w:firstLine="480"/>
        <w:rPr>
          <w:snapToGrid w:val="0"/>
        </w:rPr>
      </w:pPr>
    </w:p>
    <w:p w14:paraId="2D7717CD">
      <w:pPr>
        <w:pStyle w:val="14"/>
        <w:ind w:firstLine="600"/>
        <w:jc w:val="center"/>
        <w:outlineLvl w:val="0"/>
        <w:rPr>
          <w:rFonts w:hint="eastAsia" w:ascii="黑体" w:hAnsi="黑体" w:eastAsia="黑体"/>
          <w:snapToGrid w:val="0"/>
          <w:sz w:val="30"/>
          <w:szCs w:val="30"/>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p w14:paraId="4CD8D004">
      <w:pPr>
        <w:pStyle w:val="14"/>
        <w:spacing w:before="0" w:beforeAutospacing="0" w:after="0" w:afterAutospacing="0"/>
        <w:ind w:firstLine="0" w:firstLineChars="0"/>
        <w:jc w:val="center"/>
        <w:outlineLvl w:val="0"/>
        <w:rPr>
          <w:rFonts w:hint="eastAsia" w:ascii="黑体" w:hAnsi="黑体" w:eastAsia="黑体"/>
          <w:sz w:val="30"/>
          <w:szCs w:val="30"/>
        </w:rPr>
      </w:pPr>
      <w:r>
        <w:rPr>
          <w:rFonts w:hint="eastAsia" w:ascii="黑体" w:hAnsi="黑体" w:eastAsia="黑体"/>
          <w:sz w:val="30"/>
          <w:szCs w:val="30"/>
        </w:rPr>
        <w:t>五、环境保护措施监督检查清单</w:t>
      </w:r>
    </w:p>
    <w:tbl>
      <w:tblPr>
        <w:tblStyle w:val="17"/>
        <w:tblW w:w="895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841"/>
        <w:gridCol w:w="1276"/>
        <w:gridCol w:w="1275"/>
        <w:gridCol w:w="2410"/>
        <w:gridCol w:w="3156"/>
      </w:tblGrid>
      <w:tr w14:paraId="6C0638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tcBorders>
              <w:top w:val="single" w:color="auto" w:sz="8" w:space="0"/>
              <w:left w:val="single" w:color="auto" w:sz="8" w:space="0"/>
              <w:bottom w:val="single" w:color="auto" w:sz="4" w:space="0"/>
              <w:right w:val="single" w:color="auto" w:sz="4" w:space="0"/>
            </w:tcBorders>
            <w:vAlign w:val="center"/>
          </w:tcPr>
          <w:p w14:paraId="34B0FA4D">
            <w:pPr>
              <w:pStyle w:val="83"/>
              <w:rPr>
                <w:rFonts w:hint="default"/>
              </w:rPr>
            </w:pPr>
            <w:r>
              <w:t>内容</w:t>
            </w:r>
          </w:p>
          <w:p w14:paraId="047F3571">
            <w:pPr>
              <w:pStyle w:val="83"/>
              <w:rPr>
                <w:rFonts w:hint="default"/>
              </w:rPr>
            </w:pPr>
            <w:r>
              <w:t>要素</w:t>
            </w:r>
          </w:p>
        </w:tc>
        <w:tc>
          <w:tcPr>
            <w:tcW w:w="1276" w:type="dxa"/>
            <w:tcBorders>
              <w:top w:val="single" w:color="auto" w:sz="8" w:space="0"/>
              <w:left w:val="single" w:color="auto" w:sz="4" w:space="0"/>
              <w:bottom w:val="single" w:color="auto" w:sz="4" w:space="0"/>
              <w:right w:val="single" w:color="auto" w:sz="4" w:space="0"/>
            </w:tcBorders>
            <w:vAlign w:val="center"/>
          </w:tcPr>
          <w:p w14:paraId="1F31DEE2">
            <w:pPr>
              <w:pStyle w:val="83"/>
              <w:rPr>
                <w:rFonts w:hint="default"/>
              </w:rPr>
            </w:pPr>
            <w:r>
              <w:t>排放口（编号、名称）/污染源</w:t>
            </w:r>
          </w:p>
        </w:tc>
        <w:tc>
          <w:tcPr>
            <w:tcW w:w="1275" w:type="dxa"/>
            <w:tcBorders>
              <w:top w:val="single" w:color="auto" w:sz="8" w:space="0"/>
              <w:left w:val="single" w:color="auto" w:sz="4" w:space="0"/>
              <w:bottom w:val="single" w:color="auto" w:sz="4" w:space="0"/>
              <w:right w:val="single" w:color="auto" w:sz="4" w:space="0"/>
            </w:tcBorders>
            <w:vAlign w:val="center"/>
          </w:tcPr>
          <w:p w14:paraId="57404BBB">
            <w:pPr>
              <w:pStyle w:val="83"/>
              <w:rPr>
                <w:rFonts w:hint="default"/>
              </w:rPr>
            </w:pPr>
            <w:r>
              <w:t>污染物项目</w:t>
            </w:r>
          </w:p>
        </w:tc>
        <w:tc>
          <w:tcPr>
            <w:tcW w:w="2410" w:type="dxa"/>
            <w:tcBorders>
              <w:top w:val="single" w:color="auto" w:sz="8" w:space="0"/>
              <w:left w:val="single" w:color="auto" w:sz="4" w:space="0"/>
              <w:bottom w:val="single" w:color="auto" w:sz="4" w:space="0"/>
              <w:right w:val="single" w:color="auto" w:sz="4" w:space="0"/>
            </w:tcBorders>
            <w:vAlign w:val="center"/>
          </w:tcPr>
          <w:p w14:paraId="58A637A6">
            <w:pPr>
              <w:pStyle w:val="83"/>
              <w:rPr>
                <w:rFonts w:hint="default"/>
              </w:rPr>
            </w:pPr>
            <w:r>
              <w:t>环境保护措施</w:t>
            </w:r>
          </w:p>
        </w:tc>
        <w:tc>
          <w:tcPr>
            <w:tcW w:w="3156" w:type="dxa"/>
            <w:tcBorders>
              <w:top w:val="single" w:color="auto" w:sz="8" w:space="0"/>
              <w:left w:val="single" w:color="auto" w:sz="4" w:space="0"/>
              <w:bottom w:val="single" w:color="auto" w:sz="4" w:space="0"/>
              <w:right w:val="single" w:color="auto" w:sz="8" w:space="0"/>
            </w:tcBorders>
            <w:vAlign w:val="center"/>
          </w:tcPr>
          <w:p w14:paraId="7BB1B8A9">
            <w:pPr>
              <w:pStyle w:val="83"/>
              <w:rPr>
                <w:rFonts w:hint="default"/>
              </w:rPr>
            </w:pPr>
            <w:r>
              <w:t>执行标准</w:t>
            </w:r>
          </w:p>
        </w:tc>
      </w:tr>
      <w:tr w14:paraId="6CD52D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vMerge w:val="restart"/>
            <w:tcBorders>
              <w:top w:val="single" w:color="auto" w:sz="4" w:space="0"/>
              <w:left w:val="single" w:color="auto" w:sz="8" w:space="0"/>
              <w:right w:val="single" w:color="auto" w:sz="4" w:space="0"/>
            </w:tcBorders>
            <w:vAlign w:val="center"/>
          </w:tcPr>
          <w:p w14:paraId="45A088DC">
            <w:pPr>
              <w:pStyle w:val="83"/>
              <w:rPr>
                <w:rFonts w:hint="default"/>
              </w:rPr>
            </w:pPr>
            <w:r>
              <w:t>大气环境</w:t>
            </w:r>
          </w:p>
        </w:tc>
        <w:tc>
          <w:tcPr>
            <w:tcW w:w="1276" w:type="dxa"/>
            <w:tcBorders>
              <w:top w:val="single" w:color="auto" w:sz="4" w:space="0"/>
              <w:left w:val="single" w:color="auto" w:sz="4" w:space="0"/>
              <w:bottom w:val="single" w:color="auto" w:sz="4" w:space="0"/>
              <w:right w:val="single" w:color="auto" w:sz="4" w:space="0"/>
            </w:tcBorders>
            <w:vAlign w:val="center"/>
          </w:tcPr>
          <w:p w14:paraId="3AAF46CD">
            <w:pPr>
              <w:pStyle w:val="83"/>
              <w:rPr>
                <w:rFonts w:hint="default"/>
              </w:rPr>
            </w:pPr>
            <w:r>
              <w:t>P1上油工序油剂废气、</w:t>
            </w:r>
          </w:p>
        </w:tc>
        <w:tc>
          <w:tcPr>
            <w:tcW w:w="1275" w:type="dxa"/>
            <w:tcBorders>
              <w:top w:val="single" w:color="auto" w:sz="4" w:space="0"/>
              <w:left w:val="single" w:color="auto" w:sz="4" w:space="0"/>
              <w:bottom w:val="single" w:color="auto" w:sz="4" w:space="0"/>
              <w:right w:val="single" w:color="auto" w:sz="4" w:space="0"/>
            </w:tcBorders>
            <w:vAlign w:val="center"/>
          </w:tcPr>
          <w:p w14:paraId="713BE902">
            <w:pPr>
              <w:pStyle w:val="83"/>
              <w:rPr>
                <w:rFonts w:hint="default"/>
              </w:rPr>
            </w:pPr>
            <w:r>
              <w:t>非甲烷总烃、颗粒物</w:t>
            </w:r>
          </w:p>
        </w:tc>
        <w:tc>
          <w:tcPr>
            <w:tcW w:w="2410" w:type="dxa"/>
            <w:tcBorders>
              <w:top w:val="single" w:color="auto" w:sz="4" w:space="0"/>
              <w:left w:val="single" w:color="auto" w:sz="4" w:space="0"/>
              <w:bottom w:val="single" w:color="auto" w:sz="4" w:space="0"/>
              <w:right w:val="single" w:color="auto" w:sz="4" w:space="0"/>
            </w:tcBorders>
            <w:vAlign w:val="center"/>
          </w:tcPr>
          <w:p w14:paraId="2266D6F5">
            <w:pPr>
              <w:pStyle w:val="83"/>
              <w:rPr>
                <w:rFonts w:hint="default"/>
              </w:rPr>
            </w:pPr>
            <w:r>
              <w:t>密闭收集后经静电吸附装置处理后通过1根18m排气筒排放</w:t>
            </w:r>
          </w:p>
        </w:tc>
        <w:tc>
          <w:tcPr>
            <w:tcW w:w="3156" w:type="dxa"/>
            <w:vMerge w:val="restart"/>
            <w:tcBorders>
              <w:top w:val="single" w:color="auto" w:sz="4" w:space="0"/>
              <w:left w:val="single" w:color="auto" w:sz="4" w:space="0"/>
              <w:right w:val="single" w:color="auto" w:sz="8" w:space="0"/>
            </w:tcBorders>
            <w:vAlign w:val="center"/>
          </w:tcPr>
          <w:p w14:paraId="5E5137C3">
            <w:pPr>
              <w:pStyle w:val="83"/>
              <w:rPr>
                <w:rFonts w:hint="default"/>
              </w:rPr>
            </w:pPr>
            <w:r>
              <w:t>《合成树脂工业污染物排放标准》（GB31572-2015，含2024年修改单）表5大气污染物特别排放限值（颗粒物排放浓度限值为20mg/m</w:t>
            </w:r>
            <w:r>
              <w:rPr>
                <w:vertAlign w:val="superscript"/>
              </w:rPr>
              <w:t>3</w:t>
            </w:r>
            <w:r>
              <w:t>、非甲烷总烃排放浓度限值为60mg/m</w:t>
            </w:r>
            <w:r>
              <w:rPr>
                <w:vertAlign w:val="superscript"/>
              </w:rPr>
              <w:t>3</w:t>
            </w:r>
            <w:r>
              <w:t>）</w:t>
            </w:r>
          </w:p>
        </w:tc>
      </w:tr>
      <w:tr w14:paraId="69B518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vMerge w:val="continue"/>
            <w:tcBorders>
              <w:top w:val="single" w:color="auto" w:sz="4" w:space="0"/>
              <w:left w:val="single" w:color="auto" w:sz="8" w:space="0"/>
              <w:right w:val="single" w:color="auto" w:sz="4" w:space="0"/>
            </w:tcBorders>
            <w:vAlign w:val="center"/>
          </w:tcPr>
          <w:p w14:paraId="49518625">
            <w:pPr>
              <w:pStyle w:val="83"/>
              <w:rPr>
                <w:rFonts w:hint="default"/>
              </w:rPr>
            </w:pPr>
          </w:p>
        </w:tc>
        <w:tc>
          <w:tcPr>
            <w:tcW w:w="1276" w:type="dxa"/>
            <w:tcBorders>
              <w:top w:val="single" w:color="auto" w:sz="4" w:space="0"/>
              <w:left w:val="single" w:color="auto" w:sz="4" w:space="0"/>
              <w:bottom w:val="single" w:color="auto" w:sz="4" w:space="0"/>
              <w:right w:val="single" w:color="auto" w:sz="4" w:space="0"/>
            </w:tcBorders>
            <w:vAlign w:val="center"/>
          </w:tcPr>
          <w:p w14:paraId="57940771">
            <w:pPr>
              <w:pStyle w:val="83"/>
              <w:rPr>
                <w:rFonts w:hint="default"/>
              </w:rPr>
            </w:pPr>
            <w:r>
              <w:t>P2单体抽吸废气</w:t>
            </w:r>
          </w:p>
        </w:tc>
        <w:tc>
          <w:tcPr>
            <w:tcW w:w="1275" w:type="dxa"/>
            <w:tcBorders>
              <w:top w:val="single" w:color="auto" w:sz="4" w:space="0"/>
              <w:left w:val="single" w:color="auto" w:sz="4" w:space="0"/>
              <w:bottom w:val="single" w:color="auto" w:sz="4" w:space="0"/>
              <w:right w:val="single" w:color="auto" w:sz="4" w:space="0"/>
            </w:tcBorders>
            <w:vAlign w:val="center"/>
          </w:tcPr>
          <w:p w14:paraId="64EE5742">
            <w:pPr>
              <w:pStyle w:val="83"/>
              <w:rPr>
                <w:rFonts w:hint="default"/>
              </w:rPr>
            </w:pPr>
            <w:r>
              <w:t>非甲烷总烃、颗粒物</w:t>
            </w:r>
          </w:p>
        </w:tc>
        <w:tc>
          <w:tcPr>
            <w:tcW w:w="2410" w:type="dxa"/>
            <w:tcBorders>
              <w:top w:val="single" w:color="auto" w:sz="4" w:space="0"/>
              <w:left w:val="single" w:color="auto" w:sz="4" w:space="0"/>
              <w:bottom w:val="single" w:color="auto" w:sz="4" w:space="0"/>
              <w:right w:val="single" w:color="auto" w:sz="4" w:space="0"/>
            </w:tcBorders>
            <w:vAlign w:val="center"/>
          </w:tcPr>
          <w:p w14:paraId="26967DAF">
            <w:pPr>
              <w:pStyle w:val="83"/>
              <w:rPr>
                <w:rFonts w:hint="default"/>
              </w:rPr>
            </w:pPr>
            <w:r>
              <w:t>密闭负压收集后经单体抽吸水喷淋装置处理后通过1根18m排气筒排放</w:t>
            </w:r>
          </w:p>
        </w:tc>
        <w:tc>
          <w:tcPr>
            <w:tcW w:w="3156" w:type="dxa"/>
            <w:vMerge w:val="continue"/>
            <w:tcBorders>
              <w:left w:val="single" w:color="auto" w:sz="4" w:space="0"/>
              <w:right w:val="single" w:color="auto" w:sz="8" w:space="0"/>
            </w:tcBorders>
            <w:vAlign w:val="center"/>
          </w:tcPr>
          <w:p w14:paraId="76605BF7">
            <w:pPr>
              <w:pStyle w:val="83"/>
              <w:rPr>
                <w:rFonts w:hint="default"/>
              </w:rPr>
            </w:pPr>
          </w:p>
        </w:tc>
      </w:tr>
      <w:tr w14:paraId="46685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vMerge w:val="continue"/>
            <w:tcBorders>
              <w:top w:val="single" w:color="auto" w:sz="4" w:space="0"/>
              <w:left w:val="single" w:color="auto" w:sz="8" w:space="0"/>
              <w:right w:val="single" w:color="auto" w:sz="4" w:space="0"/>
            </w:tcBorders>
            <w:vAlign w:val="center"/>
          </w:tcPr>
          <w:p w14:paraId="636D6384">
            <w:pPr>
              <w:pStyle w:val="83"/>
              <w:rPr>
                <w:rFonts w:hint="default"/>
              </w:rPr>
            </w:pPr>
          </w:p>
        </w:tc>
        <w:tc>
          <w:tcPr>
            <w:tcW w:w="1276" w:type="dxa"/>
            <w:tcBorders>
              <w:top w:val="single" w:color="auto" w:sz="4" w:space="0"/>
              <w:left w:val="single" w:color="auto" w:sz="4" w:space="0"/>
              <w:bottom w:val="single" w:color="auto" w:sz="4" w:space="0"/>
              <w:right w:val="single" w:color="auto" w:sz="4" w:space="0"/>
            </w:tcBorders>
            <w:vAlign w:val="center"/>
          </w:tcPr>
          <w:p w14:paraId="768FB1BE">
            <w:pPr>
              <w:pStyle w:val="83"/>
              <w:rPr>
                <w:rFonts w:hint="default"/>
              </w:rPr>
            </w:pPr>
            <w:r>
              <w:t>P3组件煅烧废气、再生熔融废气</w:t>
            </w:r>
          </w:p>
        </w:tc>
        <w:tc>
          <w:tcPr>
            <w:tcW w:w="1275" w:type="dxa"/>
            <w:tcBorders>
              <w:top w:val="single" w:color="auto" w:sz="4" w:space="0"/>
              <w:left w:val="single" w:color="auto" w:sz="4" w:space="0"/>
              <w:bottom w:val="single" w:color="auto" w:sz="4" w:space="0"/>
              <w:right w:val="single" w:color="auto" w:sz="4" w:space="0"/>
            </w:tcBorders>
            <w:vAlign w:val="center"/>
          </w:tcPr>
          <w:p w14:paraId="01A2AA5B">
            <w:pPr>
              <w:pStyle w:val="83"/>
              <w:rPr>
                <w:rFonts w:hint="default"/>
              </w:rPr>
            </w:pPr>
            <w:r>
              <w:t>非甲烷总烃</w:t>
            </w:r>
          </w:p>
        </w:tc>
        <w:tc>
          <w:tcPr>
            <w:tcW w:w="2410" w:type="dxa"/>
            <w:tcBorders>
              <w:top w:val="single" w:color="auto" w:sz="4" w:space="0"/>
              <w:left w:val="single" w:color="auto" w:sz="4" w:space="0"/>
              <w:bottom w:val="single" w:color="auto" w:sz="4" w:space="0"/>
              <w:right w:val="single" w:color="auto" w:sz="4" w:space="0"/>
            </w:tcBorders>
            <w:vAlign w:val="center"/>
          </w:tcPr>
          <w:p w14:paraId="586E20ED">
            <w:pPr>
              <w:pStyle w:val="83"/>
              <w:rPr>
                <w:rFonts w:hint="default"/>
              </w:rPr>
            </w:pPr>
            <w:r>
              <w:t>密闭收集后经静电吸附装置处理后通过1根18m排气筒排放</w:t>
            </w:r>
          </w:p>
        </w:tc>
        <w:tc>
          <w:tcPr>
            <w:tcW w:w="3156" w:type="dxa"/>
            <w:vMerge w:val="continue"/>
            <w:tcBorders>
              <w:left w:val="single" w:color="auto" w:sz="4" w:space="0"/>
              <w:right w:val="single" w:color="auto" w:sz="8" w:space="0"/>
            </w:tcBorders>
            <w:vAlign w:val="center"/>
          </w:tcPr>
          <w:p w14:paraId="13F202F6">
            <w:pPr>
              <w:pStyle w:val="83"/>
              <w:rPr>
                <w:rFonts w:hint="default"/>
              </w:rPr>
            </w:pPr>
          </w:p>
        </w:tc>
      </w:tr>
      <w:tr w14:paraId="46A82B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vMerge w:val="continue"/>
            <w:tcBorders>
              <w:top w:val="single" w:color="auto" w:sz="4" w:space="0"/>
              <w:left w:val="single" w:color="auto" w:sz="8" w:space="0"/>
              <w:right w:val="single" w:color="auto" w:sz="4" w:space="0"/>
            </w:tcBorders>
            <w:vAlign w:val="center"/>
          </w:tcPr>
          <w:p w14:paraId="2B84A133">
            <w:pPr>
              <w:pStyle w:val="83"/>
              <w:rPr>
                <w:rFonts w:hint="default"/>
              </w:rPr>
            </w:pPr>
          </w:p>
        </w:tc>
        <w:tc>
          <w:tcPr>
            <w:tcW w:w="1276" w:type="dxa"/>
            <w:tcBorders>
              <w:top w:val="single" w:color="auto" w:sz="4" w:space="0"/>
              <w:left w:val="single" w:color="auto" w:sz="4" w:space="0"/>
              <w:bottom w:val="single" w:color="auto" w:sz="4" w:space="0"/>
              <w:right w:val="single" w:color="auto" w:sz="4" w:space="0"/>
            </w:tcBorders>
            <w:vAlign w:val="center"/>
          </w:tcPr>
          <w:p w14:paraId="1A28F826">
            <w:pPr>
              <w:pStyle w:val="83"/>
              <w:rPr>
                <w:rFonts w:hint="default"/>
              </w:rPr>
            </w:pPr>
            <w:r>
              <w:t>P4研发废气、实验废气</w:t>
            </w:r>
          </w:p>
        </w:tc>
        <w:tc>
          <w:tcPr>
            <w:tcW w:w="1275" w:type="dxa"/>
            <w:tcBorders>
              <w:top w:val="single" w:color="auto" w:sz="4" w:space="0"/>
              <w:left w:val="single" w:color="auto" w:sz="4" w:space="0"/>
              <w:bottom w:val="single" w:color="auto" w:sz="4" w:space="0"/>
              <w:right w:val="single" w:color="auto" w:sz="4" w:space="0"/>
            </w:tcBorders>
            <w:vAlign w:val="center"/>
          </w:tcPr>
          <w:p w14:paraId="30C47C62">
            <w:pPr>
              <w:pStyle w:val="83"/>
              <w:rPr>
                <w:rFonts w:hint="default"/>
              </w:rPr>
            </w:pPr>
            <w:r>
              <w:t>酸性气体、有机废气</w:t>
            </w:r>
          </w:p>
        </w:tc>
        <w:tc>
          <w:tcPr>
            <w:tcW w:w="2410" w:type="dxa"/>
            <w:tcBorders>
              <w:top w:val="single" w:color="auto" w:sz="4" w:space="0"/>
              <w:left w:val="single" w:color="auto" w:sz="4" w:space="0"/>
              <w:bottom w:val="single" w:color="auto" w:sz="4" w:space="0"/>
              <w:right w:val="single" w:color="auto" w:sz="4" w:space="0"/>
            </w:tcBorders>
            <w:vAlign w:val="center"/>
          </w:tcPr>
          <w:p w14:paraId="7CE48660">
            <w:pPr>
              <w:pStyle w:val="83"/>
              <w:rPr>
                <w:rFonts w:hint="default"/>
              </w:rPr>
            </w:pPr>
            <w:r>
              <w:t>通风橱/管道收集后经烟气净化系统（水喷淋+活性炭吸附）处理后通过1根18m排气筒排放</w:t>
            </w:r>
          </w:p>
        </w:tc>
        <w:tc>
          <w:tcPr>
            <w:tcW w:w="3156" w:type="dxa"/>
            <w:vMerge w:val="continue"/>
            <w:tcBorders>
              <w:left w:val="single" w:color="auto" w:sz="4" w:space="0"/>
              <w:right w:val="single" w:color="auto" w:sz="8" w:space="0"/>
            </w:tcBorders>
            <w:vAlign w:val="center"/>
          </w:tcPr>
          <w:p w14:paraId="66041BB7">
            <w:pPr>
              <w:pStyle w:val="83"/>
              <w:rPr>
                <w:rFonts w:hint="default"/>
              </w:rPr>
            </w:pPr>
          </w:p>
        </w:tc>
      </w:tr>
      <w:tr w14:paraId="4C467B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vMerge w:val="continue"/>
            <w:tcBorders>
              <w:left w:val="single" w:color="auto" w:sz="8" w:space="0"/>
              <w:bottom w:val="single" w:color="auto" w:sz="4" w:space="0"/>
              <w:right w:val="single" w:color="auto" w:sz="4" w:space="0"/>
            </w:tcBorders>
            <w:vAlign w:val="center"/>
          </w:tcPr>
          <w:p w14:paraId="3C9F55EC">
            <w:pPr>
              <w:pStyle w:val="83"/>
              <w:rPr>
                <w:rFonts w:hint="default"/>
              </w:rPr>
            </w:pPr>
          </w:p>
        </w:tc>
        <w:tc>
          <w:tcPr>
            <w:tcW w:w="1276" w:type="dxa"/>
            <w:tcBorders>
              <w:top w:val="single" w:color="auto" w:sz="4" w:space="0"/>
              <w:left w:val="single" w:color="auto" w:sz="4" w:space="0"/>
              <w:bottom w:val="single" w:color="auto" w:sz="4" w:space="0"/>
              <w:right w:val="single" w:color="auto" w:sz="4" w:space="0"/>
            </w:tcBorders>
            <w:vAlign w:val="center"/>
          </w:tcPr>
          <w:p w14:paraId="47B017AD">
            <w:pPr>
              <w:pStyle w:val="83"/>
              <w:rPr>
                <w:rFonts w:hint="default"/>
              </w:rPr>
            </w:pPr>
            <w:r>
              <w:t>无组织</w:t>
            </w:r>
          </w:p>
        </w:tc>
        <w:tc>
          <w:tcPr>
            <w:tcW w:w="1275" w:type="dxa"/>
            <w:tcBorders>
              <w:top w:val="single" w:color="auto" w:sz="4" w:space="0"/>
              <w:left w:val="single" w:color="auto" w:sz="4" w:space="0"/>
              <w:bottom w:val="single" w:color="auto" w:sz="4" w:space="0"/>
              <w:right w:val="single" w:color="auto" w:sz="4" w:space="0"/>
            </w:tcBorders>
            <w:vAlign w:val="center"/>
          </w:tcPr>
          <w:p w14:paraId="498912A0">
            <w:pPr>
              <w:pStyle w:val="83"/>
              <w:rPr>
                <w:rFonts w:hint="default"/>
              </w:rPr>
            </w:pPr>
            <w:r>
              <w:t>非甲烷总烃</w:t>
            </w:r>
          </w:p>
          <w:p w14:paraId="2A9C689B">
            <w:pPr>
              <w:pStyle w:val="83"/>
              <w:rPr>
                <w:rFonts w:hint="default"/>
              </w:rPr>
            </w:pPr>
            <w:r>
              <w:t>颗粒物</w:t>
            </w:r>
          </w:p>
        </w:tc>
        <w:tc>
          <w:tcPr>
            <w:tcW w:w="2410" w:type="dxa"/>
            <w:tcBorders>
              <w:top w:val="single" w:color="auto" w:sz="4" w:space="0"/>
              <w:left w:val="single" w:color="auto" w:sz="4" w:space="0"/>
              <w:bottom w:val="single" w:color="auto" w:sz="4" w:space="0"/>
              <w:right w:val="single" w:color="auto" w:sz="4" w:space="0"/>
            </w:tcBorders>
            <w:vAlign w:val="center"/>
          </w:tcPr>
          <w:p w14:paraId="4D65CC0A">
            <w:pPr>
              <w:pStyle w:val="83"/>
              <w:rPr>
                <w:rFonts w:hint="default"/>
              </w:rPr>
            </w:pPr>
            <w:r>
              <w:t>主要生产车间采用密闭的空调系统，车间所有可随手开启的侧排窗户全部粘（焊）封闭，主车间窗户采用密闭的双层窗，进出车间的通道均用密封防火门及隔离间进行与外环境分隔</w:t>
            </w:r>
          </w:p>
        </w:tc>
        <w:tc>
          <w:tcPr>
            <w:tcW w:w="3156" w:type="dxa"/>
            <w:tcBorders>
              <w:top w:val="single" w:color="auto" w:sz="4" w:space="0"/>
              <w:left w:val="single" w:color="auto" w:sz="4" w:space="0"/>
              <w:bottom w:val="single" w:color="auto" w:sz="4" w:space="0"/>
              <w:right w:val="single" w:color="auto" w:sz="8" w:space="0"/>
            </w:tcBorders>
            <w:vAlign w:val="center"/>
          </w:tcPr>
          <w:p w14:paraId="55516B48">
            <w:pPr>
              <w:pStyle w:val="83"/>
              <w:rPr>
                <w:rFonts w:hint="default"/>
              </w:rPr>
            </w:pPr>
            <w:r>
              <w:t>非甲烷总烃企业边界浓度执行</w:t>
            </w:r>
            <w:r>
              <w:rPr>
                <w:highlight w:val="none"/>
              </w:rPr>
              <w:t>《</w:t>
            </w:r>
            <w:r>
              <w:rPr>
                <w:rFonts w:hint="eastAsia"/>
                <w:highlight w:val="none"/>
              </w:rPr>
              <w:t>工业企业挥发性有机物排放标准</w:t>
            </w:r>
            <w:r>
              <w:rPr>
                <w:highlight w:val="none"/>
              </w:rPr>
              <w:t>》表</w:t>
            </w:r>
            <w:r>
              <w:rPr>
                <w:rFonts w:hint="eastAsia"/>
                <w:highlight w:val="none"/>
                <w:lang w:val="en-US" w:eastAsia="zh-CN"/>
              </w:rPr>
              <w:t>3</w:t>
            </w:r>
            <w:r>
              <w:rPr>
                <w:highlight w:val="none"/>
              </w:rPr>
              <w:t>中</w:t>
            </w:r>
            <w:r>
              <w:rPr>
                <w:rFonts w:hint="eastAsia"/>
                <w:highlight w:val="none"/>
                <w:lang w:val="en-US" w:eastAsia="zh-CN"/>
              </w:rPr>
              <w:t>的</w:t>
            </w:r>
            <w:r>
              <w:rPr>
                <w:highlight w:val="none"/>
              </w:rPr>
              <w:t>浓度限值</w:t>
            </w:r>
            <w:r>
              <w:t>（2.0mg/m</w:t>
            </w:r>
            <w:r>
              <w:rPr>
                <w:vertAlign w:val="superscript"/>
              </w:rPr>
              <w:t>3</w:t>
            </w:r>
            <w:r>
              <w:t>）；</w:t>
            </w:r>
          </w:p>
          <w:p w14:paraId="2F8D8638">
            <w:pPr>
              <w:pStyle w:val="83"/>
              <w:rPr>
                <w:rFonts w:hint="default"/>
              </w:rPr>
            </w:pPr>
            <w:r>
              <w:t>厂区内监控点任意一点浓度值执行《挥发性有机物无组织排放控制标准》（GB37822-2019）中特别排放限值（20mg/m</w:t>
            </w:r>
            <w:r>
              <w:rPr>
                <w:vertAlign w:val="superscript"/>
              </w:rPr>
              <w:t>3</w:t>
            </w:r>
            <w:r>
              <w:t>）；</w:t>
            </w:r>
          </w:p>
          <w:p w14:paraId="6362DCBF">
            <w:pPr>
              <w:pStyle w:val="83"/>
              <w:rPr>
                <w:rFonts w:hint="default"/>
              </w:rPr>
            </w:pPr>
            <w:r>
              <w:t>厂区内监控点1h平均浓度值执行《挥发性有机物无组织排放控制标准》（GB37822-2019）中特别排放限值（6mg/m</w:t>
            </w:r>
            <w:r>
              <w:rPr>
                <w:vertAlign w:val="superscript"/>
              </w:rPr>
              <w:t>3</w:t>
            </w:r>
            <w:r>
              <w:t>）；</w:t>
            </w:r>
          </w:p>
          <w:p w14:paraId="62BB7363">
            <w:pPr>
              <w:pStyle w:val="83"/>
              <w:rPr>
                <w:rFonts w:hint="default"/>
              </w:rPr>
            </w:pPr>
            <w:r>
              <w:t>颗粒物企业边界浓度执行《合成树脂工业污染物排放标准》（GB31572-2015，含2024年修改单）表9的浓度限值（1.0mg/m</w:t>
            </w:r>
            <w:r>
              <w:rPr>
                <w:vertAlign w:val="superscript"/>
              </w:rPr>
              <w:t>3</w:t>
            </w:r>
            <w:r>
              <w:t>）</w:t>
            </w:r>
          </w:p>
        </w:tc>
      </w:tr>
      <w:tr w14:paraId="570E05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tcBorders>
              <w:top w:val="single" w:color="auto" w:sz="4" w:space="0"/>
              <w:left w:val="single" w:color="auto" w:sz="8" w:space="0"/>
              <w:bottom w:val="single" w:color="auto" w:sz="4" w:space="0"/>
              <w:right w:val="single" w:color="auto" w:sz="4" w:space="0"/>
            </w:tcBorders>
            <w:vAlign w:val="center"/>
          </w:tcPr>
          <w:p w14:paraId="46F506C0">
            <w:pPr>
              <w:pStyle w:val="83"/>
              <w:rPr>
                <w:rFonts w:hint="default"/>
              </w:rPr>
            </w:pPr>
            <w:r>
              <w:t>地表水环境</w:t>
            </w:r>
          </w:p>
        </w:tc>
        <w:tc>
          <w:tcPr>
            <w:tcW w:w="1276" w:type="dxa"/>
            <w:tcBorders>
              <w:top w:val="single" w:color="auto" w:sz="4" w:space="0"/>
              <w:left w:val="single" w:color="auto" w:sz="4" w:space="0"/>
              <w:bottom w:val="single" w:color="auto" w:sz="4" w:space="0"/>
              <w:right w:val="single" w:color="auto" w:sz="4" w:space="0"/>
            </w:tcBorders>
            <w:vAlign w:val="center"/>
          </w:tcPr>
          <w:p w14:paraId="4110BC0E">
            <w:pPr>
              <w:pStyle w:val="83"/>
              <w:rPr>
                <w:rFonts w:hint="default"/>
              </w:rPr>
            </w:pPr>
            <w:r>
              <w:t>DW001生产废水排放口/污水站反渗透浓水</w:t>
            </w:r>
          </w:p>
          <w:p w14:paraId="3A0B49CA">
            <w:pPr>
              <w:pStyle w:val="83"/>
              <w:rPr>
                <w:rFonts w:hint="default"/>
              </w:rPr>
            </w:pPr>
            <w:r>
              <w:t>DW002生活污水排放口/生活污水</w:t>
            </w:r>
          </w:p>
        </w:tc>
        <w:tc>
          <w:tcPr>
            <w:tcW w:w="1275" w:type="dxa"/>
            <w:tcBorders>
              <w:top w:val="single" w:color="auto" w:sz="4" w:space="0"/>
              <w:left w:val="single" w:color="auto" w:sz="4" w:space="0"/>
              <w:bottom w:val="single" w:color="auto" w:sz="4" w:space="0"/>
              <w:right w:val="single" w:color="auto" w:sz="4" w:space="0"/>
            </w:tcBorders>
            <w:vAlign w:val="center"/>
          </w:tcPr>
          <w:p w14:paraId="5E1AA904">
            <w:pPr>
              <w:pStyle w:val="83"/>
              <w:rPr>
                <w:rFonts w:hint="default"/>
              </w:rPr>
            </w:pPr>
            <w:r>
              <w:t>pH、COD、BOD5、氨氮、SS、总有机碳、石油类</w:t>
            </w:r>
          </w:p>
        </w:tc>
        <w:tc>
          <w:tcPr>
            <w:tcW w:w="2410" w:type="dxa"/>
            <w:tcBorders>
              <w:top w:val="single" w:color="auto" w:sz="4" w:space="0"/>
              <w:left w:val="single" w:color="auto" w:sz="4" w:space="0"/>
              <w:bottom w:val="single" w:color="auto" w:sz="4" w:space="0"/>
              <w:right w:val="single" w:color="auto" w:sz="4" w:space="0"/>
            </w:tcBorders>
            <w:vAlign w:val="center"/>
          </w:tcPr>
          <w:p w14:paraId="3FD2E81A">
            <w:pPr>
              <w:pStyle w:val="83"/>
              <w:rPr>
                <w:rFonts w:hint="default"/>
              </w:rPr>
            </w:pPr>
            <w:r>
              <w:t>生活污水经厂区化粪池、生产废水经厂区综合废水处理站预处理后通过市政污水管网进入污水处理厂统一处置</w:t>
            </w:r>
          </w:p>
        </w:tc>
        <w:tc>
          <w:tcPr>
            <w:tcW w:w="3156" w:type="dxa"/>
            <w:tcBorders>
              <w:top w:val="single" w:color="auto" w:sz="4" w:space="0"/>
              <w:left w:val="single" w:color="auto" w:sz="4" w:space="0"/>
              <w:bottom w:val="single" w:color="auto" w:sz="4" w:space="0"/>
              <w:right w:val="single" w:color="auto" w:sz="8" w:space="0"/>
            </w:tcBorders>
            <w:vAlign w:val="center"/>
          </w:tcPr>
          <w:p w14:paraId="191F0BA2">
            <w:pPr>
              <w:pStyle w:val="83"/>
              <w:rPr>
                <w:rFonts w:hint="default"/>
              </w:rPr>
            </w:pPr>
            <w:r>
              <w:t>《合成树脂工业污染物排放标准》（GB31572-2015，含2024年修改单）表1水污染物排放限值间接排放标准、《福建永荣锦江股份有限公司生产废水排放标准协议》《污水排入城镇下水道水质标准》（GB/T31962-2015）表1中的B级标准</w:t>
            </w:r>
          </w:p>
        </w:tc>
      </w:tr>
      <w:tr w14:paraId="53C87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tcBorders>
              <w:top w:val="single" w:color="auto" w:sz="4" w:space="0"/>
              <w:left w:val="single" w:color="auto" w:sz="8" w:space="0"/>
              <w:bottom w:val="single" w:color="auto" w:sz="4" w:space="0"/>
              <w:right w:val="single" w:color="auto" w:sz="4" w:space="0"/>
            </w:tcBorders>
            <w:vAlign w:val="center"/>
          </w:tcPr>
          <w:p w14:paraId="4FFD27D9">
            <w:pPr>
              <w:pStyle w:val="83"/>
              <w:rPr>
                <w:rFonts w:hint="default"/>
              </w:rPr>
            </w:pPr>
            <w:r>
              <w:t>声环境</w:t>
            </w:r>
          </w:p>
        </w:tc>
        <w:tc>
          <w:tcPr>
            <w:tcW w:w="1276" w:type="dxa"/>
            <w:tcBorders>
              <w:top w:val="single" w:color="auto" w:sz="4" w:space="0"/>
              <w:left w:val="single" w:color="auto" w:sz="4" w:space="0"/>
              <w:bottom w:val="single" w:color="auto" w:sz="4" w:space="0"/>
              <w:right w:val="single" w:color="auto" w:sz="4" w:space="0"/>
            </w:tcBorders>
            <w:vAlign w:val="center"/>
          </w:tcPr>
          <w:p w14:paraId="3DEE93C9">
            <w:pPr>
              <w:pStyle w:val="83"/>
              <w:rPr>
                <w:rFonts w:hint="default"/>
              </w:rPr>
            </w:pPr>
            <w:r>
              <w:t>车间设备</w:t>
            </w:r>
          </w:p>
        </w:tc>
        <w:tc>
          <w:tcPr>
            <w:tcW w:w="1275" w:type="dxa"/>
            <w:tcBorders>
              <w:top w:val="single" w:color="auto" w:sz="4" w:space="0"/>
              <w:left w:val="single" w:color="auto" w:sz="4" w:space="0"/>
              <w:bottom w:val="single" w:color="auto" w:sz="4" w:space="0"/>
              <w:right w:val="single" w:color="auto" w:sz="4" w:space="0"/>
            </w:tcBorders>
            <w:vAlign w:val="center"/>
          </w:tcPr>
          <w:p w14:paraId="04A86BB3">
            <w:pPr>
              <w:pStyle w:val="83"/>
              <w:rPr>
                <w:rFonts w:hint="default"/>
              </w:rPr>
            </w:pPr>
            <w:r>
              <w:t>噪声</w:t>
            </w:r>
          </w:p>
        </w:tc>
        <w:tc>
          <w:tcPr>
            <w:tcW w:w="2410" w:type="dxa"/>
            <w:tcBorders>
              <w:top w:val="single" w:color="auto" w:sz="4" w:space="0"/>
              <w:left w:val="single" w:color="auto" w:sz="4" w:space="0"/>
              <w:bottom w:val="single" w:color="auto" w:sz="4" w:space="0"/>
              <w:right w:val="single" w:color="auto" w:sz="4" w:space="0"/>
            </w:tcBorders>
            <w:vAlign w:val="center"/>
          </w:tcPr>
          <w:p w14:paraId="4C387829">
            <w:pPr>
              <w:pStyle w:val="83"/>
              <w:rPr>
                <w:rFonts w:hint="default"/>
              </w:rPr>
            </w:pPr>
            <w:r>
              <w:t>选用低噪设备，合理布局，设备采用减振、隔声等综合降噪措施</w:t>
            </w:r>
          </w:p>
        </w:tc>
        <w:tc>
          <w:tcPr>
            <w:tcW w:w="3156" w:type="dxa"/>
            <w:tcBorders>
              <w:top w:val="single" w:color="auto" w:sz="4" w:space="0"/>
              <w:left w:val="single" w:color="auto" w:sz="4" w:space="0"/>
              <w:bottom w:val="single" w:color="auto" w:sz="4" w:space="0"/>
              <w:right w:val="single" w:color="auto" w:sz="8" w:space="0"/>
            </w:tcBorders>
            <w:vAlign w:val="center"/>
          </w:tcPr>
          <w:p w14:paraId="2D669756">
            <w:pPr>
              <w:pStyle w:val="83"/>
              <w:rPr>
                <w:rFonts w:hint="default"/>
              </w:rPr>
            </w:pPr>
            <w:r>
              <w:t>《工业企业厂界环境噪声排放标准》（GB12348-2008）表1中3类标准（昼间65dB，夜间55dB）</w:t>
            </w:r>
          </w:p>
        </w:tc>
      </w:tr>
      <w:tr w14:paraId="0E5C0D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841" w:type="dxa"/>
            <w:tcBorders>
              <w:top w:val="single" w:color="auto" w:sz="4" w:space="0"/>
              <w:left w:val="single" w:color="auto" w:sz="8" w:space="0"/>
              <w:bottom w:val="single" w:color="auto" w:sz="4" w:space="0"/>
              <w:right w:val="single" w:color="auto" w:sz="4" w:space="0"/>
            </w:tcBorders>
            <w:vAlign w:val="center"/>
          </w:tcPr>
          <w:p w14:paraId="4D21019C">
            <w:pPr>
              <w:pStyle w:val="83"/>
              <w:rPr>
                <w:rFonts w:hint="default"/>
              </w:rPr>
            </w:pPr>
            <w:r>
              <w:t>电磁辐射</w:t>
            </w:r>
          </w:p>
        </w:tc>
        <w:tc>
          <w:tcPr>
            <w:tcW w:w="1276" w:type="dxa"/>
            <w:tcBorders>
              <w:top w:val="single" w:color="auto" w:sz="4" w:space="0"/>
              <w:left w:val="single" w:color="auto" w:sz="4" w:space="0"/>
              <w:bottom w:val="single" w:color="auto" w:sz="4" w:space="0"/>
              <w:right w:val="single" w:color="auto" w:sz="4" w:space="0"/>
            </w:tcBorders>
            <w:vAlign w:val="center"/>
          </w:tcPr>
          <w:p w14:paraId="06478EE6">
            <w:pPr>
              <w:pStyle w:val="83"/>
              <w:rPr>
                <w:rFonts w:hint="default"/>
              </w:rPr>
            </w:pPr>
            <w:r>
              <w:t>/</w:t>
            </w:r>
          </w:p>
        </w:tc>
        <w:tc>
          <w:tcPr>
            <w:tcW w:w="1275" w:type="dxa"/>
            <w:tcBorders>
              <w:top w:val="single" w:color="auto" w:sz="4" w:space="0"/>
              <w:left w:val="single" w:color="auto" w:sz="4" w:space="0"/>
              <w:bottom w:val="single" w:color="auto" w:sz="4" w:space="0"/>
              <w:right w:val="single" w:color="auto" w:sz="4" w:space="0"/>
            </w:tcBorders>
            <w:vAlign w:val="center"/>
          </w:tcPr>
          <w:p w14:paraId="0241BD23">
            <w:pPr>
              <w:pStyle w:val="83"/>
              <w:rPr>
                <w:rFonts w:hint="default"/>
              </w:rPr>
            </w:pPr>
            <w:r>
              <w:t>/</w:t>
            </w:r>
          </w:p>
        </w:tc>
        <w:tc>
          <w:tcPr>
            <w:tcW w:w="2410" w:type="dxa"/>
            <w:tcBorders>
              <w:top w:val="single" w:color="auto" w:sz="4" w:space="0"/>
              <w:left w:val="single" w:color="auto" w:sz="4" w:space="0"/>
              <w:bottom w:val="single" w:color="auto" w:sz="4" w:space="0"/>
              <w:right w:val="single" w:color="auto" w:sz="4" w:space="0"/>
            </w:tcBorders>
            <w:vAlign w:val="center"/>
          </w:tcPr>
          <w:p w14:paraId="2F01A84E">
            <w:pPr>
              <w:pStyle w:val="83"/>
              <w:rPr>
                <w:rFonts w:hint="default"/>
              </w:rPr>
            </w:pPr>
            <w:r>
              <w:t>/</w:t>
            </w:r>
          </w:p>
        </w:tc>
        <w:tc>
          <w:tcPr>
            <w:tcW w:w="3156" w:type="dxa"/>
            <w:tcBorders>
              <w:top w:val="single" w:color="auto" w:sz="4" w:space="0"/>
              <w:left w:val="single" w:color="auto" w:sz="4" w:space="0"/>
              <w:bottom w:val="single" w:color="auto" w:sz="4" w:space="0"/>
              <w:right w:val="single" w:color="auto" w:sz="8" w:space="0"/>
            </w:tcBorders>
            <w:vAlign w:val="center"/>
          </w:tcPr>
          <w:p w14:paraId="6DA281D7">
            <w:pPr>
              <w:pStyle w:val="83"/>
              <w:rPr>
                <w:rFonts w:hint="default"/>
              </w:rPr>
            </w:pPr>
            <w:r>
              <w:t>/</w:t>
            </w:r>
          </w:p>
        </w:tc>
      </w:tr>
      <w:tr w14:paraId="2AFD3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276" w:hRule="atLeast"/>
          <w:jc w:val="center"/>
        </w:trPr>
        <w:tc>
          <w:tcPr>
            <w:tcW w:w="841" w:type="dxa"/>
            <w:tcBorders>
              <w:top w:val="single" w:color="auto" w:sz="4" w:space="0"/>
              <w:left w:val="single" w:color="auto" w:sz="8" w:space="0"/>
              <w:bottom w:val="single" w:color="auto" w:sz="4" w:space="0"/>
              <w:right w:val="single" w:color="auto" w:sz="4" w:space="0"/>
            </w:tcBorders>
            <w:vAlign w:val="center"/>
          </w:tcPr>
          <w:p w14:paraId="7C73D769">
            <w:pPr>
              <w:pStyle w:val="83"/>
              <w:rPr>
                <w:rFonts w:hint="default"/>
              </w:rPr>
            </w:pPr>
            <w:r>
              <w:t>固体废物</w:t>
            </w:r>
          </w:p>
        </w:tc>
        <w:tc>
          <w:tcPr>
            <w:tcW w:w="8117" w:type="dxa"/>
            <w:gridSpan w:val="4"/>
            <w:tcBorders>
              <w:top w:val="single" w:color="auto" w:sz="4" w:space="0"/>
              <w:left w:val="single" w:color="auto" w:sz="4" w:space="0"/>
              <w:bottom w:val="single" w:color="auto" w:sz="4" w:space="0"/>
              <w:right w:val="single" w:color="auto" w:sz="8" w:space="0"/>
            </w:tcBorders>
            <w:vAlign w:val="center"/>
          </w:tcPr>
          <w:p w14:paraId="031BCE96">
            <w:pPr>
              <w:ind w:firstLine="420"/>
              <w:rPr>
                <w:sz w:val="21"/>
                <w:szCs w:val="21"/>
              </w:rPr>
            </w:pPr>
            <w:r>
              <w:rPr>
                <w:rFonts w:hint="eastAsia"/>
                <w:sz w:val="21"/>
                <w:szCs w:val="21"/>
              </w:rPr>
              <w:t>废包装材料、不合格原料、废弃边角料、废离子交换树脂、废RO膜暂存于厂区南侧现有2#C废料仓库，水处理污泥暂存于污水处理站污泥间，后续外售综合利用</w:t>
            </w:r>
          </w:p>
          <w:p w14:paraId="5CD0F249">
            <w:pPr>
              <w:ind w:firstLine="420"/>
              <w:rPr>
                <w:sz w:val="21"/>
                <w:szCs w:val="21"/>
              </w:rPr>
            </w:pPr>
            <w:r>
              <w:rPr>
                <w:rFonts w:hint="eastAsia"/>
                <w:sz w:val="21"/>
                <w:szCs w:val="21"/>
              </w:rPr>
              <w:t>生活垃圾收集在厂区垃圾收集点，由环卫部门定期清运；</w:t>
            </w:r>
          </w:p>
          <w:p w14:paraId="56EBB14A">
            <w:pPr>
              <w:ind w:firstLine="420"/>
            </w:pPr>
            <w:r>
              <w:rPr>
                <w:rFonts w:hint="eastAsia"/>
                <w:sz w:val="21"/>
                <w:szCs w:val="21"/>
              </w:rPr>
              <w:t>废油剂、废试剂瓶、实验废液、废活性炭暂存在危废间，委托有资质单位进行处理。</w:t>
            </w:r>
          </w:p>
        </w:tc>
      </w:tr>
      <w:tr w14:paraId="2A9541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276" w:hRule="atLeast"/>
          <w:jc w:val="center"/>
        </w:trPr>
        <w:tc>
          <w:tcPr>
            <w:tcW w:w="841" w:type="dxa"/>
            <w:tcBorders>
              <w:top w:val="single" w:color="auto" w:sz="4" w:space="0"/>
              <w:left w:val="single" w:color="auto" w:sz="8" w:space="0"/>
              <w:bottom w:val="single" w:color="auto" w:sz="4" w:space="0"/>
              <w:right w:val="single" w:color="auto" w:sz="4" w:space="0"/>
            </w:tcBorders>
            <w:vAlign w:val="center"/>
          </w:tcPr>
          <w:p w14:paraId="4FDC97E3">
            <w:pPr>
              <w:pStyle w:val="83"/>
              <w:rPr>
                <w:rFonts w:hint="default"/>
              </w:rPr>
            </w:pPr>
            <w:r>
              <w:t>土壤及地下水污染防治措施</w:t>
            </w:r>
          </w:p>
        </w:tc>
        <w:tc>
          <w:tcPr>
            <w:tcW w:w="8117" w:type="dxa"/>
            <w:gridSpan w:val="4"/>
            <w:tcBorders>
              <w:top w:val="single" w:color="auto" w:sz="4" w:space="0"/>
              <w:left w:val="single" w:color="auto" w:sz="4" w:space="0"/>
              <w:bottom w:val="single" w:color="auto" w:sz="4" w:space="0"/>
              <w:right w:val="single" w:color="auto" w:sz="8" w:space="0"/>
            </w:tcBorders>
            <w:vAlign w:val="center"/>
          </w:tcPr>
          <w:p w14:paraId="5CBBC584">
            <w:pPr>
              <w:pStyle w:val="83"/>
              <w:rPr>
                <w:rFonts w:hint="default"/>
              </w:rPr>
            </w:pPr>
            <w:r>
              <w:t>/</w:t>
            </w:r>
          </w:p>
        </w:tc>
      </w:tr>
      <w:tr w14:paraId="364E1A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276" w:hRule="atLeast"/>
          <w:jc w:val="center"/>
        </w:trPr>
        <w:tc>
          <w:tcPr>
            <w:tcW w:w="841" w:type="dxa"/>
            <w:tcBorders>
              <w:top w:val="single" w:color="auto" w:sz="4" w:space="0"/>
              <w:left w:val="single" w:color="auto" w:sz="8" w:space="0"/>
              <w:bottom w:val="single" w:color="auto" w:sz="4" w:space="0"/>
              <w:right w:val="single" w:color="auto" w:sz="4" w:space="0"/>
            </w:tcBorders>
            <w:vAlign w:val="center"/>
          </w:tcPr>
          <w:p w14:paraId="3B0F0D4B">
            <w:pPr>
              <w:pStyle w:val="83"/>
              <w:rPr>
                <w:rFonts w:hint="default"/>
              </w:rPr>
            </w:pPr>
            <w:r>
              <w:t>生态保护措施</w:t>
            </w:r>
          </w:p>
        </w:tc>
        <w:tc>
          <w:tcPr>
            <w:tcW w:w="8117" w:type="dxa"/>
            <w:gridSpan w:val="4"/>
            <w:tcBorders>
              <w:top w:val="single" w:color="auto" w:sz="4" w:space="0"/>
              <w:left w:val="single" w:color="auto" w:sz="4" w:space="0"/>
              <w:bottom w:val="single" w:color="auto" w:sz="4" w:space="0"/>
              <w:right w:val="single" w:color="auto" w:sz="8" w:space="0"/>
            </w:tcBorders>
            <w:vAlign w:val="center"/>
          </w:tcPr>
          <w:p w14:paraId="4B7DDB2D">
            <w:pPr>
              <w:pStyle w:val="83"/>
              <w:rPr>
                <w:rFonts w:hint="default"/>
              </w:rPr>
            </w:pPr>
            <w:r>
              <w:t>/</w:t>
            </w:r>
          </w:p>
        </w:tc>
      </w:tr>
      <w:tr w14:paraId="3081FA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276" w:hRule="atLeast"/>
          <w:jc w:val="center"/>
        </w:trPr>
        <w:tc>
          <w:tcPr>
            <w:tcW w:w="841" w:type="dxa"/>
            <w:tcBorders>
              <w:top w:val="single" w:color="auto" w:sz="4" w:space="0"/>
              <w:left w:val="single" w:color="auto" w:sz="8" w:space="0"/>
              <w:bottom w:val="single" w:color="auto" w:sz="4" w:space="0"/>
              <w:right w:val="single" w:color="auto" w:sz="4" w:space="0"/>
            </w:tcBorders>
            <w:vAlign w:val="center"/>
          </w:tcPr>
          <w:p w14:paraId="6D5C63F7">
            <w:pPr>
              <w:pStyle w:val="83"/>
              <w:rPr>
                <w:rFonts w:hint="default"/>
              </w:rPr>
            </w:pPr>
            <w:r>
              <w:t>环境风险防范措施</w:t>
            </w:r>
          </w:p>
        </w:tc>
        <w:tc>
          <w:tcPr>
            <w:tcW w:w="8117" w:type="dxa"/>
            <w:gridSpan w:val="4"/>
            <w:tcBorders>
              <w:top w:val="single" w:color="auto" w:sz="4" w:space="0"/>
              <w:left w:val="single" w:color="auto" w:sz="4" w:space="0"/>
              <w:bottom w:val="single" w:color="auto" w:sz="4" w:space="0"/>
              <w:right w:val="single" w:color="auto" w:sz="8" w:space="0"/>
            </w:tcBorders>
            <w:vAlign w:val="center"/>
          </w:tcPr>
          <w:p w14:paraId="0C73DA0B">
            <w:pPr>
              <w:ind w:firstLine="420"/>
              <w:rPr>
                <w:sz w:val="21"/>
                <w:szCs w:val="21"/>
              </w:rPr>
            </w:pPr>
            <w:r>
              <w:rPr>
                <w:rFonts w:hint="eastAsia"/>
                <w:sz w:val="21"/>
                <w:szCs w:val="21"/>
              </w:rPr>
              <w:t>（1）建立健全各种有关消防与安全生产的规章制度，建立岗位责任制。危废间、生产车间等严禁明火。生产车间、公用工程、物料堆场等场所配置足量的泡沫、干粉等灭火器，并保持完好状态；</w:t>
            </w:r>
          </w:p>
          <w:p w14:paraId="53808D45">
            <w:pPr>
              <w:ind w:firstLine="420"/>
              <w:rPr>
                <w:sz w:val="21"/>
                <w:szCs w:val="21"/>
              </w:rPr>
            </w:pPr>
            <w:r>
              <w:rPr>
                <w:rFonts w:hint="eastAsia"/>
                <w:sz w:val="21"/>
                <w:szCs w:val="21"/>
              </w:rPr>
              <w:t>（2）厂区留有足够的消防通道。生产车间、物料堆场设置消防给水管道和消防栓。企业要组织义务消防员，并进行定期的培训和训练。对有火灾危险的场所设置自动报警系统，一旦发生火灾，立即做出应急反应；</w:t>
            </w:r>
          </w:p>
          <w:p w14:paraId="05B86F87">
            <w:pPr>
              <w:ind w:firstLine="420"/>
              <w:rPr>
                <w:sz w:val="21"/>
                <w:szCs w:val="21"/>
              </w:rPr>
            </w:pPr>
            <w:r>
              <w:rPr>
                <w:rFonts w:hint="eastAsia"/>
                <w:sz w:val="21"/>
                <w:szCs w:val="21"/>
              </w:rPr>
              <w:t>（3）对于危废间，企业设置监控系统，主要在危废间出入口、室内、厂门口等关键位置安装视频监控设施，进行实时监控。厂区门口设置危废信息公开栏，危废间外墙及各类危废贮存处墙面设置贮存设施警示标志牌。贮存过程在液态危险废物贮存容器下方设置不锈钢托盘，或在危废间设置地沟等，发生少量泄漏立即将容器内剩余溶液转移，并收集托盘、地沟内泄漏液体，防止泄漏物料挥发到大气中。</w:t>
            </w:r>
          </w:p>
          <w:p w14:paraId="0F9B5142">
            <w:pPr>
              <w:ind w:firstLine="420"/>
              <w:rPr>
                <w:sz w:val="21"/>
                <w:szCs w:val="21"/>
              </w:rPr>
            </w:pPr>
            <w:r>
              <w:rPr>
                <w:rFonts w:hint="eastAsia"/>
                <w:sz w:val="21"/>
                <w:szCs w:val="21"/>
              </w:rPr>
              <w:t>（4）定期对化学品进行安全检查，试剂器皿仓保证通风，远离火种热源，独立存放，应在员工易见之处，标示原料MSDS表、输送对象设备及其它必要事项。</w:t>
            </w:r>
          </w:p>
          <w:p w14:paraId="548901D4">
            <w:pPr>
              <w:ind w:firstLine="420"/>
              <w:rPr>
                <w:sz w:val="21"/>
                <w:szCs w:val="21"/>
              </w:rPr>
            </w:pPr>
            <w:r>
              <w:rPr>
                <w:rFonts w:hint="eastAsia"/>
                <w:sz w:val="21"/>
                <w:szCs w:val="21"/>
              </w:rPr>
              <w:t>（5）企业已建3340m</w:t>
            </w:r>
            <w:r>
              <w:rPr>
                <w:rFonts w:hint="eastAsia"/>
                <w:sz w:val="21"/>
                <w:szCs w:val="21"/>
                <w:vertAlign w:val="superscript"/>
              </w:rPr>
              <w:t>3</w:t>
            </w:r>
            <w:r>
              <w:rPr>
                <w:rFonts w:hint="eastAsia"/>
                <w:sz w:val="21"/>
                <w:szCs w:val="21"/>
              </w:rPr>
              <w:t>的事故应急池，可以满足事故废水收集要求，采取严格的防渗措施，日常处于空置状态。</w:t>
            </w:r>
          </w:p>
          <w:p w14:paraId="27180C57">
            <w:pPr>
              <w:ind w:firstLine="420"/>
              <w:rPr>
                <w:sz w:val="21"/>
                <w:szCs w:val="21"/>
              </w:rPr>
            </w:pPr>
            <w:r>
              <w:rPr>
                <w:rFonts w:hint="eastAsia"/>
                <w:sz w:val="21"/>
                <w:szCs w:val="21"/>
              </w:rPr>
              <w:t>（6）厂区内的雨水管道、事故沟收集系统严格分开，设置切换阀。</w:t>
            </w:r>
          </w:p>
          <w:p w14:paraId="609E35C7">
            <w:pPr>
              <w:ind w:firstLine="420"/>
            </w:pPr>
            <w:r>
              <w:rPr>
                <w:rFonts w:hint="eastAsia"/>
                <w:sz w:val="21"/>
                <w:szCs w:val="21"/>
              </w:rPr>
              <w:t>综上分析，项目风险类型主要为泄漏、火灾，由于主要的易燃物质在厂区内储存量很小，发生风险事故的影响范围不大，在各项环境风险防范措施落实到位的情况下，可降低本项目的环境风险，最大程度减少对环境可能造成的危害，项目对环境的风险影响可接受。</w:t>
            </w:r>
          </w:p>
        </w:tc>
      </w:tr>
      <w:tr w14:paraId="29D5B1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002" w:hRule="atLeast"/>
          <w:jc w:val="center"/>
        </w:trPr>
        <w:tc>
          <w:tcPr>
            <w:tcW w:w="841" w:type="dxa"/>
            <w:tcBorders>
              <w:top w:val="single" w:color="auto" w:sz="4" w:space="0"/>
              <w:left w:val="single" w:color="auto" w:sz="8" w:space="0"/>
              <w:bottom w:val="single" w:color="auto" w:sz="8" w:space="0"/>
              <w:right w:val="single" w:color="auto" w:sz="4" w:space="0"/>
            </w:tcBorders>
            <w:vAlign w:val="center"/>
          </w:tcPr>
          <w:p w14:paraId="057E2B7D">
            <w:pPr>
              <w:pStyle w:val="83"/>
              <w:rPr>
                <w:rFonts w:hint="default"/>
              </w:rPr>
            </w:pPr>
            <w:r>
              <w:t>其他环境管理要求</w:t>
            </w:r>
          </w:p>
        </w:tc>
        <w:tc>
          <w:tcPr>
            <w:tcW w:w="8117" w:type="dxa"/>
            <w:gridSpan w:val="4"/>
            <w:tcBorders>
              <w:top w:val="single" w:color="auto" w:sz="4" w:space="0"/>
              <w:left w:val="single" w:color="auto" w:sz="4" w:space="0"/>
              <w:bottom w:val="single" w:color="auto" w:sz="8" w:space="0"/>
              <w:right w:val="single" w:color="auto" w:sz="8" w:space="0"/>
            </w:tcBorders>
            <w:vAlign w:val="center"/>
          </w:tcPr>
          <w:p w14:paraId="54571EAB">
            <w:pPr>
              <w:ind w:firstLine="420"/>
              <w:rPr>
                <w:sz w:val="21"/>
                <w:szCs w:val="21"/>
              </w:rPr>
            </w:pPr>
            <w:r>
              <w:rPr>
                <w:rFonts w:hint="eastAsia"/>
                <w:sz w:val="21"/>
                <w:szCs w:val="21"/>
              </w:rPr>
              <w:t>1.企业已设置环境管理机构，内部组织管理机构设置安全环保人员，从业人员均具有适当的资历和经验。将项目环境管理体系纳入厂内管理体系，并按照环境保护要求，搞好生产管理的同时，也做好环境管理工作。建立健全的环境管理制度，负责对环保设施的操作维护保养及污染物排放情况进行监督调查，并做好记录，建立了排污档案。</w:t>
            </w:r>
          </w:p>
          <w:p w14:paraId="2D40722B">
            <w:pPr>
              <w:ind w:firstLine="420"/>
              <w:rPr>
                <w:sz w:val="21"/>
                <w:szCs w:val="21"/>
              </w:rPr>
            </w:pPr>
            <w:r>
              <w:rPr>
                <w:rFonts w:hint="eastAsia"/>
                <w:sz w:val="21"/>
                <w:szCs w:val="21"/>
              </w:rPr>
              <w:t>2.要求建设单位按照《关于开展排放口规范化整治工作的通知》（环发〔1999〕24号）和《排污口规范化整治技术要求（试行）》（环监〔1996〕470号）等文件要求，进行排污口规范化设置工作。企业污染物排放口的标志应按国家《环境保护图形标志排放口》（15562.1-1995）、《环境保护图形标志固体废物贮存（处置）场》（15562.2-1995）、《排污单位污染物排放口二维码标识技术规范》（HJ1297-2023）、《危险废物识别标志设置技术规范》（HJ1276-2022）等规定，设置生态环境部统一制作的环境保护图形标志牌。</w:t>
            </w:r>
          </w:p>
          <w:p w14:paraId="1C68B29E">
            <w:pPr>
              <w:pStyle w:val="13"/>
              <w:rPr>
                <w:sz w:val="21"/>
                <w:szCs w:val="24"/>
              </w:rPr>
            </w:pPr>
            <w:r>
              <w:rPr>
                <w:rFonts w:hint="eastAsia"/>
                <w:sz w:val="21"/>
                <w:szCs w:val="24"/>
              </w:rPr>
              <w:t>表5.1-1  环境保护图形符号一览表</w:t>
            </w:r>
          </w:p>
          <w:tbl>
            <w:tblPr>
              <w:tblStyle w:val="18"/>
              <w:tblpPr w:leftFromText="180" w:rightFromText="180" w:vertAnchor="text" w:tblpXSpec="center" w:tblpY="1"/>
              <w:tblOverlap w:val="never"/>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85" w:type="dxa"/>
                <w:bottom w:w="28" w:type="dxa"/>
                <w:right w:w="85" w:type="dxa"/>
              </w:tblCellMar>
            </w:tblPr>
            <w:tblGrid>
              <w:gridCol w:w="1526"/>
              <w:gridCol w:w="2476"/>
              <w:gridCol w:w="2250"/>
              <w:gridCol w:w="1751"/>
            </w:tblGrid>
            <w:tr w14:paraId="0ADB16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85" w:type="dxa"/>
                  <w:bottom w:w="28" w:type="dxa"/>
                  <w:right w:w="85" w:type="dxa"/>
                </w:tblCellMar>
              </w:tblPrEx>
              <w:trPr>
                <w:trHeight w:val="340" w:hRule="atLeast"/>
                <w:jc w:val="center"/>
              </w:trPr>
              <w:tc>
                <w:tcPr>
                  <w:tcW w:w="953" w:type="pct"/>
                  <w:vAlign w:val="center"/>
                </w:tcPr>
                <w:p w14:paraId="77990673">
                  <w:pPr>
                    <w:pStyle w:val="83"/>
                    <w:rPr>
                      <w:rFonts w:hint="default"/>
                      <w:sz w:val="18"/>
                      <w:szCs w:val="18"/>
                    </w:rPr>
                  </w:pPr>
                  <w:r>
                    <w:rPr>
                      <w:sz w:val="18"/>
                      <w:szCs w:val="18"/>
                    </w:rPr>
                    <w:t>名称</w:t>
                  </w:r>
                </w:p>
              </w:tc>
              <w:tc>
                <w:tcPr>
                  <w:tcW w:w="1546" w:type="pct"/>
                  <w:vAlign w:val="center"/>
                </w:tcPr>
                <w:p w14:paraId="44996CAD">
                  <w:pPr>
                    <w:pStyle w:val="83"/>
                    <w:rPr>
                      <w:rFonts w:hint="default"/>
                      <w:sz w:val="18"/>
                      <w:szCs w:val="18"/>
                    </w:rPr>
                  </w:pPr>
                  <w:r>
                    <w:rPr>
                      <w:sz w:val="18"/>
                      <w:szCs w:val="18"/>
                    </w:rPr>
                    <w:t>提示图形符号</w:t>
                  </w:r>
                </w:p>
              </w:tc>
              <w:tc>
                <w:tcPr>
                  <w:tcW w:w="1405" w:type="pct"/>
                  <w:vAlign w:val="center"/>
                </w:tcPr>
                <w:p w14:paraId="4CEB0F46">
                  <w:pPr>
                    <w:pStyle w:val="83"/>
                    <w:rPr>
                      <w:rFonts w:hint="default"/>
                      <w:sz w:val="18"/>
                      <w:szCs w:val="18"/>
                    </w:rPr>
                  </w:pPr>
                  <w:r>
                    <w:rPr>
                      <w:sz w:val="18"/>
                      <w:szCs w:val="18"/>
                    </w:rPr>
                    <w:t>警告图形符号</w:t>
                  </w:r>
                </w:p>
              </w:tc>
              <w:tc>
                <w:tcPr>
                  <w:tcW w:w="1093" w:type="pct"/>
                  <w:vAlign w:val="center"/>
                </w:tcPr>
                <w:p w14:paraId="70B5D5E1">
                  <w:pPr>
                    <w:pStyle w:val="83"/>
                    <w:rPr>
                      <w:rFonts w:hint="default"/>
                      <w:sz w:val="18"/>
                      <w:szCs w:val="18"/>
                    </w:rPr>
                  </w:pPr>
                  <w:r>
                    <w:rPr>
                      <w:sz w:val="18"/>
                      <w:szCs w:val="18"/>
                    </w:rPr>
                    <w:t>功能</w:t>
                  </w:r>
                </w:p>
              </w:tc>
            </w:tr>
            <w:tr w14:paraId="7FF61F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85" w:type="dxa"/>
                  <w:bottom w:w="28" w:type="dxa"/>
                  <w:right w:w="85" w:type="dxa"/>
                </w:tblCellMar>
              </w:tblPrEx>
              <w:trPr>
                <w:trHeight w:val="340" w:hRule="atLeast"/>
                <w:jc w:val="center"/>
              </w:trPr>
              <w:tc>
                <w:tcPr>
                  <w:tcW w:w="953" w:type="pct"/>
                  <w:vAlign w:val="center"/>
                </w:tcPr>
                <w:p w14:paraId="12026B2E">
                  <w:pPr>
                    <w:pStyle w:val="83"/>
                    <w:rPr>
                      <w:rFonts w:hint="default"/>
                      <w:sz w:val="18"/>
                      <w:szCs w:val="18"/>
                    </w:rPr>
                  </w:pPr>
                  <w:r>
                    <w:rPr>
                      <w:sz w:val="18"/>
                      <w:szCs w:val="18"/>
                    </w:rPr>
                    <w:t>废水排放口</w:t>
                  </w:r>
                </w:p>
              </w:tc>
              <w:tc>
                <w:tcPr>
                  <w:tcW w:w="1546" w:type="pct"/>
                  <w:vAlign w:val="center"/>
                </w:tcPr>
                <w:p w14:paraId="01D68640">
                  <w:pPr>
                    <w:pStyle w:val="83"/>
                    <w:rPr>
                      <w:rFonts w:hint="default"/>
                      <w:sz w:val="18"/>
                      <w:szCs w:val="18"/>
                    </w:rPr>
                  </w:pPr>
                  <w:r>
                    <w:rPr>
                      <w:sz w:val="18"/>
                      <w:szCs w:val="18"/>
                    </w:rPr>
                    <w:drawing>
                      <wp:inline distT="0" distB="0" distL="0" distR="0">
                        <wp:extent cx="899795" cy="899795"/>
                        <wp:effectExtent l="0" t="0" r="0" b="0"/>
                        <wp:docPr id="553752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52481" name="图片 1"/>
                                <pic:cNvPicPr>
                                  <a:picLocks noChangeAspect="1"/>
                                </pic:cNvPicPr>
                              </pic:nvPicPr>
                              <pic:blipFill>
                                <a:blip r:embed="rId43"/>
                                <a:stretch>
                                  <a:fillRect/>
                                </a:stretch>
                              </pic:blipFill>
                              <pic:spPr>
                                <a:xfrm>
                                  <a:off x="0" y="0"/>
                                  <a:ext cx="900000" cy="900000"/>
                                </a:xfrm>
                                <a:prstGeom prst="rect">
                                  <a:avLst/>
                                </a:prstGeom>
                              </pic:spPr>
                            </pic:pic>
                          </a:graphicData>
                        </a:graphic>
                      </wp:inline>
                    </w:drawing>
                  </w:r>
                </w:p>
              </w:tc>
              <w:tc>
                <w:tcPr>
                  <w:tcW w:w="1405" w:type="pct"/>
                  <w:vAlign w:val="center"/>
                </w:tcPr>
                <w:p w14:paraId="1DE9041E">
                  <w:pPr>
                    <w:pStyle w:val="83"/>
                    <w:rPr>
                      <w:rFonts w:hint="default"/>
                      <w:sz w:val="18"/>
                      <w:szCs w:val="18"/>
                    </w:rPr>
                  </w:pPr>
                  <w:r>
                    <w:rPr>
                      <w:sz w:val="18"/>
                      <w:szCs w:val="18"/>
                    </w:rPr>
                    <w:drawing>
                      <wp:inline distT="0" distB="0" distL="0" distR="0">
                        <wp:extent cx="1010285" cy="899795"/>
                        <wp:effectExtent l="0" t="0" r="0" b="0"/>
                        <wp:docPr id="6926249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24959" name="图片 1"/>
                                <pic:cNvPicPr>
                                  <a:picLocks noChangeAspect="1"/>
                                </pic:cNvPicPr>
                              </pic:nvPicPr>
                              <pic:blipFill>
                                <a:blip r:embed="rId44"/>
                                <a:stretch>
                                  <a:fillRect/>
                                </a:stretch>
                              </pic:blipFill>
                              <pic:spPr>
                                <a:xfrm>
                                  <a:off x="0" y="0"/>
                                  <a:ext cx="1010463" cy="900000"/>
                                </a:xfrm>
                                <a:prstGeom prst="rect">
                                  <a:avLst/>
                                </a:prstGeom>
                              </pic:spPr>
                            </pic:pic>
                          </a:graphicData>
                        </a:graphic>
                      </wp:inline>
                    </w:drawing>
                  </w:r>
                </w:p>
              </w:tc>
              <w:tc>
                <w:tcPr>
                  <w:tcW w:w="1093" w:type="pct"/>
                  <w:vAlign w:val="center"/>
                </w:tcPr>
                <w:p w14:paraId="0F4FB597">
                  <w:pPr>
                    <w:pStyle w:val="83"/>
                    <w:rPr>
                      <w:rFonts w:hint="default"/>
                      <w:sz w:val="18"/>
                      <w:szCs w:val="18"/>
                    </w:rPr>
                  </w:pPr>
                  <w:r>
                    <w:rPr>
                      <w:sz w:val="18"/>
                      <w:szCs w:val="18"/>
                    </w:rPr>
                    <w:t>表示向水体排放污水</w:t>
                  </w:r>
                </w:p>
              </w:tc>
            </w:tr>
            <w:tr w14:paraId="410B33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85" w:type="dxa"/>
                  <w:bottom w:w="28" w:type="dxa"/>
                  <w:right w:w="85" w:type="dxa"/>
                </w:tblCellMar>
              </w:tblPrEx>
              <w:trPr>
                <w:trHeight w:val="340" w:hRule="atLeast"/>
                <w:jc w:val="center"/>
              </w:trPr>
              <w:tc>
                <w:tcPr>
                  <w:tcW w:w="953" w:type="pct"/>
                  <w:vAlign w:val="center"/>
                </w:tcPr>
                <w:p w14:paraId="201B7E5A">
                  <w:pPr>
                    <w:pStyle w:val="83"/>
                    <w:rPr>
                      <w:rFonts w:hint="default"/>
                      <w:sz w:val="18"/>
                      <w:szCs w:val="18"/>
                    </w:rPr>
                  </w:pPr>
                  <w:r>
                    <w:rPr>
                      <w:sz w:val="18"/>
                      <w:szCs w:val="18"/>
                    </w:rPr>
                    <w:t>废气排放口</w:t>
                  </w:r>
                </w:p>
              </w:tc>
              <w:tc>
                <w:tcPr>
                  <w:tcW w:w="1546" w:type="pct"/>
                  <w:vAlign w:val="center"/>
                </w:tcPr>
                <w:p w14:paraId="59CB1125">
                  <w:pPr>
                    <w:pStyle w:val="83"/>
                    <w:rPr>
                      <w:rFonts w:hint="default"/>
                      <w:sz w:val="18"/>
                      <w:szCs w:val="18"/>
                    </w:rPr>
                  </w:pPr>
                  <w:r>
                    <w:rPr>
                      <w:sz w:val="18"/>
                      <w:szCs w:val="18"/>
                    </w:rPr>
                    <w:drawing>
                      <wp:inline distT="0" distB="0" distL="0" distR="0">
                        <wp:extent cx="889000" cy="899795"/>
                        <wp:effectExtent l="0" t="0" r="6350" b="0"/>
                        <wp:docPr id="17837139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13955" name="图片 1"/>
                                <pic:cNvPicPr>
                                  <a:picLocks noChangeAspect="1"/>
                                </pic:cNvPicPr>
                              </pic:nvPicPr>
                              <pic:blipFill>
                                <a:blip r:embed="rId45"/>
                                <a:stretch>
                                  <a:fillRect/>
                                </a:stretch>
                              </pic:blipFill>
                              <pic:spPr>
                                <a:xfrm>
                                  <a:off x="0" y="0"/>
                                  <a:ext cx="889089" cy="900000"/>
                                </a:xfrm>
                                <a:prstGeom prst="rect">
                                  <a:avLst/>
                                </a:prstGeom>
                              </pic:spPr>
                            </pic:pic>
                          </a:graphicData>
                        </a:graphic>
                      </wp:inline>
                    </w:drawing>
                  </w:r>
                </w:p>
              </w:tc>
              <w:tc>
                <w:tcPr>
                  <w:tcW w:w="1405" w:type="pct"/>
                  <w:vAlign w:val="center"/>
                </w:tcPr>
                <w:p w14:paraId="5E5D9919">
                  <w:pPr>
                    <w:pStyle w:val="83"/>
                    <w:rPr>
                      <w:rFonts w:hint="default"/>
                      <w:sz w:val="18"/>
                      <w:szCs w:val="18"/>
                    </w:rPr>
                  </w:pPr>
                  <w:r>
                    <w:rPr>
                      <w:sz w:val="18"/>
                      <w:szCs w:val="18"/>
                    </w:rPr>
                    <w:drawing>
                      <wp:inline distT="0" distB="0" distL="0" distR="0">
                        <wp:extent cx="1010285" cy="899795"/>
                        <wp:effectExtent l="0" t="0" r="0" b="0"/>
                        <wp:docPr id="18257229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22914" name="图片 1"/>
                                <pic:cNvPicPr>
                                  <a:picLocks noChangeAspect="1"/>
                                </pic:cNvPicPr>
                              </pic:nvPicPr>
                              <pic:blipFill>
                                <a:blip r:embed="rId46"/>
                                <a:stretch>
                                  <a:fillRect/>
                                </a:stretch>
                              </pic:blipFill>
                              <pic:spPr>
                                <a:xfrm>
                                  <a:off x="0" y="0"/>
                                  <a:ext cx="1010469" cy="900000"/>
                                </a:xfrm>
                                <a:prstGeom prst="rect">
                                  <a:avLst/>
                                </a:prstGeom>
                              </pic:spPr>
                            </pic:pic>
                          </a:graphicData>
                        </a:graphic>
                      </wp:inline>
                    </w:drawing>
                  </w:r>
                </w:p>
              </w:tc>
              <w:tc>
                <w:tcPr>
                  <w:tcW w:w="1093" w:type="pct"/>
                  <w:vAlign w:val="center"/>
                </w:tcPr>
                <w:p w14:paraId="47C73A0F">
                  <w:pPr>
                    <w:pStyle w:val="83"/>
                    <w:rPr>
                      <w:rFonts w:hint="default"/>
                      <w:sz w:val="18"/>
                      <w:szCs w:val="18"/>
                    </w:rPr>
                  </w:pPr>
                  <w:r>
                    <w:rPr>
                      <w:sz w:val="18"/>
                      <w:szCs w:val="18"/>
                    </w:rPr>
                    <w:t>表示废气向大气环境排放</w:t>
                  </w:r>
                </w:p>
              </w:tc>
            </w:tr>
            <w:tr w14:paraId="5253DD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85" w:type="dxa"/>
                  <w:bottom w:w="28" w:type="dxa"/>
                  <w:right w:w="85" w:type="dxa"/>
                </w:tblCellMar>
              </w:tblPrEx>
              <w:trPr>
                <w:trHeight w:val="340" w:hRule="atLeast"/>
                <w:jc w:val="center"/>
              </w:trPr>
              <w:tc>
                <w:tcPr>
                  <w:tcW w:w="953" w:type="pct"/>
                  <w:vAlign w:val="center"/>
                </w:tcPr>
                <w:p w14:paraId="65C1D975">
                  <w:pPr>
                    <w:pStyle w:val="83"/>
                    <w:rPr>
                      <w:rFonts w:hint="default"/>
                      <w:sz w:val="18"/>
                      <w:szCs w:val="18"/>
                    </w:rPr>
                  </w:pPr>
                  <w:r>
                    <w:rPr>
                      <w:sz w:val="18"/>
                      <w:szCs w:val="18"/>
                    </w:rPr>
                    <w:t>一般固体废物</w:t>
                  </w:r>
                </w:p>
              </w:tc>
              <w:tc>
                <w:tcPr>
                  <w:tcW w:w="1546" w:type="pct"/>
                  <w:vAlign w:val="center"/>
                </w:tcPr>
                <w:p w14:paraId="58C0420E">
                  <w:pPr>
                    <w:pStyle w:val="83"/>
                    <w:rPr>
                      <w:rFonts w:hint="default"/>
                      <w:sz w:val="18"/>
                      <w:szCs w:val="18"/>
                    </w:rPr>
                  </w:pPr>
                  <w:r>
                    <w:rPr>
                      <w:sz w:val="18"/>
                      <w:szCs w:val="18"/>
                    </w:rPr>
                    <w:drawing>
                      <wp:inline distT="0" distB="0" distL="0" distR="0">
                        <wp:extent cx="899795" cy="899795"/>
                        <wp:effectExtent l="0" t="0" r="0" b="0"/>
                        <wp:docPr id="18325110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11022" name="图片 1"/>
                                <pic:cNvPicPr>
                                  <a:picLocks noChangeAspect="1"/>
                                </pic:cNvPicPr>
                              </pic:nvPicPr>
                              <pic:blipFill>
                                <a:blip r:embed="rId47"/>
                                <a:stretch>
                                  <a:fillRect/>
                                </a:stretch>
                              </pic:blipFill>
                              <pic:spPr>
                                <a:xfrm>
                                  <a:off x="0" y="0"/>
                                  <a:ext cx="900000" cy="900000"/>
                                </a:xfrm>
                                <a:prstGeom prst="rect">
                                  <a:avLst/>
                                </a:prstGeom>
                              </pic:spPr>
                            </pic:pic>
                          </a:graphicData>
                        </a:graphic>
                      </wp:inline>
                    </w:drawing>
                  </w:r>
                </w:p>
              </w:tc>
              <w:tc>
                <w:tcPr>
                  <w:tcW w:w="1405" w:type="pct"/>
                  <w:vAlign w:val="center"/>
                </w:tcPr>
                <w:p w14:paraId="62B30A25">
                  <w:pPr>
                    <w:pStyle w:val="83"/>
                    <w:rPr>
                      <w:rFonts w:hint="default"/>
                      <w:sz w:val="18"/>
                      <w:szCs w:val="18"/>
                    </w:rPr>
                  </w:pPr>
                  <w:r>
                    <w:rPr>
                      <w:sz w:val="18"/>
                      <w:szCs w:val="18"/>
                    </w:rPr>
                    <w:drawing>
                      <wp:inline distT="0" distB="0" distL="0" distR="0">
                        <wp:extent cx="1010920" cy="899795"/>
                        <wp:effectExtent l="0" t="0" r="0" b="0"/>
                        <wp:docPr id="19128258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25831" name="图片 1"/>
                                <pic:cNvPicPr>
                                  <a:picLocks noChangeAspect="1"/>
                                </pic:cNvPicPr>
                              </pic:nvPicPr>
                              <pic:blipFill>
                                <a:blip r:embed="rId48"/>
                                <a:stretch>
                                  <a:fillRect/>
                                </a:stretch>
                              </pic:blipFill>
                              <pic:spPr>
                                <a:xfrm>
                                  <a:off x="0" y="0"/>
                                  <a:ext cx="1011238" cy="900000"/>
                                </a:xfrm>
                                <a:prstGeom prst="rect">
                                  <a:avLst/>
                                </a:prstGeom>
                              </pic:spPr>
                            </pic:pic>
                          </a:graphicData>
                        </a:graphic>
                      </wp:inline>
                    </w:drawing>
                  </w:r>
                </w:p>
              </w:tc>
              <w:tc>
                <w:tcPr>
                  <w:tcW w:w="1093" w:type="pct"/>
                  <w:vAlign w:val="center"/>
                </w:tcPr>
                <w:p w14:paraId="09991F56">
                  <w:pPr>
                    <w:pStyle w:val="83"/>
                    <w:rPr>
                      <w:rFonts w:hint="default"/>
                      <w:sz w:val="18"/>
                      <w:szCs w:val="18"/>
                    </w:rPr>
                  </w:pPr>
                  <w:r>
                    <w:rPr>
                      <w:sz w:val="18"/>
                      <w:szCs w:val="18"/>
                    </w:rPr>
                    <w:t>表示一般固体废物贮存、处置场</w:t>
                  </w:r>
                </w:p>
              </w:tc>
            </w:tr>
            <w:tr w14:paraId="5D6299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85" w:type="dxa"/>
                  <w:bottom w:w="28" w:type="dxa"/>
                  <w:right w:w="85" w:type="dxa"/>
                </w:tblCellMar>
              </w:tblPrEx>
              <w:trPr>
                <w:trHeight w:val="340" w:hRule="atLeast"/>
                <w:jc w:val="center"/>
              </w:trPr>
              <w:tc>
                <w:tcPr>
                  <w:tcW w:w="953" w:type="pct"/>
                  <w:vAlign w:val="center"/>
                </w:tcPr>
                <w:p w14:paraId="765E334E">
                  <w:pPr>
                    <w:pStyle w:val="83"/>
                    <w:rPr>
                      <w:rFonts w:hint="default"/>
                      <w:sz w:val="18"/>
                      <w:szCs w:val="18"/>
                    </w:rPr>
                  </w:pPr>
                  <w:r>
                    <w:rPr>
                      <w:sz w:val="18"/>
                      <w:szCs w:val="18"/>
                    </w:rPr>
                    <w:t>噪声排放源</w:t>
                  </w:r>
                </w:p>
              </w:tc>
              <w:tc>
                <w:tcPr>
                  <w:tcW w:w="1546" w:type="pct"/>
                  <w:vAlign w:val="center"/>
                </w:tcPr>
                <w:p w14:paraId="16E33119">
                  <w:pPr>
                    <w:pStyle w:val="83"/>
                    <w:rPr>
                      <w:rFonts w:hint="default"/>
                      <w:sz w:val="18"/>
                      <w:szCs w:val="18"/>
                    </w:rPr>
                  </w:pPr>
                  <w:r>
                    <w:rPr>
                      <w:sz w:val="18"/>
                      <w:szCs w:val="18"/>
                    </w:rPr>
                    <w:drawing>
                      <wp:inline distT="0" distB="0" distL="0" distR="0">
                        <wp:extent cx="899795" cy="899795"/>
                        <wp:effectExtent l="0" t="0" r="0" b="0"/>
                        <wp:docPr id="7039259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925951" name="图片 1"/>
                                <pic:cNvPicPr>
                                  <a:picLocks noChangeAspect="1"/>
                                </pic:cNvPicPr>
                              </pic:nvPicPr>
                              <pic:blipFill>
                                <a:blip r:embed="rId49"/>
                                <a:stretch>
                                  <a:fillRect/>
                                </a:stretch>
                              </pic:blipFill>
                              <pic:spPr>
                                <a:xfrm>
                                  <a:off x="0" y="0"/>
                                  <a:ext cx="900000" cy="900000"/>
                                </a:xfrm>
                                <a:prstGeom prst="rect">
                                  <a:avLst/>
                                </a:prstGeom>
                              </pic:spPr>
                            </pic:pic>
                          </a:graphicData>
                        </a:graphic>
                      </wp:inline>
                    </w:drawing>
                  </w:r>
                </w:p>
              </w:tc>
              <w:tc>
                <w:tcPr>
                  <w:tcW w:w="1405" w:type="pct"/>
                  <w:vAlign w:val="center"/>
                </w:tcPr>
                <w:p w14:paraId="24DF4601">
                  <w:pPr>
                    <w:pStyle w:val="83"/>
                    <w:rPr>
                      <w:rFonts w:hint="default"/>
                      <w:sz w:val="18"/>
                      <w:szCs w:val="18"/>
                    </w:rPr>
                  </w:pPr>
                  <w:r>
                    <w:rPr>
                      <w:sz w:val="18"/>
                      <w:szCs w:val="18"/>
                    </w:rPr>
                    <w:drawing>
                      <wp:inline distT="0" distB="0" distL="0" distR="0">
                        <wp:extent cx="1022985" cy="899795"/>
                        <wp:effectExtent l="0" t="0" r="5715" b="0"/>
                        <wp:docPr id="4454018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01822" name="图片 1"/>
                                <pic:cNvPicPr>
                                  <a:picLocks noChangeAspect="1"/>
                                </pic:cNvPicPr>
                              </pic:nvPicPr>
                              <pic:blipFill>
                                <a:blip r:embed="rId50"/>
                                <a:stretch>
                                  <a:fillRect/>
                                </a:stretch>
                              </pic:blipFill>
                              <pic:spPr>
                                <a:xfrm>
                                  <a:off x="0" y="0"/>
                                  <a:ext cx="1023213" cy="900000"/>
                                </a:xfrm>
                                <a:prstGeom prst="rect">
                                  <a:avLst/>
                                </a:prstGeom>
                              </pic:spPr>
                            </pic:pic>
                          </a:graphicData>
                        </a:graphic>
                      </wp:inline>
                    </w:drawing>
                  </w:r>
                </w:p>
              </w:tc>
              <w:tc>
                <w:tcPr>
                  <w:tcW w:w="1093" w:type="pct"/>
                  <w:vAlign w:val="center"/>
                </w:tcPr>
                <w:p w14:paraId="248D5780">
                  <w:pPr>
                    <w:pStyle w:val="83"/>
                    <w:rPr>
                      <w:rFonts w:hint="default"/>
                      <w:sz w:val="18"/>
                      <w:szCs w:val="18"/>
                    </w:rPr>
                  </w:pPr>
                  <w:r>
                    <w:rPr>
                      <w:sz w:val="18"/>
                      <w:szCs w:val="18"/>
                    </w:rPr>
                    <w:t>表示噪声向外环境排放</w:t>
                  </w:r>
                </w:p>
              </w:tc>
            </w:tr>
            <w:tr w14:paraId="2AA19C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85" w:type="dxa"/>
                  <w:bottom w:w="28" w:type="dxa"/>
                  <w:right w:w="85" w:type="dxa"/>
                </w:tblCellMar>
              </w:tblPrEx>
              <w:trPr>
                <w:trHeight w:val="340" w:hRule="atLeast"/>
                <w:jc w:val="center"/>
              </w:trPr>
              <w:tc>
                <w:tcPr>
                  <w:tcW w:w="953" w:type="pct"/>
                  <w:vAlign w:val="center"/>
                </w:tcPr>
                <w:p w14:paraId="2AB122D5">
                  <w:pPr>
                    <w:pStyle w:val="83"/>
                    <w:rPr>
                      <w:rFonts w:hint="default"/>
                      <w:sz w:val="18"/>
                      <w:szCs w:val="18"/>
                    </w:rPr>
                  </w:pPr>
                  <w:r>
                    <w:rPr>
                      <w:sz w:val="18"/>
                      <w:szCs w:val="18"/>
                    </w:rPr>
                    <w:t>危险废物</w:t>
                  </w:r>
                </w:p>
              </w:tc>
              <w:tc>
                <w:tcPr>
                  <w:tcW w:w="1546" w:type="pct"/>
                  <w:vAlign w:val="center"/>
                </w:tcPr>
                <w:p w14:paraId="6892152D">
                  <w:pPr>
                    <w:pStyle w:val="83"/>
                    <w:rPr>
                      <w:rFonts w:hint="default"/>
                      <w:sz w:val="18"/>
                      <w:szCs w:val="18"/>
                    </w:rPr>
                  </w:pPr>
                  <w:r>
                    <w:rPr>
                      <w:sz w:val="18"/>
                      <w:szCs w:val="18"/>
                    </w:rPr>
                    <w:t>/</w:t>
                  </w:r>
                </w:p>
              </w:tc>
              <w:tc>
                <w:tcPr>
                  <w:tcW w:w="1405" w:type="pct"/>
                  <w:vAlign w:val="center"/>
                </w:tcPr>
                <w:p w14:paraId="47434A58">
                  <w:pPr>
                    <w:pStyle w:val="83"/>
                    <w:rPr>
                      <w:rFonts w:hint="default"/>
                      <w:sz w:val="18"/>
                      <w:szCs w:val="18"/>
                    </w:rPr>
                  </w:pPr>
                  <w:r>
                    <w:rPr>
                      <w:sz w:val="18"/>
                      <w:szCs w:val="18"/>
                    </w:rPr>
                    <w:drawing>
                      <wp:inline distT="0" distB="0" distL="0" distR="0">
                        <wp:extent cx="1187450" cy="753745"/>
                        <wp:effectExtent l="0" t="0" r="0" b="8255"/>
                        <wp:docPr id="20206080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608056" name="图片 1"/>
                                <pic:cNvPicPr>
                                  <a:picLocks noChangeAspect="1"/>
                                </pic:cNvPicPr>
                              </pic:nvPicPr>
                              <pic:blipFill>
                                <a:blip r:embed="rId51"/>
                                <a:stretch>
                                  <a:fillRect/>
                                </a:stretch>
                              </pic:blipFill>
                              <pic:spPr>
                                <a:xfrm>
                                  <a:off x="0" y="0"/>
                                  <a:ext cx="1188000" cy="754344"/>
                                </a:xfrm>
                                <a:prstGeom prst="rect">
                                  <a:avLst/>
                                </a:prstGeom>
                              </pic:spPr>
                            </pic:pic>
                          </a:graphicData>
                        </a:graphic>
                      </wp:inline>
                    </w:drawing>
                  </w:r>
                </w:p>
              </w:tc>
              <w:tc>
                <w:tcPr>
                  <w:tcW w:w="1093" w:type="pct"/>
                  <w:vAlign w:val="center"/>
                </w:tcPr>
                <w:p w14:paraId="7B87FA7E">
                  <w:pPr>
                    <w:pStyle w:val="83"/>
                    <w:rPr>
                      <w:rFonts w:hint="default"/>
                      <w:sz w:val="18"/>
                      <w:szCs w:val="18"/>
                    </w:rPr>
                  </w:pPr>
                  <w:r>
                    <w:rPr>
                      <w:sz w:val="18"/>
                      <w:szCs w:val="18"/>
                    </w:rPr>
                    <w:t>表示危险废物贮存、处置场</w:t>
                  </w:r>
                </w:p>
              </w:tc>
            </w:tr>
          </w:tbl>
          <w:p w14:paraId="14FE9820">
            <w:pPr>
              <w:ind w:firstLine="420"/>
              <w:rPr>
                <w:sz w:val="21"/>
                <w:szCs w:val="21"/>
              </w:rPr>
            </w:pPr>
            <w:r>
              <w:rPr>
                <w:rFonts w:hint="eastAsia"/>
                <w:sz w:val="21"/>
                <w:szCs w:val="21"/>
              </w:rPr>
              <w:t>3.根据《排污许可证申请与核发技术规范总则》（HJ942—2018）、《排污许可证申请与核发技术规范化学纤维制造业》（HJ1102-2020）等相关规范要求，本项目属于重点管理行业，应及时申请排污许可证。</w:t>
            </w:r>
          </w:p>
          <w:p w14:paraId="061EB621">
            <w:pPr>
              <w:ind w:firstLine="420"/>
              <w:rPr>
                <w:sz w:val="21"/>
                <w:szCs w:val="21"/>
              </w:rPr>
            </w:pPr>
            <w:r>
              <w:rPr>
                <w:rFonts w:hint="eastAsia"/>
                <w:sz w:val="21"/>
                <w:szCs w:val="21"/>
              </w:rPr>
              <w:t>4.项目竣工后，建设单位应当依照国家有关法律法规、建设项目竣工环境保护验收技术规范、建设项目环境影响报告表和审批决定等要求，如实查验、监测、记载建设项目环境保护设施的建设和调试情况，同时还应如实记载其他环境保护对策措施“三同时”落实情况，编制竣工环境保护验收报告。</w:t>
            </w:r>
          </w:p>
          <w:p w14:paraId="633DD3CC">
            <w:pPr>
              <w:ind w:firstLine="420"/>
              <w:rPr>
                <w:sz w:val="21"/>
                <w:szCs w:val="21"/>
              </w:rPr>
            </w:pPr>
            <w:r>
              <w:rPr>
                <w:rFonts w:hint="eastAsia"/>
                <w:sz w:val="21"/>
                <w:szCs w:val="21"/>
              </w:rPr>
              <w:t>5.项目考虑运营期的环境监测，主要对厂区各环保设施进行监测。根据《建设项目环境保护管理条例》《排污单位自行监测技术指南总则》（HJ819-2017）和《排污许可证申请与核发技术规范化学纤维制造业》（HJ1102-2020）规定，本次环评对项目提出环境监测计划建议。监测计划情况详见表5.1-2。</w:t>
            </w:r>
          </w:p>
          <w:p w14:paraId="55F321B5">
            <w:pPr>
              <w:pStyle w:val="13"/>
              <w:rPr>
                <w:sz w:val="21"/>
                <w:szCs w:val="21"/>
              </w:rPr>
            </w:pPr>
            <w:r>
              <w:rPr>
                <w:rFonts w:hint="eastAsia"/>
                <w:sz w:val="21"/>
                <w:szCs w:val="21"/>
              </w:rPr>
              <w:t>表5.1-2  自行监测计划一览表</w:t>
            </w:r>
          </w:p>
          <w:tbl>
            <w:tblPr>
              <w:tblStyle w:val="1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66"/>
              <w:gridCol w:w="1740"/>
              <w:gridCol w:w="1897"/>
              <w:gridCol w:w="1601"/>
              <w:gridCol w:w="1599"/>
            </w:tblGrid>
            <w:tr w14:paraId="49CA90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28" w:type="pct"/>
                  <w:vAlign w:val="center"/>
                </w:tcPr>
                <w:p w14:paraId="6B610C78">
                  <w:pPr>
                    <w:pStyle w:val="83"/>
                    <w:rPr>
                      <w:rFonts w:hint="default"/>
                      <w:sz w:val="18"/>
                      <w:szCs w:val="18"/>
                    </w:rPr>
                  </w:pPr>
                  <w:r>
                    <w:rPr>
                      <w:sz w:val="18"/>
                      <w:szCs w:val="18"/>
                    </w:rPr>
                    <w:t>监测对象</w:t>
                  </w:r>
                </w:p>
              </w:tc>
              <w:tc>
                <w:tcPr>
                  <w:tcW w:w="1087" w:type="pct"/>
                  <w:vAlign w:val="center"/>
                </w:tcPr>
                <w:p w14:paraId="05285122">
                  <w:pPr>
                    <w:pStyle w:val="83"/>
                    <w:rPr>
                      <w:rFonts w:hint="default"/>
                      <w:sz w:val="18"/>
                      <w:szCs w:val="18"/>
                    </w:rPr>
                  </w:pPr>
                  <w:r>
                    <w:rPr>
                      <w:sz w:val="18"/>
                      <w:szCs w:val="18"/>
                    </w:rPr>
                    <w:t>监测点</w:t>
                  </w:r>
                </w:p>
              </w:tc>
              <w:tc>
                <w:tcPr>
                  <w:tcW w:w="1185" w:type="pct"/>
                  <w:vAlign w:val="center"/>
                </w:tcPr>
                <w:p w14:paraId="76BD2A70">
                  <w:pPr>
                    <w:pStyle w:val="83"/>
                    <w:rPr>
                      <w:rFonts w:hint="default"/>
                      <w:sz w:val="18"/>
                      <w:szCs w:val="18"/>
                    </w:rPr>
                  </w:pPr>
                  <w:r>
                    <w:rPr>
                      <w:sz w:val="18"/>
                      <w:szCs w:val="18"/>
                    </w:rPr>
                    <w:t>监测因子</w:t>
                  </w:r>
                </w:p>
              </w:tc>
              <w:tc>
                <w:tcPr>
                  <w:tcW w:w="1000" w:type="pct"/>
                  <w:vAlign w:val="center"/>
                </w:tcPr>
                <w:p w14:paraId="52120784">
                  <w:pPr>
                    <w:pStyle w:val="83"/>
                    <w:rPr>
                      <w:rFonts w:hint="default"/>
                      <w:sz w:val="18"/>
                      <w:szCs w:val="18"/>
                    </w:rPr>
                  </w:pPr>
                  <w:r>
                    <w:rPr>
                      <w:sz w:val="18"/>
                      <w:szCs w:val="18"/>
                    </w:rPr>
                    <w:t>监测频次</w:t>
                  </w:r>
                </w:p>
              </w:tc>
              <w:tc>
                <w:tcPr>
                  <w:tcW w:w="999" w:type="pct"/>
                  <w:vAlign w:val="center"/>
                </w:tcPr>
                <w:p w14:paraId="18B74479">
                  <w:pPr>
                    <w:pStyle w:val="83"/>
                    <w:rPr>
                      <w:rFonts w:hint="default"/>
                      <w:sz w:val="18"/>
                      <w:szCs w:val="18"/>
                    </w:rPr>
                  </w:pPr>
                  <w:r>
                    <w:rPr>
                      <w:sz w:val="18"/>
                      <w:szCs w:val="18"/>
                    </w:rPr>
                    <w:t>监测机构</w:t>
                  </w:r>
                </w:p>
              </w:tc>
            </w:tr>
            <w:tr w14:paraId="65E95C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28" w:type="pct"/>
                  <w:vMerge w:val="restart"/>
                  <w:vAlign w:val="center"/>
                </w:tcPr>
                <w:p w14:paraId="7B184CB5">
                  <w:pPr>
                    <w:pStyle w:val="83"/>
                    <w:rPr>
                      <w:rFonts w:hint="default"/>
                      <w:sz w:val="18"/>
                      <w:szCs w:val="18"/>
                    </w:rPr>
                  </w:pPr>
                  <w:r>
                    <w:rPr>
                      <w:sz w:val="18"/>
                      <w:szCs w:val="18"/>
                    </w:rPr>
                    <w:t>废气</w:t>
                  </w:r>
                </w:p>
              </w:tc>
              <w:tc>
                <w:tcPr>
                  <w:tcW w:w="1087" w:type="pct"/>
                  <w:vAlign w:val="center"/>
                </w:tcPr>
                <w:p w14:paraId="6E43B3A3">
                  <w:pPr>
                    <w:pStyle w:val="83"/>
                    <w:rPr>
                      <w:rFonts w:hint="default"/>
                      <w:sz w:val="18"/>
                      <w:szCs w:val="18"/>
                    </w:rPr>
                  </w:pPr>
                  <w:r>
                    <w:rPr>
                      <w:sz w:val="18"/>
                      <w:szCs w:val="18"/>
                    </w:rPr>
                    <w:t>P1~P2排气筒出口</w:t>
                  </w:r>
                </w:p>
              </w:tc>
              <w:tc>
                <w:tcPr>
                  <w:tcW w:w="1185" w:type="pct"/>
                  <w:vAlign w:val="center"/>
                </w:tcPr>
                <w:p w14:paraId="364F6608">
                  <w:pPr>
                    <w:pStyle w:val="83"/>
                    <w:rPr>
                      <w:rFonts w:hint="default"/>
                      <w:sz w:val="18"/>
                      <w:szCs w:val="18"/>
                    </w:rPr>
                  </w:pPr>
                  <w:r>
                    <w:rPr>
                      <w:sz w:val="18"/>
                      <w:szCs w:val="18"/>
                    </w:rPr>
                    <w:t>非甲烷总烃、颗粒物</w:t>
                  </w:r>
                </w:p>
              </w:tc>
              <w:tc>
                <w:tcPr>
                  <w:tcW w:w="1000" w:type="pct"/>
                  <w:vAlign w:val="center"/>
                </w:tcPr>
                <w:p w14:paraId="1F0A1773">
                  <w:pPr>
                    <w:pStyle w:val="83"/>
                    <w:rPr>
                      <w:rFonts w:hint="default"/>
                      <w:sz w:val="18"/>
                      <w:szCs w:val="18"/>
                    </w:rPr>
                  </w:pPr>
                  <w:r>
                    <w:rPr>
                      <w:sz w:val="18"/>
                      <w:szCs w:val="18"/>
                    </w:rPr>
                    <w:t>1次/半年</w:t>
                  </w:r>
                </w:p>
              </w:tc>
              <w:tc>
                <w:tcPr>
                  <w:tcW w:w="999" w:type="pct"/>
                  <w:vMerge w:val="restart"/>
                  <w:vAlign w:val="center"/>
                </w:tcPr>
                <w:p w14:paraId="613268BF">
                  <w:pPr>
                    <w:pStyle w:val="83"/>
                    <w:rPr>
                      <w:rFonts w:hint="default"/>
                      <w:sz w:val="18"/>
                      <w:szCs w:val="18"/>
                    </w:rPr>
                  </w:pPr>
                  <w:r>
                    <w:rPr>
                      <w:sz w:val="18"/>
                      <w:szCs w:val="18"/>
                    </w:rPr>
                    <w:t>委托有资质的单位进行监测</w:t>
                  </w:r>
                </w:p>
              </w:tc>
            </w:tr>
            <w:tr w14:paraId="37663F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28" w:type="pct"/>
                  <w:vMerge w:val="continue"/>
                  <w:vAlign w:val="center"/>
                </w:tcPr>
                <w:p w14:paraId="44943069">
                  <w:pPr>
                    <w:pStyle w:val="83"/>
                    <w:rPr>
                      <w:rFonts w:hint="default"/>
                      <w:sz w:val="18"/>
                      <w:szCs w:val="18"/>
                    </w:rPr>
                  </w:pPr>
                </w:p>
              </w:tc>
              <w:tc>
                <w:tcPr>
                  <w:tcW w:w="1087" w:type="pct"/>
                  <w:vAlign w:val="center"/>
                </w:tcPr>
                <w:p w14:paraId="0411F966">
                  <w:pPr>
                    <w:pStyle w:val="83"/>
                    <w:rPr>
                      <w:rFonts w:hint="default"/>
                      <w:sz w:val="18"/>
                      <w:szCs w:val="18"/>
                    </w:rPr>
                  </w:pPr>
                  <w:r>
                    <w:rPr>
                      <w:sz w:val="18"/>
                      <w:szCs w:val="18"/>
                    </w:rPr>
                    <w:t>P3~P4排气筒出口</w:t>
                  </w:r>
                </w:p>
              </w:tc>
              <w:tc>
                <w:tcPr>
                  <w:tcW w:w="1185" w:type="pct"/>
                  <w:vAlign w:val="center"/>
                </w:tcPr>
                <w:p w14:paraId="40997BF2">
                  <w:pPr>
                    <w:pStyle w:val="83"/>
                    <w:rPr>
                      <w:rFonts w:hint="default"/>
                      <w:sz w:val="18"/>
                      <w:szCs w:val="18"/>
                    </w:rPr>
                  </w:pPr>
                  <w:r>
                    <w:rPr>
                      <w:sz w:val="18"/>
                      <w:szCs w:val="18"/>
                    </w:rPr>
                    <w:t>非甲烷总烃</w:t>
                  </w:r>
                </w:p>
              </w:tc>
              <w:tc>
                <w:tcPr>
                  <w:tcW w:w="1000" w:type="pct"/>
                  <w:vAlign w:val="center"/>
                </w:tcPr>
                <w:p w14:paraId="5B34CE1A">
                  <w:pPr>
                    <w:pStyle w:val="83"/>
                    <w:rPr>
                      <w:rFonts w:hint="default"/>
                      <w:sz w:val="18"/>
                      <w:szCs w:val="18"/>
                    </w:rPr>
                  </w:pPr>
                  <w:r>
                    <w:rPr>
                      <w:sz w:val="18"/>
                      <w:szCs w:val="18"/>
                    </w:rPr>
                    <w:t>1次/半年</w:t>
                  </w:r>
                </w:p>
              </w:tc>
              <w:tc>
                <w:tcPr>
                  <w:tcW w:w="999" w:type="pct"/>
                  <w:vMerge w:val="continue"/>
                  <w:vAlign w:val="center"/>
                </w:tcPr>
                <w:p w14:paraId="13D39776">
                  <w:pPr>
                    <w:pStyle w:val="83"/>
                    <w:rPr>
                      <w:rFonts w:hint="default"/>
                      <w:sz w:val="18"/>
                      <w:szCs w:val="18"/>
                    </w:rPr>
                  </w:pPr>
                </w:p>
              </w:tc>
            </w:tr>
            <w:tr w14:paraId="1BA38A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28" w:type="pct"/>
                  <w:vMerge w:val="continue"/>
                  <w:vAlign w:val="center"/>
                </w:tcPr>
                <w:p w14:paraId="689CA704">
                  <w:pPr>
                    <w:pStyle w:val="83"/>
                    <w:rPr>
                      <w:rFonts w:hint="default"/>
                      <w:sz w:val="18"/>
                      <w:szCs w:val="18"/>
                    </w:rPr>
                  </w:pPr>
                </w:p>
              </w:tc>
              <w:tc>
                <w:tcPr>
                  <w:tcW w:w="1087" w:type="pct"/>
                  <w:vAlign w:val="center"/>
                </w:tcPr>
                <w:p w14:paraId="5CC043E8">
                  <w:pPr>
                    <w:pStyle w:val="83"/>
                    <w:rPr>
                      <w:rFonts w:hint="default"/>
                      <w:sz w:val="18"/>
                      <w:szCs w:val="18"/>
                    </w:rPr>
                  </w:pPr>
                  <w:r>
                    <w:rPr>
                      <w:sz w:val="18"/>
                      <w:szCs w:val="18"/>
                    </w:rPr>
                    <w:t>厂界上、下风向</w:t>
                  </w:r>
                </w:p>
              </w:tc>
              <w:tc>
                <w:tcPr>
                  <w:tcW w:w="1185" w:type="pct"/>
                  <w:vAlign w:val="center"/>
                </w:tcPr>
                <w:p w14:paraId="56F9F3FF">
                  <w:pPr>
                    <w:pStyle w:val="83"/>
                    <w:rPr>
                      <w:rFonts w:hint="default"/>
                      <w:sz w:val="18"/>
                      <w:szCs w:val="18"/>
                    </w:rPr>
                  </w:pPr>
                  <w:r>
                    <w:rPr>
                      <w:sz w:val="18"/>
                      <w:szCs w:val="18"/>
                    </w:rPr>
                    <w:t>非甲烷总烃、颗粒物</w:t>
                  </w:r>
                </w:p>
              </w:tc>
              <w:tc>
                <w:tcPr>
                  <w:tcW w:w="1000" w:type="pct"/>
                  <w:vAlign w:val="center"/>
                </w:tcPr>
                <w:p w14:paraId="4E1259DF">
                  <w:pPr>
                    <w:pStyle w:val="83"/>
                    <w:rPr>
                      <w:rFonts w:hint="default"/>
                      <w:sz w:val="18"/>
                      <w:szCs w:val="18"/>
                    </w:rPr>
                  </w:pPr>
                  <w:r>
                    <w:rPr>
                      <w:sz w:val="18"/>
                      <w:szCs w:val="18"/>
                    </w:rPr>
                    <w:t>1次/季度</w:t>
                  </w:r>
                </w:p>
              </w:tc>
              <w:tc>
                <w:tcPr>
                  <w:tcW w:w="999" w:type="pct"/>
                  <w:vMerge w:val="continue"/>
                  <w:vAlign w:val="center"/>
                </w:tcPr>
                <w:p w14:paraId="310EB0DB">
                  <w:pPr>
                    <w:pStyle w:val="83"/>
                    <w:rPr>
                      <w:rFonts w:hint="default"/>
                      <w:sz w:val="18"/>
                      <w:szCs w:val="18"/>
                    </w:rPr>
                  </w:pPr>
                </w:p>
              </w:tc>
            </w:tr>
            <w:tr w14:paraId="3FB5C1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28" w:type="pct"/>
                  <w:vMerge w:val="continue"/>
                  <w:vAlign w:val="center"/>
                </w:tcPr>
                <w:p w14:paraId="6BF84778">
                  <w:pPr>
                    <w:pStyle w:val="83"/>
                    <w:rPr>
                      <w:rFonts w:hint="default"/>
                      <w:sz w:val="18"/>
                      <w:szCs w:val="18"/>
                    </w:rPr>
                  </w:pPr>
                </w:p>
              </w:tc>
              <w:tc>
                <w:tcPr>
                  <w:tcW w:w="1087" w:type="pct"/>
                  <w:vAlign w:val="center"/>
                </w:tcPr>
                <w:p w14:paraId="2EDABB1C">
                  <w:pPr>
                    <w:pStyle w:val="83"/>
                    <w:rPr>
                      <w:rFonts w:hint="default"/>
                      <w:sz w:val="18"/>
                      <w:szCs w:val="18"/>
                    </w:rPr>
                  </w:pPr>
                  <w:r>
                    <w:rPr>
                      <w:sz w:val="18"/>
                      <w:szCs w:val="18"/>
                    </w:rPr>
                    <w:t>厂区内车间外</w:t>
                  </w:r>
                </w:p>
              </w:tc>
              <w:tc>
                <w:tcPr>
                  <w:tcW w:w="1185" w:type="pct"/>
                  <w:vAlign w:val="center"/>
                </w:tcPr>
                <w:p w14:paraId="1848E609">
                  <w:pPr>
                    <w:pStyle w:val="83"/>
                    <w:rPr>
                      <w:rFonts w:hint="default"/>
                      <w:sz w:val="18"/>
                      <w:szCs w:val="18"/>
                    </w:rPr>
                  </w:pPr>
                  <w:r>
                    <w:rPr>
                      <w:sz w:val="18"/>
                      <w:szCs w:val="18"/>
                    </w:rPr>
                    <w:t>非甲烷总烃</w:t>
                  </w:r>
                </w:p>
              </w:tc>
              <w:tc>
                <w:tcPr>
                  <w:tcW w:w="1000" w:type="pct"/>
                  <w:vAlign w:val="center"/>
                </w:tcPr>
                <w:p w14:paraId="3FAD97F9">
                  <w:pPr>
                    <w:pStyle w:val="83"/>
                    <w:rPr>
                      <w:rFonts w:hint="default"/>
                      <w:sz w:val="18"/>
                      <w:szCs w:val="18"/>
                    </w:rPr>
                  </w:pPr>
                  <w:r>
                    <w:rPr>
                      <w:sz w:val="18"/>
                      <w:szCs w:val="18"/>
                    </w:rPr>
                    <w:t>1次/季度</w:t>
                  </w:r>
                </w:p>
              </w:tc>
              <w:tc>
                <w:tcPr>
                  <w:tcW w:w="999" w:type="pct"/>
                  <w:vMerge w:val="continue"/>
                  <w:vAlign w:val="center"/>
                </w:tcPr>
                <w:p w14:paraId="01AC07D9">
                  <w:pPr>
                    <w:pStyle w:val="83"/>
                    <w:rPr>
                      <w:rFonts w:hint="default"/>
                      <w:sz w:val="18"/>
                      <w:szCs w:val="18"/>
                    </w:rPr>
                  </w:pPr>
                </w:p>
              </w:tc>
            </w:tr>
            <w:tr w14:paraId="4FA64E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28" w:type="pct"/>
                  <w:vAlign w:val="center"/>
                </w:tcPr>
                <w:p w14:paraId="3ADBE1D5">
                  <w:pPr>
                    <w:pStyle w:val="83"/>
                    <w:rPr>
                      <w:rFonts w:hint="default"/>
                      <w:sz w:val="18"/>
                      <w:szCs w:val="18"/>
                    </w:rPr>
                  </w:pPr>
                  <w:r>
                    <w:rPr>
                      <w:sz w:val="18"/>
                      <w:szCs w:val="18"/>
                    </w:rPr>
                    <w:t>废水</w:t>
                  </w:r>
                </w:p>
              </w:tc>
              <w:tc>
                <w:tcPr>
                  <w:tcW w:w="1087" w:type="pct"/>
                  <w:vAlign w:val="center"/>
                </w:tcPr>
                <w:p w14:paraId="207373FC">
                  <w:pPr>
                    <w:pStyle w:val="83"/>
                    <w:rPr>
                      <w:rFonts w:hint="default"/>
                      <w:sz w:val="18"/>
                      <w:szCs w:val="18"/>
                    </w:rPr>
                  </w:pPr>
                  <w:r>
                    <w:rPr>
                      <w:sz w:val="18"/>
                      <w:szCs w:val="18"/>
                    </w:rPr>
                    <w:t>生产废水排放口</w:t>
                  </w:r>
                </w:p>
              </w:tc>
              <w:tc>
                <w:tcPr>
                  <w:tcW w:w="1185" w:type="pct"/>
                  <w:vAlign w:val="center"/>
                </w:tcPr>
                <w:p w14:paraId="08354897">
                  <w:pPr>
                    <w:pStyle w:val="83"/>
                    <w:rPr>
                      <w:rFonts w:hint="default"/>
                      <w:sz w:val="18"/>
                      <w:szCs w:val="18"/>
                    </w:rPr>
                  </w:pPr>
                  <w:r>
                    <w:rPr>
                      <w:sz w:val="18"/>
                      <w:szCs w:val="18"/>
                    </w:rPr>
                    <w:t>pH、COD、BOD</w:t>
                  </w:r>
                  <w:r>
                    <w:rPr>
                      <w:sz w:val="18"/>
                      <w:szCs w:val="18"/>
                      <w:vertAlign w:val="subscript"/>
                    </w:rPr>
                    <w:t>5</w:t>
                  </w:r>
                  <w:r>
                    <w:rPr>
                      <w:sz w:val="18"/>
                      <w:szCs w:val="18"/>
                    </w:rPr>
                    <w:t>、氨氮、SS、总有机碳、石油类、可吸附有机卤化物</w:t>
                  </w:r>
                </w:p>
              </w:tc>
              <w:tc>
                <w:tcPr>
                  <w:tcW w:w="1000" w:type="pct"/>
                  <w:vAlign w:val="center"/>
                </w:tcPr>
                <w:p w14:paraId="7F2E8B9D">
                  <w:pPr>
                    <w:pStyle w:val="83"/>
                    <w:rPr>
                      <w:rFonts w:hint="default"/>
                      <w:sz w:val="18"/>
                      <w:szCs w:val="18"/>
                    </w:rPr>
                  </w:pPr>
                  <w:r>
                    <w:rPr>
                      <w:sz w:val="18"/>
                      <w:szCs w:val="18"/>
                    </w:rPr>
                    <w:t>/</w:t>
                  </w:r>
                </w:p>
              </w:tc>
              <w:tc>
                <w:tcPr>
                  <w:tcW w:w="999" w:type="pct"/>
                  <w:vMerge w:val="continue"/>
                  <w:vAlign w:val="center"/>
                </w:tcPr>
                <w:p w14:paraId="37AF002B">
                  <w:pPr>
                    <w:pStyle w:val="83"/>
                    <w:rPr>
                      <w:rFonts w:hint="default"/>
                      <w:sz w:val="18"/>
                      <w:szCs w:val="18"/>
                    </w:rPr>
                  </w:pPr>
                </w:p>
              </w:tc>
            </w:tr>
            <w:tr w14:paraId="07EC4C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28" w:type="pct"/>
                  <w:vAlign w:val="center"/>
                </w:tcPr>
                <w:p w14:paraId="3A1CBA5E">
                  <w:pPr>
                    <w:pStyle w:val="83"/>
                    <w:rPr>
                      <w:rFonts w:hint="default"/>
                      <w:sz w:val="18"/>
                      <w:szCs w:val="18"/>
                    </w:rPr>
                  </w:pPr>
                  <w:r>
                    <w:rPr>
                      <w:sz w:val="18"/>
                      <w:szCs w:val="18"/>
                    </w:rPr>
                    <w:t>噪声</w:t>
                  </w:r>
                </w:p>
              </w:tc>
              <w:tc>
                <w:tcPr>
                  <w:tcW w:w="1087" w:type="pct"/>
                  <w:vAlign w:val="center"/>
                </w:tcPr>
                <w:p w14:paraId="7B267625">
                  <w:pPr>
                    <w:pStyle w:val="83"/>
                    <w:rPr>
                      <w:rFonts w:hint="default"/>
                      <w:sz w:val="18"/>
                      <w:szCs w:val="18"/>
                    </w:rPr>
                  </w:pPr>
                  <w:r>
                    <w:rPr>
                      <w:sz w:val="18"/>
                      <w:szCs w:val="18"/>
                    </w:rPr>
                    <w:t>厂界四周1m</w:t>
                  </w:r>
                </w:p>
              </w:tc>
              <w:tc>
                <w:tcPr>
                  <w:tcW w:w="1185" w:type="pct"/>
                  <w:vAlign w:val="center"/>
                </w:tcPr>
                <w:p w14:paraId="0D8F6D05">
                  <w:pPr>
                    <w:pStyle w:val="83"/>
                    <w:rPr>
                      <w:rFonts w:hint="default"/>
                      <w:sz w:val="18"/>
                      <w:szCs w:val="18"/>
                    </w:rPr>
                  </w:pPr>
                  <w:r>
                    <w:rPr>
                      <w:sz w:val="18"/>
                      <w:szCs w:val="18"/>
                    </w:rPr>
                    <w:t>昼夜连续等效A声级、夜间最大声级</w:t>
                  </w:r>
                </w:p>
              </w:tc>
              <w:tc>
                <w:tcPr>
                  <w:tcW w:w="1000" w:type="pct"/>
                  <w:vAlign w:val="center"/>
                </w:tcPr>
                <w:p w14:paraId="52560ACB">
                  <w:pPr>
                    <w:pStyle w:val="83"/>
                    <w:rPr>
                      <w:rFonts w:hint="default"/>
                      <w:sz w:val="18"/>
                      <w:szCs w:val="18"/>
                    </w:rPr>
                  </w:pPr>
                  <w:r>
                    <w:rPr>
                      <w:sz w:val="18"/>
                      <w:szCs w:val="18"/>
                    </w:rPr>
                    <w:t>1次/季度</w:t>
                  </w:r>
                </w:p>
              </w:tc>
              <w:tc>
                <w:tcPr>
                  <w:tcW w:w="999" w:type="pct"/>
                  <w:vMerge w:val="continue"/>
                  <w:vAlign w:val="center"/>
                </w:tcPr>
                <w:p w14:paraId="49E8ED81">
                  <w:pPr>
                    <w:pStyle w:val="83"/>
                    <w:rPr>
                      <w:rFonts w:hint="default"/>
                      <w:sz w:val="18"/>
                      <w:szCs w:val="18"/>
                    </w:rPr>
                  </w:pPr>
                </w:p>
              </w:tc>
            </w:tr>
          </w:tbl>
          <w:p w14:paraId="0F50CD03">
            <w:pPr>
              <w:pStyle w:val="83"/>
              <w:jc w:val="both"/>
              <w:rPr>
                <w:rFonts w:hint="default"/>
              </w:rPr>
            </w:pPr>
          </w:p>
        </w:tc>
      </w:tr>
    </w:tbl>
    <w:p w14:paraId="06093050">
      <w:pPr>
        <w:pStyle w:val="14"/>
        <w:ind w:firstLine="600"/>
        <w:jc w:val="center"/>
        <w:outlineLvl w:val="0"/>
        <w:rPr>
          <w:rFonts w:hint="eastAsia" w:ascii="黑体" w:hAnsi="黑体" w:eastAsia="黑体"/>
          <w:snapToGrid w:val="0"/>
          <w:sz w:val="30"/>
          <w:szCs w:val="30"/>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p w14:paraId="298F287B">
      <w:pPr>
        <w:pStyle w:val="14"/>
        <w:spacing w:before="0" w:beforeAutospacing="0" w:after="0" w:afterAutospacing="0"/>
        <w:ind w:firstLine="0" w:firstLineChars="0"/>
        <w:jc w:val="center"/>
        <w:outlineLvl w:val="0"/>
        <w:rPr>
          <w:rFonts w:hint="eastAsia" w:ascii="黑体" w:hAnsi="黑体" w:eastAsia="黑体"/>
          <w:snapToGrid w:val="0"/>
          <w:sz w:val="30"/>
          <w:szCs w:val="30"/>
        </w:rPr>
      </w:pPr>
      <w:r>
        <w:rPr>
          <w:rFonts w:hint="eastAsia" w:ascii="黑体" w:hAnsi="黑体" w:eastAsia="黑体"/>
          <w:snapToGrid w:val="0"/>
          <w:sz w:val="30"/>
          <w:szCs w:val="30"/>
        </w:rPr>
        <w:t>六、结论</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ED336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7410D218">
            <w:pPr>
              <w:ind w:firstLine="480"/>
            </w:pPr>
            <w:r>
              <w:rPr>
                <w:rFonts w:hint="eastAsia"/>
              </w:rPr>
              <w:t>项目的建设符合产业政策，符合选址要求，项目建设具有较好的社会、经济效益；本项目运营期采取行之有效的污染防治措施，污染物做到达标排放，对当地环境影响较小；项目建设基本不会改变项目所在地的环境功能区划。项目在采取本报告提出的污染防治措施，认真执行环保“三同时”制度，加强环境管理的前提下，从环境保护角度分析，本项目建设是可行的。</w:t>
            </w:r>
          </w:p>
          <w:p w14:paraId="4458D3A3">
            <w:pPr>
              <w:ind w:firstLine="480"/>
            </w:pPr>
          </w:p>
          <w:p w14:paraId="1EBBE3DE">
            <w:pPr>
              <w:ind w:firstLine="480"/>
            </w:pPr>
          </w:p>
          <w:p w14:paraId="29217259">
            <w:pPr>
              <w:ind w:firstLine="480"/>
              <w:jc w:val="right"/>
            </w:pPr>
            <w:r>
              <w:rPr>
                <w:rFonts w:hint="eastAsia"/>
              </w:rPr>
              <w:t>中检集团福建创信环保科技有限公司</w:t>
            </w:r>
          </w:p>
          <w:p w14:paraId="032C8ABD">
            <w:pPr>
              <w:ind w:firstLine="480"/>
              <w:jc w:val="right"/>
            </w:pPr>
            <w:r>
              <w:rPr>
                <w:rFonts w:hint="eastAsia"/>
              </w:rPr>
              <w:t>2026年7月22日</w:t>
            </w:r>
          </w:p>
        </w:tc>
      </w:tr>
    </w:tbl>
    <w:p w14:paraId="67D6DFF2">
      <w:pPr>
        <w:ind w:firstLine="480"/>
        <w:rPr>
          <w:rFonts w:ascii="宋体"/>
        </w:rPr>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p>
    <w:p w14:paraId="395A2BB1">
      <w:pPr>
        <w:pStyle w:val="14"/>
        <w:adjustRightInd w:val="0"/>
        <w:snapToGrid w:val="0"/>
        <w:spacing w:before="0" w:beforeAutospacing="0" w:after="0" w:afterAutospacing="0" w:line="480" w:lineRule="auto"/>
        <w:ind w:firstLine="0" w:firstLineChars="0"/>
        <w:outlineLvl w:val="0"/>
        <w:rPr>
          <w:rFonts w:hint="eastAsia" w:ascii="黑体" w:hAnsi="黑体" w:eastAsia="黑体"/>
          <w:sz w:val="32"/>
          <w:szCs w:val="32"/>
        </w:rPr>
      </w:pPr>
      <w:r>
        <w:rPr>
          <w:rFonts w:hint="eastAsia" w:ascii="黑体" w:hAnsi="黑体" w:eastAsia="黑体"/>
          <w:sz w:val="32"/>
          <w:szCs w:val="32"/>
        </w:rPr>
        <w:t>附表</w:t>
      </w:r>
    </w:p>
    <w:p w14:paraId="534B0AE7">
      <w:pPr>
        <w:pStyle w:val="14"/>
        <w:adjustRightInd w:val="0"/>
        <w:snapToGrid w:val="0"/>
        <w:spacing w:before="0" w:beforeAutospacing="0" w:after="0" w:afterAutospacing="0" w:line="480" w:lineRule="auto"/>
        <w:ind w:firstLine="0" w:firstLineChars="0"/>
        <w:jc w:val="center"/>
        <w:outlineLvl w:val="0"/>
        <w:rPr>
          <w:rFonts w:hint="eastAsia" w:ascii="方正小标宋_GBK" w:hAnsi="黑体" w:eastAsia="方正小标宋_GBK"/>
          <w:sz w:val="38"/>
          <w:szCs w:val="38"/>
        </w:rPr>
      </w:pPr>
      <w:r>
        <w:rPr>
          <w:rFonts w:hint="eastAsia" w:ascii="方正小标宋_GBK" w:hAnsi="黑体" w:eastAsia="方正小标宋_GBK"/>
          <w:sz w:val="38"/>
          <w:szCs w:val="38"/>
        </w:rPr>
        <w:t>建设项目污染物排放量汇总表</w:t>
      </w:r>
    </w:p>
    <w:tbl>
      <w:tblPr>
        <w:tblStyle w:val="17"/>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1691"/>
        <w:gridCol w:w="1813"/>
        <w:gridCol w:w="1133"/>
        <w:gridCol w:w="1597"/>
        <w:gridCol w:w="1553"/>
        <w:gridCol w:w="1329"/>
        <w:gridCol w:w="1873"/>
        <w:gridCol w:w="912"/>
      </w:tblGrid>
      <w:tr w14:paraId="64754F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blHeader/>
        </w:trPr>
        <w:tc>
          <w:tcPr>
            <w:tcW w:w="428"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0EE2573">
            <w:pPr>
              <w:pStyle w:val="83"/>
              <w:rPr>
                <w:rFonts w:ascii="黑体" w:hAnsi="黑体" w:eastAsia="黑体" w:cs="黑体"/>
                <w:highlight w:val="none"/>
              </w:rPr>
            </w:pPr>
            <w:r>
              <w:rPr>
                <w:rFonts w:ascii="黑体" w:hAnsi="黑体" w:eastAsia="黑体" w:cs="黑体"/>
                <w:highlight w:val="none"/>
              </w:rPr>
              <w:t>项目</w:t>
            </w:r>
          </w:p>
          <w:p w14:paraId="4B1F64F9">
            <w:pPr>
              <w:pStyle w:val="83"/>
              <w:rPr>
                <w:rFonts w:ascii="黑体" w:hAnsi="黑体" w:eastAsia="黑体" w:cs="黑体"/>
                <w:highlight w:val="none"/>
              </w:rPr>
            </w:pPr>
            <w:r>
              <w:rPr>
                <w:rFonts w:ascii="黑体" w:hAnsi="黑体" w:eastAsia="黑体" w:cs="黑体"/>
                <w:highlight w:val="none"/>
              </w:rPr>
              <w:t>分类</w:t>
            </w:r>
          </w:p>
        </w:tc>
        <w:tc>
          <w:tcPr>
            <w:tcW w:w="64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0E718724">
            <w:pPr>
              <w:pStyle w:val="83"/>
              <w:rPr>
                <w:rFonts w:ascii="黑体" w:hAnsi="黑体" w:eastAsia="黑体" w:cs="黑体"/>
                <w:highlight w:val="none"/>
              </w:rPr>
            </w:pPr>
            <w:r>
              <w:rPr>
                <w:rFonts w:ascii="黑体" w:hAnsi="黑体" w:eastAsia="黑体" w:cs="黑体"/>
                <w:highlight w:val="none"/>
              </w:rPr>
              <w:t>污染物名称</w:t>
            </w:r>
          </w:p>
        </w:tc>
        <w:tc>
          <w:tcPr>
            <w:tcW w:w="69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45A377C">
            <w:pPr>
              <w:pStyle w:val="83"/>
              <w:rPr>
                <w:rFonts w:ascii="黑体" w:hAnsi="黑体" w:eastAsia="黑体" w:cs="黑体"/>
                <w:highlight w:val="none"/>
              </w:rPr>
            </w:pPr>
            <w:r>
              <w:rPr>
                <w:rFonts w:ascii="黑体" w:hAnsi="黑体" w:eastAsia="黑体" w:cs="黑体"/>
                <w:highlight w:val="none"/>
              </w:rPr>
              <w:t>现有工程</w:t>
            </w:r>
          </w:p>
          <w:p w14:paraId="040F6DDC">
            <w:pPr>
              <w:pStyle w:val="83"/>
              <w:rPr>
                <w:rFonts w:ascii="黑体" w:hAnsi="黑体" w:eastAsia="黑体" w:cs="黑体"/>
                <w:highlight w:val="none"/>
              </w:rPr>
            </w:pPr>
            <w:r>
              <w:rPr>
                <w:rFonts w:ascii="黑体" w:hAnsi="黑体" w:eastAsia="黑体" w:cs="黑体"/>
                <w:highlight w:val="none"/>
              </w:rPr>
              <w:t>排放量（固体废物产生量）①</w:t>
            </w:r>
          </w:p>
        </w:tc>
        <w:tc>
          <w:tcPr>
            <w:tcW w:w="4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0C3350">
            <w:pPr>
              <w:pStyle w:val="83"/>
              <w:rPr>
                <w:rFonts w:ascii="黑体" w:hAnsi="黑体" w:eastAsia="黑体" w:cs="黑体"/>
                <w:highlight w:val="none"/>
              </w:rPr>
            </w:pPr>
            <w:r>
              <w:rPr>
                <w:rFonts w:ascii="黑体" w:hAnsi="黑体" w:eastAsia="黑体" w:cs="黑体"/>
                <w:highlight w:val="none"/>
              </w:rPr>
              <w:t>现有工程许可排放量</w:t>
            </w:r>
          </w:p>
          <w:p w14:paraId="0E193FC9">
            <w:pPr>
              <w:pStyle w:val="83"/>
              <w:rPr>
                <w:rFonts w:ascii="黑体" w:hAnsi="黑体" w:eastAsia="黑体" w:cs="黑体"/>
                <w:highlight w:val="none"/>
              </w:rPr>
            </w:pPr>
            <w:r>
              <w:rPr>
                <w:rFonts w:ascii="黑体" w:hAnsi="黑体" w:eastAsia="黑体" w:cs="黑体"/>
                <w:highlight w:val="none"/>
              </w:rPr>
              <w:t>②</w:t>
            </w:r>
          </w:p>
        </w:tc>
        <w:tc>
          <w:tcPr>
            <w:tcW w:w="613"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9B0AC93">
            <w:pPr>
              <w:pStyle w:val="83"/>
              <w:rPr>
                <w:rFonts w:ascii="黑体" w:hAnsi="黑体" w:eastAsia="黑体" w:cs="黑体"/>
                <w:highlight w:val="none"/>
              </w:rPr>
            </w:pPr>
            <w:r>
              <w:rPr>
                <w:rFonts w:ascii="黑体" w:hAnsi="黑体" w:eastAsia="黑体" w:cs="黑体"/>
                <w:highlight w:val="none"/>
              </w:rPr>
              <w:t>在建工程</w:t>
            </w:r>
          </w:p>
          <w:p w14:paraId="09D98A34">
            <w:pPr>
              <w:pStyle w:val="83"/>
              <w:rPr>
                <w:rFonts w:ascii="黑体" w:hAnsi="黑体" w:eastAsia="黑体" w:cs="黑体"/>
                <w:highlight w:val="none"/>
              </w:rPr>
            </w:pPr>
            <w:r>
              <w:rPr>
                <w:rFonts w:ascii="黑体" w:hAnsi="黑体" w:eastAsia="黑体" w:cs="黑体"/>
                <w:highlight w:val="none"/>
              </w:rPr>
              <w:t>排放量（固体废物产生量）③</w:t>
            </w:r>
          </w:p>
        </w:tc>
        <w:tc>
          <w:tcPr>
            <w:tcW w:w="59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99797AC">
            <w:pPr>
              <w:pStyle w:val="83"/>
              <w:rPr>
                <w:rFonts w:ascii="黑体" w:hAnsi="黑体" w:eastAsia="黑体" w:cs="黑体"/>
                <w:highlight w:val="none"/>
              </w:rPr>
            </w:pPr>
            <w:r>
              <w:rPr>
                <w:rFonts w:ascii="黑体" w:hAnsi="黑体" w:eastAsia="黑体" w:cs="黑体"/>
                <w:highlight w:val="none"/>
              </w:rPr>
              <w:t>本项目</w:t>
            </w:r>
          </w:p>
          <w:p w14:paraId="47A296D2">
            <w:pPr>
              <w:pStyle w:val="83"/>
              <w:rPr>
                <w:rFonts w:ascii="黑体" w:hAnsi="黑体" w:eastAsia="黑体" w:cs="黑体"/>
                <w:highlight w:val="none"/>
              </w:rPr>
            </w:pPr>
            <w:r>
              <w:rPr>
                <w:rFonts w:ascii="黑体" w:hAnsi="黑体" w:eastAsia="黑体" w:cs="黑体"/>
                <w:highlight w:val="none"/>
              </w:rPr>
              <w:t>排放量（固体废物产生量）④</w:t>
            </w:r>
          </w:p>
        </w:tc>
        <w:tc>
          <w:tcPr>
            <w:tcW w:w="51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25835A8">
            <w:pPr>
              <w:pStyle w:val="83"/>
              <w:rPr>
                <w:rFonts w:ascii="黑体" w:hAnsi="黑体" w:eastAsia="黑体" w:cs="黑体"/>
                <w:highlight w:val="none"/>
              </w:rPr>
            </w:pPr>
            <w:r>
              <w:rPr>
                <w:rFonts w:ascii="黑体" w:hAnsi="黑体" w:eastAsia="黑体" w:cs="黑体"/>
                <w:highlight w:val="none"/>
              </w:rPr>
              <w:t>以新带老削减量（新建项目不填）⑤</w:t>
            </w:r>
          </w:p>
        </w:tc>
        <w:tc>
          <w:tcPr>
            <w:tcW w:w="71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0F4A6B">
            <w:pPr>
              <w:pStyle w:val="83"/>
              <w:rPr>
                <w:rFonts w:ascii="黑体" w:hAnsi="黑体" w:eastAsia="黑体" w:cs="黑体"/>
                <w:highlight w:val="none"/>
              </w:rPr>
            </w:pPr>
            <w:r>
              <w:rPr>
                <w:rFonts w:ascii="黑体" w:hAnsi="黑体" w:eastAsia="黑体" w:cs="黑体"/>
                <w:highlight w:val="none"/>
              </w:rPr>
              <w:t>本项目建成后</w:t>
            </w:r>
          </w:p>
          <w:p w14:paraId="5EA6C349">
            <w:pPr>
              <w:pStyle w:val="83"/>
              <w:rPr>
                <w:rFonts w:ascii="黑体" w:hAnsi="黑体" w:eastAsia="黑体" w:cs="黑体"/>
                <w:highlight w:val="none"/>
              </w:rPr>
            </w:pPr>
            <w:r>
              <w:rPr>
                <w:rFonts w:ascii="黑体" w:hAnsi="黑体" w:eastAsia="黑体" w:cs="黑体"/>
                <w:highlight w:val="none"/>
              </w:rPr>
              <w:t>全厂排放量（固体废物产生量）⑥</w:t>
            </w:r>
          </w:p>
        </w:tc>
        <w:tc>
          <w:tcPr>
            <w:tcW w:w="350"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EAE3F">
            <w:pPr>
              <w:pStyle w:val="83"/>
              <w:rPr>
                <w:rFonts w:ascii="黑体" w:hAnsi="黑体" w:eastAsia="黑体" w:cs="黑体"/>
                <w:highlight w:val="none"/>
              </w:rPr>
            </w:pPr>
            <w:r>
              <w:rPr>
                <w:rFonts w:ascii="黑体" w:hAnsi="黑体" w:eastAsia="黑体" w:cs="黑体"/>
                <w:highlight w:val="none"/>
              </w:rPr>
              <w:t>变化量</w:t>
            </w:r>
          </w:p>
          <w:p w14:paraId="688F81D9">
            <w:pPr>
              <w:pStyle w:val="83"/>
              <w:rPr>
                <w:rFonts w:ascii="黑体" w:hAnsi="黑体" w:eastAsia="黑体" w:cs="黑体"/>
                <w:highlight w:val="none"/>
              </w:rPr>
            </w:pPr>
            <w:r>
              <w:rPr>
                <w:rFonts w:ascii="黑体" w:hAnsi="黑体" w:eastAsia="黑体" w:cs="黑体"/>
                <w:highlight w:val="none"/>
              </w:rPr>
              <w:t>⑦</w:t>
            </w:r>
          </w:p>
        </w:tc>
      </w:tr>
      <w:tr w14:paraId="2C478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restart"/>
            <w:tcBorders>
              <w:top w:val="single" w:color="auto" w:sz="4" w:space="0"/>
              <w:left w:val="single" w:color="auto" w:sz="8" w:space="0"/>
              <w:right w:val="single" w:color="auto" w:sz="4" w:space="0"/>
            </w:tcBorders>
            <w:vAlign w:val="center"/>
          </w:tcPr>
          <w:p w14:paraId="03702547">
            <w:pPr>
              <w:pStyle w:val="83"/>
              <w:rPr>
                <w:rFonts w:hint="default"/>
                <w:highlight w:val="none"/>
              </w:rPr>
            </w:pPr>
            <w:r>
              <w:rPr>
                <w:highlight w:val="none"/>
              </w:rPr>
              <w:t>废气</w:t>
            </w:r>
          </w:p>
        </w:tc>
        <w:tc>
          <w:tcPr>
            <w:tcW w:w="649" w:type="pct"/>
            <w:tcBorders>
              <w:top w:val="single" w:color="auto" w:sz="4" w:space="0"/>
              <w:left w:val="single" w:color="auto" w:sz="4" w:space="0"/>
              <w:bottom w:val="single" w:color="auto" w:sz="4" w:space="0"/>
              <w:right w:val="single" w:color="auto" w:sz="4" w:space="0"/>
            </w:tcBorders>
            <w:vAlign w:val="center"/>
          </w:tcPr>
          <w:p w14:paraId="0052C247">
            <w:pPr>
              <w:pStyle w:val="83"/>
              <w:rPr>
                <w:rFonts w:hint="default"/>
                <w:highlight w:val="none"/>
              </w:rPr>
            </w:pPr>
            <w:r>
              <w:rPr>
                <w:highlight w:val="none"/>
              </w:rPr>
              <w:t>粉尘</w:t>
            </w:r>
          </w:p>
        </w:tc>
        <w:tc>
          <w:tcPr>
            <w:tcW w:w="696" w:type="pct"/>
            <w:tcBorders>
              <w:top w:val="single" w:color="auto" w:sz="4" w:space="0"/>
              <w:left w:val="single" w:color="auto" w:sz="4" w:space="0"/>
              <w:bottom w:val="single" w:color="auto" w:sz="4" w:space="0"/>
              <w:right w:val="single" w:color="auto" w:sz="4" w:space="0"/>
            </w:tcBorders>
            <w:vAlign w:val="center"/>
          </w:tcPr>
          <w:p w14:paraId="01F3DB17">
            <w:pPr>
              <w:pStyle w:val="83"/>
              <w:rPr>
                <w:rFonts w:hint="default" w:eastAsia="宋体"/>
                <w:highlight w:val="none"/>
                <w:lang w:val="en-US" w:eastAsia="zh-CN"/>
              </w:rPr>
            </w:pPr>
            <w:r>
              <w:rPr>
                <w:rFonts w:hint="eastAsia"/>
                <w:highlight w:val="none"/>
                <w:lang w:val="en-US" w:eastAsia="zh-CN"/>
              </w:rPr>
              <w:t>9.08</w:t>
            </w:r>
          </w:p>
        </w:tc>
        <w:tc>
          <w:tcPr>
            <w:tcW w:w="435" w:type="pct"/>
            <w:tcBorders>
              <w:top w:val="single" w:color="auto" w:sz="4" w:space="0"/>
              <w:left w:val="single" w:color="auto" w:sz="4" w:space="0"/>
              <w:bottom w:val="single" w:color="auto" w:sz="4" w:space="0"/>
              <w:right w:val="single" w:color="auto" w:sz="4" w:space="0"/>
            </w:tcBorders>
            <w:vAlign w:val="center"/>
          </w:tcPr>
          <w:p w14:paraId="0328A4CD">
            <w:pPr>
              <w:pStyle w:val="83"/>
              <w:rPr>
                <w:rFonts w:hint="default" w:eastAsia="宋体"/>
                <w:highlight w:val="none"/>
                <w:lang w:val="en-US" w:eastAsia="zh-CN"/>
              </w:rPr>
            </w:pPr>
            <w:r>
              <w:rPr>
                <w:rFonts w:hint="eastAsia"/>
                <w:highlight w:val="none"/>
                <w:lang w:val="en-US" w:eastAsia="zh-CN"/>
              </w:rPr>
              <w:t>9.08</w:t>
            </w:r>
          </w:p>
        </w:tc>
        <w:tc>
          <w:tcPr>
            <w:tcW w:w="613" w:type="pct"/>
            <w:tcBorders>
              <w:top w:val="single" w:color="auto" w:sz="4" w:space="0"/>
              <w:left w:val="single" w:color="auto" w:sz="4" w:space="0"/>
              <w:bottom w:val="single" w:color="auto" w:sz="4" w:space="0"/>
              <w:right w:val="single" w:color="auto" w:sz="4" w:space="0"/>
            </w:tcBorders>
            <w:vAlign w:val="center"/>
          </w:tcPr>
          <w:p w14:paraId="49470B1A">
            <w:pPr>
              <w:pStyle w:val="83"/>
              <w:rPr>
                <w:rFonts w:hint="default" w:eastAsia="宋体"/>
                <w:highlight w:val="none"/>
                <w:lang w:val="en-US" w:eastAsia="zh-CN"/>
              </w:rPr>
            </w:pPr>
            <w:r>
              <w:rPr>
                <w:rFonts w:hint="eastAsia"/>
                <w:highlight w:val="none"/>
                <w:lang w:val="en-US" w:eastAsia="zh-CN"/>
              </w:rPr>
              <w:t>1.52</w:t>
            </w:r>
          </w:p>
        </w:tc>
        <w:tc>
          <w:tcPr>
            <w:tcW w:w="596" w:type="pct"/>
            <w:tcBorders>
              <w:top w:val="single" w:color="auto" w:sz="4" w:space="0"/>
              <w:left w:val="single" w:color="auto" w:sz="4" w:space="0"/>
              <w:bottom w:val="single" w:color="auto" w:sz="4" w:space="0"/>
              <w:right w:val="single" w:color="auto" w:sz="4" w:space="0"/>
            </w:tcBorders>
            <w:vAlign w:val="center"/>
          </w:tcPr>
          <w:p w14:paraId="4581B8B4">
            <w:pPr>
              <w:pStyle w:val="83"/>
              <w:rPr>
                <w:rFonts w:hint="default"/>
                <w:highlight w:val="none"/>
              </w:rPr>
            </w:pPr>
            <w:r>
              <w:rPr>
                <w:highlight w:val="none"/>
              </w:rPr>
              <w:t>2.12</w:t>
            </w:r>
          </w:p>
        </w:tc>
        <w:tc>
          <w:tcPr>
            <w:tcW w:w="510" w:type="pct"/>
            <w:tcBorders>
              <w:top w:val="single" w:color="auto" w:sz="4" w:space="0"/>
              <w:left w:val="single" w:color="auto" w:sz="4" w:space="0"/>
              <w:bottom w:val="single" w:color="auto" w:sz="4" w:space="0"/>
              <w:right w:val="single" w:color="auto" w:sz="4" w:space="0"/>
            </w:tcBorders>
            <w:vAlign w:val="center"/>
          </w:tcPr>
          <w:p w14:paraId="1C97A1DE">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00297846">
            <w:pPr>
              <w:pStyle w:val="83"/>
              <w:rPr>
                <w:rFonts w:hint="default" w:eastAsia="宋体"/>
                <w:highlight w:val="none"/>
                <w:lang w:val="en-US" w:eastAsia="zh-CN"/>
              </w:rPr>
            </w:pPr>
            <w:r>
              <w:rPr>
                <w:rFonts w:hint="eastAsia"/>
                <w:highlight w:val="none"/>
                <w:lang w:val="en-US" w:eastAsia="zh-CN"/>
              </w:rPr>
              <w:t>12.72</w:t>
            </w:r>
          </w:p>
        </w:tc>
        <w:tc>
          <w:tcPr>
            <w:tcW w:w="350" w:type="pct"/>
            <w:tcBorders>
              <w:top w:val="single" w:color="auto" w:sz="4" w:space="0"/>
              <w:left w:val="single" w:color="auto" w:sz="4" w:space="0"/>
              <w:bottom w:val="single" w:color="auto" w:sz="4" w:space="0"/>
              <w:right w:val="single" w:color="auto" w:sz="8" w:space="0"/>
            </w:tcBorders>
            <w:vAlign w:val="center"/>
          </w:tcPr>
          <w:p w14:paraId="51F7D8DD">
            <w:pPr>
              <w:pStyle w:val="83"/>
              <w:rPr>
                <w:rFonts w:hint="default"/>
                <w:highlight w:val="none"/>
              </w:rPr>
            </w:pPr>
            <w:r>
              <w:rPr>
                <w:highlight w:val="none"/>
              </w:rPr>
              <w:t>+2.12</w:t>
            </w:r>
          </w:p>
        </w:tc>
      </w:tr>
      <w:tr w14:paraId="0A28D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4E62BC21">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3CD80A7E">
            <w:pPr>
              <w:pStyle w:val="83"/>
              <w:rPr>
                <w:rFonts w:hint="default"/>
                <w:highlight w:val="none"/>
              </w:rPr>
            </w:pPr>
            <w:r>
              <w:rPr>
                <w:highlight w:val="none"/>
              </w:rPr>
              <w:t>SO</w:t>
            </w:r>
            <w:r>
              <w:rPr>
                <w:highlight w:val="none"/>
                <w:vertAlign w:val="subscript"/>
              </w:rPr>
              <w:t>2</w:t>
            </w:r>
          </w:p>
        </w:tc>
        <w:tc>
          <w:tcPr>
            <w:tcW w:w="696" w:type="pct"/>
            <w:tcBorders>
              <w:top w:val="single" w:color="auto" w:sz="4" w:space="0"/>
              <w:left w:val="single" w:color="auto" w:sz="4" w:space="0"/>
              <w:bottom w:val="single" w:color="auto" w:sz="4" w:space="0"/>
              <w:right w:val="single" w:color="auto" w:sz="4" w:space="0"/>
            </w:tcBorders>
            <w:vAlign w:val="center"/>
          </w:tcPr>
          <w:p w14:paraId="471748B5">
            <w:pPr>
              <w:pStyle w:val="83"/>
              <w:rPr>
                <w:rFonts w:hint="default" w:eastAsia="宋体"/>
                <w:highlight w:val="none"/>
                <w:lang w:val="en-US" w:eastAsia="zh-CN"/>
              </w:rPr>
            </w:pPr>
            <w:r>
              <w:rPr>
                <w:rFonts w:hint="eastAsia"/>
                <w:highlight w:val="none"/>
                <w:lang w:val="en-US" w:eastAsia="zh-CN"/>
              </w:rPr>
              <w:t>11.73</w:t>
            </w:r>
          </w:p>
        </w:tc>
        <w:tc>
          <w:tcPr>
            <w:tcW w:w="435" w:type="pct"/>
            <w:tcBorders>
              <w:top w:val="single" w:color="auto" w:sz="4" w:space="0"/>
              <w:left w:val="single" w:color="auto" w:sz="4" w:space="0"/>
              <w:bottom w:val="single" w:color="auto" w:sz="4" w:space="0"/>
              <w:right w:val="single" w:color="auto" w:sz="4" w:space="0"/>
            </w:tcBorders>
            <w:vAlign w:val="center"/>
          </w:tcPr>
          <w:p w14:paraId="634D25C9">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21AF8EA7">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67004F18">
            <w:pPr>
              <w:pStyle w:val="83"/>
              <w:rPr>
                <w:rFonts w:hint="default"/>
                <w:highlight w:val="none"/>
              </w:rPr>
            </w:pPr>
          </w:p>
        </w:tc>
        <w:tc>
          <w:tcPr>
            <w:tcW w:w="510" w:type="pct"/>
            <w:tcBorders>
              <w:top w:val="single" w:color="auto" w:sz="4" w:space="0"/>
              <w:left w:val="single" w:color="auto" w:sz="4" w:space="0"/>
              <w:bottom w:val="single" w:color="auto" w:sz="4" w:space="0"/>
              <w:right w:val="single" w:color="auto" w:sz="4" w:space="0"/>
            </w:tcBorders>
            <w:vAlign w:val="center"/>
          </w:tcPr>
          <w:p w14:paraId="11E72EED">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6D000074">
            <w:pPr>
              <w:pStyle w:val="83"/>
              <w:rPr>
                <w:rFonts w:hint="default"/>
                <w:highlight w:val="none"/>
              </w:rPr>
            </w:pPr>
            <w:r>
              <w:rPr>
                <w:highlight w:val="none"/>
              </w:rPr>
              <w:t>12.83</w:t>
            </w:r>
          </w:p>
        </w:tc>
        <w:tc>
          <w:tcPr>
            <w:tcW w:w="350" w:type="pct"/>
            <w:tcBorders>
              <w:top w:val="single" w:color="auto" w:sz="4" w:space="0"/>
              <w:left w:val="single" w:color="auto" w:sz="4" w:space="0"/>
              <w:bottom w:val="single" w:color="auto" w:sz="4" w:space="0"/>
              <w:right w:val="single" w:color="auto" w:sz="8" w:space="0"/>
            </w:tcBorders>
            <w:vAlign w:val="center"/>
          </w:tcPr>
          <w:p w14:paraId="341E517C">
            <w:pPr>
              <w:pStyle w:val="83"/>
              <w:rPr>
                <w:rFonts w:hint="default"/>
                <w:highlight w:val="none"/>
              </w:rPr>
            </w:pPr>
          </w:p>
        </w:tc>
      </w:tr>
      <w:tr w14:paraId="03E00B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5C156A4F">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3C9C3D7A">
            <w:pPr>
              <w:pStyle w:val="83"/>
              <w:rPr>
                <w:rFonts w:hint="default"/>
                <w:highlight w:val="none"/>
              </w:rPr>
            </w:pPr>
            <w:r>
              <w:rPr>
                <w:highlight w:val="none"/>
              </w:rPr>
              <w:t>NOx</w:t>
            </w:r>
          </w:p>
        </w:tc>
        <w:tc>
          <w:tcPr>
            <w:tcW w:w="696" w:type="pct"/>
            <w:tcBorders>
              <w:top w:val="single" w:color="auto" w:sz="4" w:space="0"/>
              <w:left w:val="single" w:color="auto" w:sz="4" w:space="0"/>
              <w:bottom w:val="single" w:color="auto" w:sz="4" w:space="0"/>
              <w:right w:val="single" w:color="auto" w:sz="4" w:space="0"/>
            </w:tcBorders>
            <w:vAlign w:val="center"/>
          </w:tcPr>
          <w:p w14:paraId="50EF56EC">
            <w:pPr>
              <w:pStyle w:val="83"/>
              <w:rPr>
                <w:rFonts w:hint="default" w:eastAsia="宋体"/>
                <w:highlight w:val="none"/>
                <w:lang w:val="en-US" w:eastAsia="zh-CN"/>
              </w:rPr>
            </w:pPr>
            <w:r>
              <w:rPr>
                <w:rFonts w:hint="eastAsia"/>
                <w:highlight w:val="none"/>
                <w:lang w:val="en-US" w:eastAsia="zh-CN"/>
              </w:rPr>
              <w:t>19.1</w:t>
            </w:r>
          </w:p>
        </w:tc>
        <w:tc>
          <w:tcPr>
            <w:tcW w:w="435" w:type="pct"/>
            <w:tcBorders>
              <w:top w:val="single" w:color="auto" w:sz="4" w:space="0"/>
              <w:left w:val="single" w:color="auto" w:sz="4" w:space="0"/>
              <w:bottom w:val="single" w:color="auto" w:sz="4" w:space="0"/>
              <w:right w:val="single" w:color="auto" w:sz="4" w:space="0"/>
            </w:tcBorders>
            <w:vAlign w:val="center"/>
          </w:tcPr>
          <w:p w14:paraId="08E68144">
            <w:pPr>
              <w:pStyle w:val="83"/>
              <w:rPr>
                <w:rFonts w:hint="default" w:eastAsia="宋体"/>
                <w:highlight w:val="none"/>
                <w:lang w:val="en-US" w:eastAsia="zh-CN"/>
              </w:rPr>
            </w:pPr>
            <w:r>
              <w:rPr>
                <w:rFonts w:hint="eastAsia"/>
                <w:highlight w:val="none"/>
                <w:lang w:val="en-US" w:eastAsia="zh-CN"/>
              </w:rPr>
              <w:t>19.1</w:t>
            </w:r>
          </w:p>
        </w:tc>
        <w:tc>
          <w:tcPr>
            <w:tcW w:w="613" w:type="pct"/>
            <w:tcBorders>
              <w:top w:val="single" w:color="auto" w:sz="4" w:space="0"/>
              <w:left w:val="single" w:color="auto" w:sz="4" w:space="0"/>
              <w:bottom w:val="single" w:color="auto" w:sz="4" w:space="0"/>
              <w:right w:val="single" w:color="auto" w:sz="4" w:space="0"/>
            </w:tcBorders>
            <w:vAlign w:val="center"/>
          </w:tcPr>
          <w:p w14:paraId="0DF9C5E7">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4229EB3C">
            <w:pPr>
              <w:pStyle w:val="83"/>
              <w:rPr>
                <w:rFonts w:hint="default"/>
                <w:highlight w:val="none"/>
              </w:rPr>
            </w:pPr>
          </w:p>
        </w:tc>
        <w:tc>
          <w:tcPr>
            <w:tcW w:w="510" w:type="pct"/>
            <w:tcBorders>
              <w:top w:val="single" w:color="auto" w:sz="4" w:space="0"/>
              <w:left w:val="single" w:color="auto" w:sz="4" w:space="0"/>
              <w:bottom w:val="single" w:color="auto" w:sz="4" w:space="0"/>
              <w:right w:val="single" w:color="auto" w:sz="4" w:space="0"/>
            </w:tcBorders>
            <w:vAlign w:val="center"/>
          </w:tcPr>
          <w:p w14:paraId="5D323F1A">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6BABAE45">
            <w:pPr>
              <w:pStyle w:val="83"/>
              <w:rPr>
                <w:rFonts w:hint="default" w:eastAsia="宋体"/>
                <w:highlight w:val="none"/>
                <w:lang w:val="en-US" w:eastAsia="zh-CN"/>
              </w:rPr>
            </w:pPr>
            <w:r>
              <w:rPr>
                <w:rFonts w:hint="eastAsia"/>
                <w:highlight w:val="none"/>
                <w:lang w:val="en-US" w:eastAsia="zh-CN"/>
              </w:rPr>
              <w:t>19.1</w:t>
            </w:r>
          </w:p>
        </w:tc>
        <w:tc>
          <w:tcPr>
            <w:tcW w:w="350" w:type="pct"/>
            <w:tcBorders>
              <w:top w:val="single" w:color="auto" w:sz="4" w:space="0"/>
              <w:left w:val="single" w:color="auto" w:sz="4" w:space="0"/>
              <w:bottom w:val="single" w:color="auto" w:sz="4" w:space="0"/>
              <w:right w:val="single" w:color="auto" w:sz="8" w:space="0"/>
            </w:tcBorders>
            <w:vAlign w:val="center"/>
          </w:tcPr>
          <w:p w14:paraId="34498780">
            <w:pPr>
              <w:pStyle w:val="83"/>
              <w:rPr>
                <w:rFonts w:hint="default"/>
                <w:highlight w:val="none"/>
              </w:rPr>
            </w:pPr>
          </w:p>
        </w:tc>
      </w:tr>
      <w:tr w14:paraId="05CC5A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45334F36">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5C729A1D">
            <w:pPr>
              <w:pStyle w:val="83"/>
              <w:rPr>
                <w:rFonts w:hint="default"/>
                <w:highlight w:val="none"/>
              </w:rPr>
            </w:pPr>
            <w:r>
              <w:rPr>
                <w:highlight w:val="none"/>
              </w:rPr>
              <w:t>非甲烷总烃</w:t>
            </w:r>
          </w:p>
        </w:tc>
        <w:tc>
          <w:tcPr>
            <w:tcW w:w="696" w:type="pct"/>
            <w:tcBorders>
              <w:top w:val="single" w:color="auto" w:sz="4" w:space="0"/>
              <w:left w:val="single" w:color="auto" w:sz="4" w:space="0"/>
              <w:bottom w:val="single" w:color="auto" w:sz="4" w:space="0"/>
              <w:right w:val="single" w:color="auto" w:sz="4" w:space="0"/>
            </w:tcBorders>
            <w:vAlign w:val="center"/>
          </w:tcPr>
          <w:p w14:paraId="338F4006">
            <w:pPr>
              <w:pStyle w:val="83"/>
              <w:rPr>
                <w:rFonts w:hint="default" w:eastAsia="宋体"/>
                <w:highlight w:val="none"/>
                <w:lang w:val="en-US" w:eastAsia="zh-CN"/>
              </w:rPr>
            </w:pPr>
            <w:r>
              <w:rPr>
                <w:rFonts w:hint="eastAsia"/>
                <w:highlight w:val="none"/>
                <w:lang w:val="en-US" w:eastAsia="zh-CN"/>
              </w:rPr>
              <w:t>17.87</w:t>
            </w:r>
          </w:p>
        </w:tc>
        <w:tc>
          <w:tcPr>
            <w:tcW w:w="435" w:type="pct"/>
            <w:tcBorders>
              <w:top w:val="single" w:color="auto" w:sz="4" w:space="0"/>
              <w:left w:val="single" w:color="auto" w:sz="4" w:space="0"/>
              <w:bottom w:val="single" w:color="auto" w:sz="4" w:space="0"/>
              <w:right w:val="single" w:color="auto" w:sz="4" w:space="0"/>
            </w:tcBorders>
            <w:vAlign w:val="center"/>
          </w:tcPr>
          <w:p w14:paraId="1997F8D4">
            <w:pPr>
              <w:pStyle w:val="83"/>
              <w:rPr>
                <w:rFonts w:hint="default" w:eastAsia="宋体"/>
                <w:highlight w:val="none"/>
                <w:lang w:val="en-US" w:eastAsia="zh-CN"/>
              </w:rPr>
            </w:pPr>
            <w:r>
              <w:rPr>
                <w:rFonts w:hint="eastAsia"/>
                <w:highlight w:val="none"/>
                <w:lang w:val="en-US" w:eastAsia="zh-CN"/>
              </w:rPr>
              <w:t>17.87</w:t>
            </w:r>
          </w:p>
        </w:tc>
        <w:tc>
          <w:tcPr>
            <w:tcW w:w="613" w:type="pct"/>
            <w:tcBorders>
              <w:top w:val="single" w:color="auto" w:sz="4" w:space="0"/>
              <w:left w:val="single" w:color="auto" w:sz="4" w:space="0"/>
              <w:bottom w:val="single" w:color="auto" w:sz="4" w:space="0"/>
              <w:right w:val="single" w:color="auto" w:sz="4" w:space="0"/>
            </w:tcBorders>
            <w:vAlign w:val="center"/>
          </w:tcPr>
          <w:p w14:paraId="76319DE7">
            <w:pPr>
              <w:pStyle w:val="83"/>
              <w:rPr>
                <w:rFonts w:hint="default" w:eastAsia="宋体"/>
                <w:highlight w:val="none"/>
                <w:lang w:val="en-US" w:eastAsia="zh-CN"/>
              </w:rPr>
            </w:pPr>
            <w:r>
              <w:rPr>
                <w:rFonts w:hint="eastAsia"/>
                <w:highlight w:val="none"/>
                <w:lang w:val="en-US" w:eastAsia="zh-CN"/>
              </w:rPr>
              <w:t>1.96</w:t>
            </w:r>
          </w:p>
        </w:tc>
        <w:tc>
          <w:tcPr>
            <w:tcW w:w="596" w:type="pct"/>
            <w:tcBorders>
              <w:top w:val="single" w:color="auto" w:sz="4" w:space="0"/>
              <w:left w:val="single" w:color="auto" w:sz="4" w:space="0"/>
              <w:bottom w:val="single" w:color="auto" w:sz="4" w:space="0"/>
              <w:right w:val="single" w:color="auto" w:sz="4" w:space="0"/>
            </w:tcBorders>
            <w:vAlign w:val="center"/>
          </w:tcPr>
          <w:p w14:paraId="68838C4B">
            <w:pPr>
              <w:pStyle w:val="83"/>
              <w:rPr>
                <w:rFonts w:hint="default"/>
                <w:highlight w:val="none"/>
              </w:rPr>
            </w:pPr>
            <w:r>
              <w:rPr>
                <w:highlight w:val="none"/>
              </w:rPr>
              <w:t>1.105</w:t>
            </w:r>
          </w:p>
        </w:tc>
        <w:tc>
          <w:tcPr>
            <w:tcW w:w="510" w:type="pct"/>
            <w:tcBorders>
              <w:top w:val="single" w:color="auto" w:sz="4" w:space="0"/>
              <w:left w:val="single" w:color="auto" w:sz="4" w:space="0"/>
              <w:bottom w:val="single" w:color="auto" w:sz="4" w:space="0"/>
              <w:right w:val="single" w:color="auto" w:sz="4" w:space="0"/>
            </w:tcBorders>
            <w:vAlign w:val="center"/>
          </w:tcPr>
          <w:p w14:paraId="19AA104F">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2C40723A">
            <w:pPr>
              <w:pStyle w:val="83"/>
              <w:rPr>
                <w:rFonts w:hint="default" w:eastAsia="宋体"/>
                <w:highlight w:val="none"/>
                <w:lang w:val="en-US" w:eastAsia="zh-CN"/>
              </w:rPr>
            </w:pPr>
            <w:r>
              <w:rPr>
                <w:rFonts w:hint="eastAsia"/>
                <w:highlight w:val="none"/>
                <w:lang w:val="en-US" w:eastAsia="zh-CN"/>
              </w:rPr>
              <w:t>20.935</w:t>
            </w:r>
          </w:p>
        </w:tc>
        <w:tc>
          <w:tcPr>
            <w:tcW w:w="350" w:type="pct"/>
            <w:tcBorders>
              <w:top w:val="single" w:color="auto" w:sz="4" w:space="0"/>
              <w:left w:val="single" w:color="auto" w:sz="4" w:space="0"/>
              <w:bottom w:val="single" w:color="auto" w:sz="4" w:space="0"/>
              <w:right w:val="single" w:color="auto" w:sz="8" w:space="0"/>
            </w:tcBorders>
            <w:vAlign w:val="center"/>
          </w:tcPr>
          <w:p w14:paraId="3F6AF882">
            <w:pPr>
              <w:pStyle w:val="83"/>
              <w:rPr>
                <w:rFonts w:hint="default"/>
                <w:highlight w:val="none"/>
              </w:rPr>
            </w:pPr>
            <w:r>
              <w:rPr>
                <w:highlight w:val="none"/>
              </w:rPr>
              <w:t>+1.105</w:t>
            </w:r>
          </w:p>
        </w:tc>
      </w:tr>
      <w:tr w14:paraId="7A761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restart"/>
            <w:tcBorders>
              <w:top w:val="single" w:color="auto" w:sz="4" w:space="0"/>
              <w:left w:val="single" w:color="auto" w:sz="8" w:space="0"/>
              <w:right w:val="single" w:color="auto" w:sz="4" w:space="0"/>
            </w:tcBorders>
            <w:vAlign w:val="center"/>
          </w:tcPr>
          <w:p w14:paraId="61C29B80">
            <w:pPr>
              <w:pStyle w:val="83"/>
              <w:rPr>
                <w:rFonts w:hint="default"/>
                <w:highlight w:val="none"/>
              </w:rPr>
            </w:pPr>
            <w:r>
              <w:rPr>
                <w:highlight w:val="none"/>
              </w:rPr>
              <w:t>废水</w:t>
            </w:r>
          </w:p>
        </w:tc>
        <w:tc>
          <w:tcPr>
            <w:tcW w:w="649" w:type="pct"/>
            <w:tcBorders>
              <w:top w:val="single" w:color="auto" w:sz="4" w:space="0"/>
              <w:left w:val="single" w:color="auto" w:sz="4" w:space="0"/>
              <w:bottom w:val="single" w:color="auto" w:sz="4" w:space="0"/>
              <w:right w:val="single" w:color="auto" w:sz="4" w:space="0"/>
            </w:tcBorders>
            <w:vAlign w:val="center"/>
          </w:tcPr>
          <w:p w14:paraId="1231E3CA">
            <w:pPr>
              <w:pStyle w:val="83"/>
              <w:rPr>
                <w:rFonts w:hint="eastAsia" w:eastAsia="宋体"/>
                <w:highlight w:val="none"/>
                <w:lang w:val="en-US" w:eastAsia="zh-CN"/>
              </w:rPr>
            </w:pPr>
            <w:r>
              <w:rPr>
                <w:rFonts w:hint="eastAsia"/>
                <w:highlight w:val="none"/>
                <w:lang w:val="en-US" w:eastAsia="zh-CN"/>
              </w:rPr>
              <w:t>废水量（万</w:t>
            </w:r>
            <w:r>
              <w:rPr>
                <w:highlight w:val="none"/>
              </w:rPr>
              <w:t>m</w:t>
            </w:r>
            <w:r>
              <w:rPr>
                <w:highlight w:val="none"/>
                <w:vertAlign w:val="superscript"/>
              </w:rPr>
              <w:t>3</w:t>
            </w:r>
            <w:r>
              <w:rPr>
                <w:highlight w:val="none"/>
              </w:rPr>
              <w:t>/a</w:t>
            </w:r>
            <w:r>
              <w:rPr>
                <w:rFonts w:hint="eastAsia"/>
                <w:highlight w:val="none"/>
                <w:lang w:val="en-US" w:eastAsia="zh-CN"/>
              </w:rPr>
              <w:t>）</w:t>
            </w:r>
          </w:p>
        </w:tc>
        <w:tc>
          <w:tcPr>
            <w:tcW w:w="696" w:type="pct"/>
            <w:tcBorders>
              <w:top w:val="single" w:color="auto" w:sz="4" w:space="0"/>
              <w:left w:val="single" w:color="auto" w:sz="4" w:space="0"/>
              <w:bottom w:val="single" w:color="auto" w:sz="4" w:space="0"/>
              <w:right w:val="single" w:color="auto" w:sz="4" w:space="0"/>
            </w:tcBorders>
            <w:vAlign w:val="center"/>
          </w:tcPr>
          <w:p w14:paraId="61BF3B51">
            <w:pPr>
              <w:pStyle w:val="83"/>
              <w:rPr>
                <w:rFonts w:hint="default" w:eastAsia="宋体"/>
                <w:highlight w:val="none"/>
                <w:lang w:val="en-US" w:eastAsia="zh-CN"/>
              </w:rPr>
            </w:pPr>
            <w:r>
              <w:rPr>
                <w:rFonts w:hint="eastAsia"/>
                <w:highlight w:val="none"/>
                <w:lang w:val="en-US" w:eastAsia="zh-CN"/>
              </w:rPr>
              <w:t>10.23</w:t>
            </w:r>
          </w:p>
        </w:tc>
        <w:tc>
          <w:tcPr>
            <w:tcW w:w="435" w:type="pct"/>
            <w:tcBorders>
              <w:top w:val="single" w:color="auto" w:sz="4" w:space="0"/>
              <w:left w:val="single" w:color="auto" w:sz="4" w:space="0"/>
              <w:bottom w:val="single" w:color="auto" w:sz="4" w:space="0"/>
              <w:right w:val="single" w:color="auto" w:sz="4" w:space="0"/>
            </w:tcBorders>
            <w:vAlign w:val="center"/>
          </w:tcPr>
          <w:p w14:paraId="565B6DAC">
            <w:pPr>
              <w:pStyle w:val="83"/>
              <w:rPr>
                <w:rFonts w:hint="default" w:eastAsia="宋体"/>
                <w:highlight w:val="none"/>
                <w:lang w:val="en-US" w:eastAsia="zh-CN"/>
              </w:rPr>
            </w:pPr>
          </w:p>
        </w:tc>
        <w:tc>
          <w:tcPr>
            <w:tcW w:w="613" w:type="pct"/>
            <w:tcBorders>
              <w:top w:val="single" w:color="auto" w:sz="4" w:space="0"/>
              <w:left w:val="single" w:color="auto" w:sz="4" w:space="0"/>
              <w:bottom w:val="single" w:color="auto" w:sz="4" w:space="0"/>
              <w:right w:val="single" w:color="auto" w:sz="4" w:space="0"/>
            </w:tcBorders>
            <w:vAlign w:val="center"/>
          </w:tcPr>
          <w:p w14:paraId="39C70BC1">
            <w:pPr>
              <w:pStyle w:val="83"/>
              <w:rPr>
                <w:rFonts w:hint="default" w:eastAsia="宋体"/>
                <w:highlight w:val="none"/>
                <w:lang w:val="en-US" w:eastAsia="zh-CN"/>
              </w:rPr>
            </w:pPr>
            <w:r>
              <w:rPr>
                <w:rFonts w:hint="eastAsia"/>
                <w:highlight w:val="none"/>
                <w:lang w:val="en-US" w:eastAsia="zh-CN"/>
              </w:rPr>
              <w:t>0.87</w:t>
            </w:r>
          </w:p>
        </w:tc>
        <w:tc>
          <w:tcPr>
            <w:tcW w:w="596" w:type="pct"/>
            <w:tcBorders>
              <w:top w:val="single" w:color="auto" w:sz="4" w:space="0"/>
              <w:left w:val="single" w:color="auto" w:sz="4" w:space="0"/>
              <w:bottom w:val="single" w:color="auto" w:sz="4" w:space="0"/>
              <w:right w:val="single" w:color="auto" w:sz="4" w:space="0"/>
            </w:tcBorders>
            <w:vAlign w:val="center"/>
          </w:tcPr>
          <w:p w14:paraId="32712385">
            <w:pPr>
              <w:pStyle w:val="83"/>
              <w:tabs>
                <w:tab w:val="left" w:pos="415"/>
              </w:tabs>
              <w:jc w:val="center"/>
              <w:rPr>
                <w:rFonts w:hint="default" w:eastAsia="宋体"/>
                <w:highlight w:val="none"/>
                <w:lang w:val="en-US" w:eastAsia="zh-CN"/>
              </w:rPr>
            </w:pPr>
            <w:r>
              <w:rPr>
                <w:rFonts w:hint="eastAsia"/>
                <w:highlight w:val="none"/>
                <w:lang w:val="en-US" w:eastAsia="zh-CN"/>
              </w:rPr>
              <w:t>0.45</w:t>
            </w:r>
          </w:p>
        </w:tc>
        <w:tc>
          <w:tcPr>
            <w:tcW w:w="510" w:type="pct"/>
            <w:tcBorders>
              <w:top w:val="single" w:color="auto" w:sz="4" w:space="0"/>
              <w:left w:val="single" w:color="auto" w:sz="4" w:space="0"/>
              <w:bottom w:val="single" w:color="auto" w:sz="4" w:space="0"/>
              <w:right w:val="single" w:color="auto" w:sz="4" w:space="0"/>
            </w:tcBorders>
            <w:vAlign w:val="center"/>
          </w:tcPr>
          <w:p w14:paraId="3E3C190F">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6E9CB6D1">
            <w:pPr>
              <w:pStyle w:val="83"/>
              <w:rPr>
                <w:rFonts w:hint="default" w:eastAsia="宋体"/>
                <w:highlight w:val="none"/>
                <w:lang w:val="en-US" w:eastAsia="zh-CN"/>
              </w:rPr>
            </w:pPr>
            <w:r>
              <w:rPr>
                <w:rFonts w:hint="eastAsia"/>
                <w:highlight w:val="none"/>
                <w:lang w:val="en-US" w:eastAsia="zh-CN"/>
              </w:rPr>
              <w:t>11.55</w:t>
            </w:r>
          </w:p>
        </w:tc>
        <w:tc>
          <w:tcPr>
            <w:tcW w:w="350" w:type="pct"/>
            <w:tcBorders>
              <w:top w:val="single" w:color="auto" w:sz="4" w:space="0"/>
              <w:left w:val="single" w:color="auto" w:sz="4" w:space="0"/>
              <w:bottom w:val="single" w:color="auto" w:sz="4" w:space="0"/>
              <w:right w:val="single" w:color="auto" w:sz="8" w:space="0"/>
            </w:tcBorders>
            <w:vAlign w:val="center"/>
          </w:tcPr>
          <w:p w14:paraId="5E8A06FD">
            <w:pPr>
              <w:pStyle w:val="83"/>
              <w:rPr>
                <w:rFonts w:hint="default"/>
                <w:highlight w:val="none"/>
                <w:lang w:val="en-US"/>
              </w:rPr>
            </w:pPr>
            <w:r>
              <w:rPr>
                <w:highlight w:val="none"/>
              </w:rPr>
              <w:t>+</w:t>
            </w:r>
            <w:r>
              <w:rPr>
                <w:rFonts w:hint="eastAsia"/>
                <w:highlight w:val="none"/>
                <w:lang w:val="en-US" w:eastAsia="zh-CN"/>
              </w:rPr>
              <w:t>0.45</w:t>
            </w:r>
          </w:p>
        </w:tc>
      </w:tr>
      <w:tr w14:paraId="7461F3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0BA9B792">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08F415E3">
            <w:pPr>
              <w:pStyle w:val="83"/>
              <w:rPr>
                <w:rFonts w:hint="default"/>
                <w:highlight w:val="none"/>
              </w:rPr>
            </w:pPr>
            <w:r>
              <w:rPr>
                <w:highlight w:val="none"/>
              </w:rPr>
              <w:t>COD</w:t>
            </w:r>
          </w:p>
        </w:tc>
        <w:tc>
          <w:tcPr>
            <w:tcW w:w="696" w:type="pct"/>
            <w:tcBorders>
              <w:top w:val="single" w:color="auto" w:sz="4" w:space="0"/>
              <w:left w:val="single" w:color="auto" w:sz="4" w:space="0"/>
              <w:bottom w:val="single" w:color="auto" w:sz="4" w:space="0"/>
              <w:right w:val="single" w:color="auto" w:sz="4" w:space="0"/>
            </w:tcBorders>
            <w:vAlign w:val="center"/>
          </w:tcPr>
          <w:p w14:paraId="16F861A3">
            <w:pPr>
              <w:pStyle w:val="83"/>
              <w:rPr>
                <w:rFonts w:hint="default" w:eastAsia="宋体"/>
                <w:highlight w:val="none"/>
                <w:lang w:val="en-US" w:eastAsia="zh-CN"/>
              </w:rPr>
            </w:pPr>
            <w:r>
              <w:rPr>
                <w:rFonts w:hint="eastAsia"/>
                <w:highlight w:val="none"/>
                <w:lang w:val="en-US" w:eastAsia="zh-CN"/>
              </w:rPr>
              <w:t>7.71</w:t>
            </w:r>
          </w:p>
        </w:tc>
        <w:tc>
          <w:tcPr>
            <w:tcW w:w="435" w:type="pct"/>
            <w:tcBorders>
              <w:top w:val="single" w:color="auto" w:sz="4" w:space="0"/>
              <w:left w:val="single" w:color="auto" w:sz="4" w:space="0"/>
              <w:bottom w:val="single" w:color="auto" w:sz="4" w:space="0"/>
              <w:right w:val="single" w:color="auto" w:sz="4" w:space="0"/>
            </w:tcBorders>
            <w:vAlign w:val="center"/>
          </w:tcPr>
          <w:p w14:paraId="51C65838">
            <w:pPr>
              <w:pStyle w:val="83"/>
              <w:rPr>
                <w:rFonts w:hint="default" w:eastAsia="宋体"/>
                <w:highlight w:val="none"/>
                <w:lang w:val="en-US" w:eastAsia="zh-CN"/>
              </w:rPr>
            </w:pPr>
            <w:r>
              <w:rPr>
                <w:rFonts w:hint="eastAsia"/>
                <w:highlight w:val="none"/>
                <w:lang w:val="en-US" w:eastAsia="zh-CN"/>
              </w:rPr>
              <w:t>50.877</w:t>
            </w:r>
          </w:p>
        </w:tc>
        <w:tc>
          <w:tcPr>
            <w:tcW w:w="613" w:type="pct"/>
            <w:tcBorders>
              <w:top w:val="single" w:color="auto" w:sz="4" w:space="0"/>
              <w:left w:val="single" w:color="auto" w:sz="4" w:space="0"/>
              <w:bottom w:val="single" w:color="auto" w:sz="4" w:space="0"/>
              <w:right w:val="single" w:color="auto" w:sz="4" w:space="0"/>
            </w:tcBorders>
            <w:vAlign w:val="center"/>
          </w:tcPr>
          <w:p w14:paraId="41334A6A">
            <w:pPr>
              <w:pStyle w:val="83"/>
              <w:rPr>
                <w:rFonts w:hint="default" w:eastAsia="宋体"/>
                <w:highlight w:val="none"/>
                <w:lang w:val="en-US" w:eastAsia="zh-CN"/>
              </w:rPr>
            </w:pPr>
            <w:r>
              <w:rPr>
                <w:rFonts w:hint="eastAsia"/>
                <w:highlight w:val="none"/>
                <w:lang w:val="en-US" w:eastAsia="zh-CN"/>
              </w:rPr>
              <w:t>0.392</w:t>
            </w:r>
          </w:p>
        </w:tc>
        <w:tc>
          <w:tcPr>
            <w:tcW w:w="596" w:type="pct"/>
            <w:tcBorders>
              <w:top w:val="single" w:color="auto" w:sz="4" w:space="0"/>
              <w:left w:val="single" w:color="auto" w:sz="4" w:space="0"/>
              <w:bottom w:val="single" w:color="auto" w:sz="4" w:space="0"/>
              <w:right w:val="single" w:color="auto" w:sz="4" w:space="0"/>
            </w:tcBorders>
            <w:vAlign w:val="center"/>
          </w:tcPr>
          <w:p w14:paraId="67BA97D3">
            <w:pPr>
              <w:pStyle w:val="83"/>
              <w:rPr>
                <w:rFonts w:hint="default" w:eastAsia="宋体"/>
                <w:highlight w:val="none"/>
                <w:lang w:val="en-US" w:eastAsia="zh-CN"/>
              </w:rPr>
            </w:pPr>
            <w:r>
              <w:rPr>
                <w:rFonts w:hint="eastAsia"/>
                <w:highlight w:val="none"/>
                <w:lang w:val="en-US" w:eastAsia="zh-CN"/>
              </w:rPr>
              <w:t>0.3</w:t>
            </w:r>
          </w:p>
        </w:tc>
        <w:tc>
          <w:tcPr>
            <w:tcW w:w="510" w:type="pct"/>
            <w:tcBorders>
              <w:top w:val="single" w:color="auto" w:sz="4" w:space="0"/>
              <w:left w:val="single" w:color="auto" w:sz="4" w:space="0"/>
              <w:bottom w:val="single" w:color="auto" w:sz="4" w:space="0"/>
              <w:right w:val="single" w:color="auto" w:sz="4" w:space="0"/>
            </w:tcBorders>
            <w:vAlign w:val="center"/>
          </w:tcPr>
          <w:p w14:paraId="7C5F7940">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75BB9943">
            <w:pPr>
              <w:pStyle w:val="83"/>
              <w:rPr>
                <w:rFonts w:hint="default" w:eastAsia="宋体"/>
                <w:highlight w:val="none"/>
                <w:lang w:val="en-US" w:eastAsia="zh-CN"/>
              </w:rPr>
            </w:pPr>
            <w:r>
              <w:rPr>
                <w:rFonts w:hint="eastAsia"/>
                <w:highlight w:val="none"/>
                <w:lang w:val="en-US" w:eastAsia="zh-CN"/>
              </w:rPr>
              <w:t>8.402</w:t>
            </w:r>
          </w:p>
        </w:tc>
        <w:tc>
          <w:tcPr>
            <w:tcW w:w="350" w:type="pct"/>
            <w:tcBorders>
              <w:top w:val="single" w:color="auto" w:sz="4" w:space="0"/>
              <w:left w:val="single" w:color="auto" w:sz="4" w:space="0"/>
              <w:bottom w:val="single" w:color="auto" w:sz="4" w:space="0"/>
              <w:right w:val="single" w:color="auto" w:sz="8" w:space="0"/>
            </w:tcBorders>
            <w:vAlign w:val="center"/>
          </w:tcPr>
          <w:p w14:paraId="38F399D9">
            <w:pPr>
              <w:pStyle w:val="83"/>
              <w:rPr>
                <w:rFonts w:hint="default" w:eastAsia="宋体"/>
                <w:highlight w:val="none"/>
                <w:lang w:val="en-US" w:eastAsia="zh-CN"/>
              </w:rPr>
            </w:pPr>
            <w:r>
              <w:rPr>
                <w:highlight w:val="none"/>
              </w:rPr>
              <w:t>+</w:t>
            </w:r>
            <w:r>
              <w:rPr>
                <w:rFonts w:hint="eastAsia"/>
                <w:highlight w:val="none"/>
                <w:lang w:val="en-US" w:eastAsia="zh-CN"/>
              </w:rPr>
              <w:t>0.3</w:t>
            </w:r>
          </w:p>
        </w:tc>
      </w:tr>
      <w:tr w14:paraId="767E20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bottom w:val="single" w:color="auto" w:sz="4" w:space="0"/>
              <w:right w:val="single" w:color="auto" w:sz="4" w:space="0"/>
            </w:tcBorders>
            <w:vAlign w:val="center"/>
          </w:tcPr>
          <w:p w14:paraId="6CB6E030">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3EC38BF2">
            <w:pPr>
              <w:pStyle w:val="83"/>
              <w:rPr>
                <w:rFonts w:hint="default"/>
                <w:highlight w:val="none"/>
              </w:rPr>
            </w:pPr>
            <w:r>
              <w:rPr>
                <w:highlight w:val="none"/>
              </w:rPr>
              <w:t>氨氮</w:t>
            </w:r>
          </w:p>
        </w:tc>
        <w:tc>
          <w:tcPr>
            <w:tcW w:w="696" w:type="pct"/>
            <w:tcBorders>
              <w:top w:val="single" w:color="auto" w:sz="4" w:space="0"/>
              <w:left w:val="single" w:color="auto" w:sz="4" w:space="0"/>
              <w:bottom w:val="single" w:color="auto" w:sz="4" w:space="0"/>
              <w:right w:val="single" w:color="auto" w:sz="4" w:space="0"/>
            </w:tcBorders>
            <w:vAlign w:val="center"/>
          </w:tcPr>
          <w:p w14:paraId="6EDC9C27">
            <w:pPr>
              <w:pStyle w:val="83"/>
              <w:rPr>
                <w:rFonts w:hint="default" w:eastAsia="宋体"/>
                <w:highlight w:val="none"/>
                <w:lang w:val="en-US" w:eastAsia="zh-CN"/>
              </w:rPr>
            </w:pPr>
            <w:r>
              <w:rPr>
                <w:rFonts w:hint="eastAsia"/>
                <w:highlight w:val="none"/>
                <w:lang w:val="en-US" w:eastAsia="zh-CN"/>
              </w:rPr>
              <w:t>0.662</w:t>
            </w:r>
          </w:p>
        </w:tc>
        <w:tc>
          <w:tcPr>
            <w:tcW w:w="435" w:type="pct"/>
            <w:tcBorders>
              <w:top w:val="single" w:color="auto" w:sz="4" w:space="0"/>
              <w:left w:val="single" w:color="auto" w:sz="4" w:space="0"/>
              <w:bottom w:val="single" w:color="auto" w:sz="4" w:space="0"/>
              <w:right w:val="single" w:color="auto" w:sz="4" w:space="0"/>
            </w:tcBorders>
            <w:vAlign w:val="center"/>
          </w:tcPr>
          <w:p w14:paraId="205F6AD2">
            <w:pPr>
              <w:pStyle w:val="83"/>
              <w:rPr>
                <w:rFonts w:hint="default" w:eastAsia="宋体"/>
                <w:highlight w:val="none"/>
                <w:lang w:val="en-US" w:eastAsia="zh-CN"/>
              </w:rPr>
            </w:pPr>
            <w:r>
              <w:rPr>
                <w:rFonts w:hint="eastAsia"/>
                <w:highlight w:val="none"/>
                <w:lang w:val="en-US" w:eastAsia="zh-CN"/>
              </w:rPr>
              <w:t>3.3918</w:t>
            </w:r>
          </w:p>
        </w:tc>
        <w:tc>
          <w:tcPr>
            <w:tcW w:w="613" w:type="pct"/>
            <w:tcBorders>
              <w:top w:val="single" w:color="auto" w:sz="4" w:space="0"/>
              <w:left w:val="single" w:color="auto" w:sz="4" w:space="0"/>
              <w:bottom w:val="single" w:color="auto" w:sz="4" w:space="0"/>
              <w:right w:val="single" w:color="auto" w:sz="4" w:space="0"/>
            </w:tcBorders>
            <w:vAlign w:val="center"/>
          </w:tcPr>
          <w:p w14:paraId="0791CE70">
            <w:pPr>
              <w:pStyle w:val="83"/>
              <w:rPr>
                <w:rFonts w:hint="default" w:eastAsia="宋体"/>
                <w:highlight w:val="none"/>
                <w:lang w:val="en-US" w:eastAsia="zh-CN"/>
              </w:rPr>
            </w:pPr>
            <w:r>
              <w:rPr>
                <w:rFonts w:hint="eastAsia"/>
                <w:highlight w:val="none"/>
                <w:lang w:val="en-US" w:eastAsia="zh-CN"/>
              </w:rPr>
              <w:t>0.0087</w:t>
            </w:r>
          </w:p>
        </w:tc>
        <w:tc>
          <w:tcPr>
            <w:tcW w:w="596" w:type="pct"/>
            <w:tcBorders>
              <w:top w:val="single" w:color="auto" w:sz="4" w:space="0"/>
              <w:left w:val="single" w:color="auto" w:sz="4" w:space="0"/>
              <w:bottom w:val="single" w:color="auto" w:sz="4" w:space="0"/>
              <w:right w:val="single" w:color="auto" w:sz="4" w:space="0"/>
            </w:tcBorders>
            <w:vAlign w:val="center"/>
          </w:tcPr>
          <w:p w14:paraId="7FA9517C">
            <w:pPr>
              <w:pStyle w:val="83"/>
              <w:rPr>
                <w:rFonts w:hint="default" w:eastAsia="宋体"/>
                <w:highlight w:val="none"/>
                <w:lang w:val="en-US" w:eastAsia="zh-CN"/>
              </w:rPr>
            </w:pPr>
            <w:r>
              <w:rPr>
                <w:rFonts w:hint="eastAsia"/>
                <w:highlight w:val="none"/>
                <w:lang w:val="en-US" w:eastAsia="zh-CN"/>
              </w:rPr>
              <w:t>0.045</w:t>
            </w:r>
          </w:p>
        </w:tc>
        <w:tc>
          <w:tcPr>
            <w:tcW w:w="510" w:type="pct"/>
            <w:tcBorders>
              <w:top w:val="single" w:color="auto" w:sz="4" w:space="0"/>
              <w:left w:val="single" w:color="auto" w:sz="4" w:space="0"/>
              <w:bottom w:val="single" w:color="auto" w:sz="4" w:space="0"/>
              <w:right w:val="single" w:color="auto" w:sz="4" w:space="0"/>
            </w:tcBorders>
            <w:vAlign w:val="center"/>
          </w:tcPr>
          <w:p w14:paraId="1DA80819">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524B58E9">
            <w:pPr>
              <w:pStyle w:val="83"/>
              <w:rPr>
                <w:rFonts w:hint="default" w:eastAsia="宋体"/>
                <w:highlight w:val="none"/>
                <w:lang w:val="en-US" w:eastAsia="zh-CN"/>
              </w:rPr>
            </w:pPr>
            <w:r>
              <w:rPr>
                <w:rFonts w:hint="eastAsia"/>
                <w:highlight w:val="none"/>
                <w:lang w:val="en-US" w:eastAsia="zh-CN"/>
              </w:rPr>
              <w:t>0.7157</w:t>
            </w:r>
          </w:p>
        </w:tc>
        <w:tc>
          <w:tcPr>
            <w:tcW w:w="350" w:type="pct"/>
            <w:tcBorders>
              <w:top w:val="single" w:color="auto" w:sz="4" w:space="0"/>
              <w:left w:val="single" w:color="auto" w:sz="4" w:space="0"/>
              <w:bottom w:val="single" w:color="auto" w:sz="4" w:space="0"/>
              <w:right w:val="single" w:color="auto" w:sz="8" w:space="0"/>
            </w:tcBorders>
            <w:vAlign w:val="center"/>
          </w:tcPr>
          <w:p w14:paraId="2F9EB478">
            <w:pPr>
              <w:pStyle w:val="83"/>
              <w:rPr>
                <w:rFonts w:hint="default" w:eastAsia="宋体"/>
                <w:highlight w:val="none"/>
                <w:lang w:val="en-US" w:eastAsia="zh-CN"/>
              </w:rPr>
            </w:pPr>
            <w:r>
              <w:rPr>
                <w:highlight w:val="none"/>
              </w:rPr>
              <w:t>+</w:t>
            </w:r>
            <w:r>
              <w:rPr>
                <w:rFonts w:hint="eastAsia"/>
                <w:highlight w:val="none"/>
                <w:lang w:val="en-US" w:eastAsia="zh-CN"/>
              </w:rPr>
              <w:t>0.045</w:t>
            </w:r>
          </w:p>
        </w:tc>
      </w:tr>
      <w:tr w14:paraId="1BF291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restart"/>
            <w:tcBorders>
              <w:left w:val="single" w:color="auto" w:sz="8" w:space="0"/>
              <w:right w:val="single" w:color="auto" w:sz="4" w:space="0"/>
            </w:tcBorders>
            <w:vAlign w:val="center"/>
          </w:tcPr>
          <w:p w14:paraId="5FB3D3EE">
            <w:pPr>
              <w:pStyle w:val="83"/>
              <w:rPr>
                <w:rFonts w:hint="default"/>
                <w:highlight w:val="none"/>
              </w:rPr>
            </w:pPr>
            <w:r>
              <w:rPr>
                <w:highlight w:val="none"/>
              </w:rPr>
              <w:t>一般工业</w:t>
            </w:r>
          </w:p>
          <w:p w14:paraId="10D6447B">
            <w:pPr>
              <w:pStyle w:val="83"/>
              <w:rPr>
                <w:rFonts w:hint="default"/>
                <w:highlight w:val="none"/>
              </w:rPr>
            </w:pPr>
            <w:r>
              <w:rPr>
                <w:highlight w:val="none"/>
              </w:rPr>
              <w:t>固体废物</w:t>
            </w:r>
          </w:p>
        </w:tc>
        <w:tc>
          <w:tcPr>
            <w:tcW w:w="649" w:type="pct"/>
            <w:tcBorders>
              <w:top w:val="single" w:color="auto" w:sz="4" w:space="0"/>
              <w:left w:val="single" w:color="auto" w:sz="4" w:space="0"/>
              <w:bottom w:val="single" w:color="auto" w:sz="4" w:space="0"/>
              <w:right w:val="single" w:color="auto" w:sz="4" w:space="0"/>
            </w:tcBorders>
            <w:vAlign w:val="center"/>
          </w:tcPr>
          <w:p w14:paraId="070DCF32">
            <w:pPr>
              <w:pStyle w:val="83"/>
              <w:rPr>
                <w:rFonts w:hint="default"/>
                <w:highlight w:val="none"/>
              </w:rPr>
            </w:pPr>
            <w:r>
              <w:rPr>
                <w:highlight w:val="none"/>
              </w:rPr>
              <w:t>污水站污泥</w:t>
            </w:r>
          </w:p>
        </w:tc>
        <w:tc>
          <w:tcPr>
            <w:tcW w:w="696" w:type="pct"/>
            <w:tcBorders>
              <w:top w:val="single" w:color="auto" w:sz="4" w:space="0"/>
              <w:left w:val="single" w:color="auto" w:sz="4" w:space="0"/>
              <w:bottom w:val="single" w:color="auto" w:sz="4" w:space="0"/>
              <w:right w:val="single" w:color="auto" w:sz="4" w:space="0"/>
            </w:tcBorders>
            <w:vAlign w:val="center"/>
          </w:tcPr>
          <w:p w14:paraId="37D26098">
            <w:pPr>
              <w:pStyle w:val="83"/>
              <w:rPr>
                <w:rFonts w:hint="default"/>
                <w:highlight w:val="none"/>
              </w:rPr>
            </w:pPr>
            <w:r>
              <w:rPr>
                <w:highlight w:val="none"/>
              </w:rPr>
              <w:t>344</w:t>
            </w:r>
          </w:p>
        </w:tc>
        <w:tc>
          <w:tcPr>
            <w:tcW w:w="435" w:type="pct"/>
            <w:tcBorders>
              <w:top w:val="single" w:color="auto" w:sz="4" w:space="0"/>
              <w:left w:val="single" w:color="auto" w:sz="4" w:space="0"/>
              <w:bottom w:val="single" w:color="auto" w:sz="4" w:space="0"/>
              <w:right w:val="single" w:color="auto" w:sz="4" w:space="0"/>
            </w:tcBorders>
            <w:vAlign w:val="center"/>
          </w:tcPr>
          <w:p w14:paraId="1CD0803C">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05D44F8C">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3CFC67DB">
            <w:pPr>
              <w:pStyle w:val="83"/>
              <w:rPr>
                <w:rFonts w:hint="default"/>
                <w:highlight w:val="none"/>
              </w:rPr>
            </w:pPr>
            <w:r>
              <w:rPr>
                <w:highlight w:val="none"/>
              </w:rPr>
              <w:t>10</w:t>
            </w:r>
          </w:p>
        </w:tc>
        <w:tc>
          <w:tcPr>
            <w:tcW w:w="510" w:type="pct"/>
            <w:tcBorders>
              <w:top w:val="single" w:color="auto" w:sz="4" w:space="0"/>
              <w:left w:val="single" w:color="auto" w:sz="4" w:space="0"/>
              <w:bottom w:val="single" w:color="auto" w:sz="4" w:space="0"/>
              <w:right w:val="single" w:color="auto" w:sz="4" w:space="0"/>
            </w:tcBorders>
            <w:vAlign w:val="center"/>
          </w:tcPr>
          <w:p w14:paraId="3A2906AA">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52F173E2">
            <w:pPr>
              <w:pStyle w:val="83"/>
              <w:rPr>
                <w:rFonts w:hint="default"/>
                <w:highlight w:val="none"/>
              </w:rPr>
            </w:pPr>
            <w:r>
              <w:rPr>
                <w:highlight w:val="none"/>
              </w:rPr>
              <w:t>354</w:t>
            </w:r>
          </w:p>
        </w:tc>
        <w:tc>
          <w:tcPr>
            <w:tcW w:w="350" w:type="pct"/>
            <w:tcBorders>
              <w:top w:val="single" w:color="auto" w:sz="4" w:space="0"/>
              <w:left w:val="single" w:color="auto" w:sz="4" w:space="0"/>
              <w:bottom w:val="single" w:color="auto" w:sz="4" w:space="0"/>
              <w:right w:val="single" w:color="auto" w:sz="8" w:space="0"/>
            </w:tcBorders>
            <w:vAlign w:val="center"/>
          </w:tcPr>
          <w:p w14:paraId="13F793EC">
            <w:pPr>
              <w:pStyle w:val="83"/>
              <w:rPr>
                <w:rFonts w:hint="default"/>
                <w:highlight w:val="none"/>
              </w:rPr>
            </w:pPr>
            <w:r>
              <w:rPr>
                <w:highlight w:val="none"/>
              </w:rPr>
              <w:t>+10</w:t>
            </w:r>
          </w:p>
        </w:tc>
      </w:tr>
      <w:tr w14:paraId="24A5F0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43B1F67B">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1D49B716">
            <w:pPr>
              <w:pStyle w:val="83"/>
              <w:rPr>
                <w:rFonts w:hint="default"/>
                <w:highlight w:val="none"/>
              </w:rPr>
            </w:pPr>
            <w:r>
              <w:rPr>
                <w:highlight w:val="none"/>
              </w:rPr>
              <w:t>不合格原料</w:t>
            </w:r>
          </w:p>
        </w:tc>
        <w:tc>
          <w:tcPr>
            <w:tcW w:w="696" w:type="pct"/>
            <w:tcBorders>
              <w:top w:val="single" w:color="auto" w:sz="4" w:space="0"/>
              <w:left w:val="single" w:color="auto" w:sz="4" w:space="0"/>
              <w:bottom w:val="single" w:color="auto" w:sz="4" w:space="0"/>
              <w:right w:val="single" w:color="auto" w:sz="4" w:space="0"/>
            </w:tcBorders>
            <w:vAlign w:val="center"/>
          </w:tcPr>
          <w:p w14:paraId="300177C6">
            <w:pPr>
              <w:pStyle w:val="83"/>
              <w:rPr>
                <w:rFonts w:hint="default"/>
                <w:highlight w:val="none"/>
              </w:rPr>
            </w:pPr>
            <w:r>
              <w:rPr>
                <w:highlight w:val="none"/>
              </w:rPr>
              <w:t>10</w:t>
            </w:r>
          </w:p>
        </w:tc>
        <w:tc>
          <w:tcPr>
            <w:tcW w:w="435" w:type="pct"/>
            <w:tcBorders>
              <w:top w:val="single" w:color="auto" w:sz="4" w:space="0"/>
              <w:left w:val="single" w:color="auto" w:sz="4" w:space="0"/>
              <w:bottom w:val="single" w:color="auto" w:sz="4" w:space="0"/>
              <w:right w:val="single" w:color="auto" w:sz="4" w:space="0"/>
            </w:tcBorders>
            <w:vAlign w:val="center"/>
          </w:tcPr>
          <w:p w14:paraId="435CA3EC">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54096907">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080F18A6">
            <w:pPr>
              <w:pStyle w:val="83"/>
              <w:rPr>
                <w:rFonts w:hint="default"/>
                <w:highlight w:val="none"/>
              </w:rPr>
            </w:pPr>
            <w:r>
              <w:rPr>
                <w:highlight w:val="none"/>
              </w:rPr>
              <w:t>5</w:t>
            </w:r>
          </w:p>
        </w:tc>
        <w:tc>
          <w:tcPr>
            <w:tcW w:w="510" w:type="pct"/>
            <w:tcBorders>
              <w:top w:val="single" w:color="auto" w:sz="4" w:space="0"/>
              <w:left w:val="single" w:color="auto" w:sz="4" w:space="0"/>
              <w:bottom w:val="single" w:color="auto" w:sz="4" w:space="0"/>
              <w:right w:val="single" w:color="auto" w:sz="4" w:space="0"/>
            </w:tcBorders>
            <w:vAlign w:val="center"/>
          </w:tcPr>
          <w:p w14:paraId="46314962">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6BD90D77">
            <w:pPr>
              <w:pStyle w:val="83"/>
              <w:rPr>
                <w:rFonts w:hint="default"/>
                <w:highlight w:val="none"/>
              </w:rPr>
            </w:pPr>
            <w:r>
              <w:rPr>
                <w:highlight w:val="none"/>
              </w:rPr>
              <w:t>15</w:t>
            </w:r>
          </w:p>
        </w:tc>
        <w:tc>
          <w:tcPr>
            <w:tcW w:w="350" w:type="pct"/>
            <w:tcBorders>
              <w:top w:val="single" w:color="auto" w:sz="4" w:space="0"/>
              <w:left w:val="single" w:color="auto" w:sz="4" w:space="0"/>
              <w:bottom w:val="single" w:color="auto" w:sz="4" w:space="0"/>
              <w:right w:val="single" w:color="auto" w:sz="8" w:space="0"/>
            </w:tcBorders>
            <w:vAlign w:val="center"/>
          </w:tcPr>
          <w:p w14:paraId="00E67868">
            <w:pPr>
              <w:pStyle w:val="83"/>
              <w:rPr>
                <w:rFonts w:hint="default"/>
                <w:highlight w:val="none"/>
              </w:rPr>
            </w:pPr>
            <w:r>
              <w:rPr>
                <w:highlight w:val="none"/>
              </w:rPr>
              <w:t>+5</w:t>
            </w:r>
          </w:p>
        </w:tc>
      </w:tr>
      <w:tr w14:paraId="7BDF4A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0CF8990C">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3814158C">
            <w:pPr>
              <w:pStyle w:val="83"/>
              <w:rPr>
                <w:rFonts w:hint="default"/>
                <w:highlight w:val="none"/>
              </w:rPr>
            </w:pPr>
            <w:r>
              <w:rPr>
                <w:highlight w:val="none"/>
              </w:rPr>
              <w:t>废包装材料</w:t>
            </w:r>
          </w:p>
        </w:tc>
        <w:tc>
          <w:tcPr>
            <w:tcW w:w="696" w:type="pct"/>
            <w:tcBorders>
              <w:top w:val="single" w:color="auto" w:sz="4" w:space="0"/>
              <w:left w:val="single" w:color="auto" w:sz="4" w:space="0"/>
              <w:bottom w:val="single" w:color="auto" w:sz="4" w:space="0"/>
              <w:right w:val="single" w:color="auto" w:sz="4" w:space="0"/>
            </w:tcBorders>
            <w:vAlign w:val="center"/>
          </w:tcPr>
          <w:p w14:paraId="758B762F">
            <w:pPr>
              <w:pStyle w:val="83"/>
              <w:rPr>
                <w:rFonts w:hint="default"/>
                <w:highlight w:val="none"/>
              </w:rPr>
            </w:pPr>
            <w:r>
              <w:rPr>
                <w:highlight w:val="none"/>
              </w:rPr>
              <w:t>15</w:t>
            </w:r>
          </w:p>
        </w:tc>
        <w:tc>
          <w:tcPr>
            <w:tcW w:w="435" w:type="pct"/>
            <w:tcBorders>
              <w:top w:val="single" w:color="auto" w:sz="4" w:space="0"/>
              <w:left w:val="single" w:color="auto" w:sz="4" w:space="0"/>
              <w:bottom w:val="single" w:color="auto" w:sz="4" w:space="0"/>
              <w:right w:val="single" w:color="auto" w:sz="4" w:space="0"/>
            </w:tcBorders>
            <w:vAlign w:val="center"/>
          </w:tcPr>
          <w:p w14:paraId="0241D4D3">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328E5DEC">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1AB5F437">
            <w:pPr>
              <w:pStyle w:val="83"/>
              <w:rPr>
                <w:rFonts w:hint="default"/>
                <w:highlight w:val="none"/>
              </w:rPr>
            </w:pPr>
            <w:r>
              <w:rPr>
                <w:highlight w:val="none"/>
              </w:rPr>
              <w:t>1</w:t>
            </w:r>
          </w:p>
        </w:tc>
        <w:tc>
          <w:tcPr>
            <w:tcW w:w="510" w:type="pct"/>
            <w:tcBorders>
              <w:top w:val="single" w:color="auto" w:sz="4" w:space="0"/>
              <w:left w:val="single" w:color="auto" w:sz="4" w:space="0"/>
              <w:bottom w:val="single" w:color="auto" w:sz="4" w:space="0"/>
              <w:right w:val="single" w:color="auto" w:sz="4" w:space="0"/>
            </w:tcBorders>
            <w:vAlign w:val="center"/>
          </w:tcPr>
          <w:p w14:paraId="5166A56A">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69E4BFA1">
            <w:pPr>
              <w:pStyle w:val="83"/>
              <w:rPr>
                <w:rFonts w:hint="default"/>
                <w:highlight w:val="none"/>
              </w:rPr>
            </w:pPr>
            <w:r>
              <w:rPr>
                <w:highlight w:val="none"/>
              </w:rPr>
              <w:t>16</w:t>
            </w:r>
          </w:p>
        </w:tc>
        <w:tc>
          <w:tcPr>
            <w:tcW w:w="350" w:type="pct"/>
            <w:tcBorders>
              <w:top w:val="single" w:color="auto" w:sz="4" w:space="0"/>
              <w:left w:val="single" w:color="auto" w:sz="4" w:space="0"/>
              <w:bottom w:val="single" w:color="auto" w:sz="4" w:space="0"/>
              <w:right w:val="single" w:color="auto" w:sz="8" w:space="0"/>
            </w:tcBorders>
            <w:vAlign w:val="center"/>
          </w:tcPr>
          <w:p w14:paraId="07986174">
            <w:pPr>
              <w:pStyle w:val="83"/>
              <w:rPr>
                <w:rFonts w:hint="default"/>
                <w:highlight w:val="none"/>
              </w:rPr>
            </w:pPr>
            <w:r>
              <w:rPr>
                <w:highlight w:val="none"/>
              </w:rPr>
              <w:t>+1</w:t>
            </w:r>
          </w:p>
        </w:tc>
      </w:tr>
      <w:tr w14:paraId="0FEAE8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402997D0">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16B1E965">
            <w:pPr>
              <w:pStyle w:val="83"/>
              <w:rPr>
                <w:rFonts w:hint="default"/>
                <w:highlight w:val="none"/>
              </w:rPr>
            </w:pPr>
            <w:r>
              <w:rPr>
                <w:highlight w:val="none"/>
              </w:rPr>
              <w:t>废RO膜</w:t>
            </w:r>
          </w:p>
          <w:p w14:paraId="42539192">
            <w:pPr>
              <w:pStyle w:val="83"/>
              <w:rPr>
                <w:rFonts w:hint="default"/>
                <w:highlight w:val="none"/>
              </w:rPr>
            </w:pPr>
            <w:r>
              <w:rPr>
                <w:highlight w:val="none"/>
              </w:rPr>
              <w:t>（纯水制备）</w:t>
            </w:r>
          </w:p>
        </w:tc>
        <w:tc>
          <w:tcPr>
            <w:tcW w:w="696" w:type="pct"/>
            <w:tcBorders>
              <w:top w:val="single" w:color="auto" w:sz="4" w:space="0"/>
              <w:left w:val="single" w:color="auto" w:sz="4" w:space="0"/>
              <w:bottom w:val="single" w:color="auto" w:sz="4" w:space="0"/>
              <w:right w:val="single" w:color="auto" w:sz="4" w:space="0"/>
            </w:tcBorders>
            <w:vAlign w:val="center"/>
          </w:tcPr>
          <w:p w14:paraId="1B046BA1">
            <w:pPr>
              <w:pStyle w:val="83"/>
              <w:rPr>
                <w:rFonts w:hint="default"/>
                <w:highlight w:val="none"/>
              </w:rPr>
            </w:pPr>
            <w:r>
              <w:rPr>
                <w:highlight w:val="none"/>
              </w:rPr>
              <w:t>1t/3a</w:t>
            </w:r>
          </w:p>
        </w:tc>
        <w:tc>
          <w:tcPr>
            <w:tcW w:w="435" w:type="pct"/>
            <w:tcBorders>
              <w:top w:val="single" w:color="auto" w:sz="4" w:space="0"/>
              <w:left w:val="single" w:color="auto" w:sz="4" w:space="0"/>
              <w:bottom w:val="single" w:color="auto" w:sz="4" w:space="0"/>
              <w:right w:val="single" w:color="auto" w:sz="4" w:space="0"/>
            </w:tcBorders>
            <w:vAlign w:val="center"/>
          </w:tcPr>
          <w:p w14:paraId="13A1ADF2">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3C9AE811">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1DC5B523">
            <w:pPr>
              <w:pStyle w:val="83"/>
              <w:rPr>
                <w:rFonts w:hint="default"/>
                <w:highlight w:val="none"/>
              </w:rPr>
            </w:pPr>
            <w:r>
              <w:rPr>
                <w:highlight w:val="none"/>
              </w:rPr>
              <w:t>0.5t/3a</w:t>
            </w:r>
          </w:p>
        </w:tc>
        <w:tc>
          <w:tcPr>
            <w:tcW w:w="510" w:type="pct"/>
            <w:tcBorders>
              <w:top w:val="single" w:color="auto" w:sz="4" w:space="0"/>
              <w:left w:val="single" w:color="auto" w:sz="4" w:space="0"/>
              <w:bottom w:val="single" w:color="auto" w:sz="4" w:space="0"/>
              <w:right w:val="single" w:color="auto" w:sz="4" w:space="0"/>
            </w:tcBorders>
            <w:vAlign w:val="center"/>
          </w:tcPr>
          <w:p w14:paraId="44C2B4D7">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7CA06DA0">
            <w:pPr>
              <w:pStyle w:val="83"/>
              <w:rPr>
                <w:rFonts w:hint="default"/>
                <w:highlight w:val="none"/>
              </w:rPr>
            </w:pPr>
            <w:r>
              <w:rPr>
                <w:highlight w:val="none"/>
              </w:rPr>
              <w:t>1.5t/3a</w:t>
            </w:r>
          </w:p>
        </w:tc>
        <w:tc>
          <w:tcPr>
            <w:tcW w:w="350" w:type="pct"/>
            <w:tcBorders>
              <w:top w:val="single" w:color="auto" w:sz="4" w:space="0"/>
              <w:left w:val="single" w:color="auto" w:sz="4" w:space="0"/>
              <w:bottom w:val="single" w:color="auto" w:sz="4" w:space="0"/>
              <w:right w:val="single" w:color="auto" w:sz="8" w:space="0"/>
            </w:tcBorders>
            <w:vAlign w:val="center"/>
          </w:tcPr>
          <w:p w14:paraId="319A84F1">
            <w:pPr>
              <w:pStyle w:val="83"/>
              <w:rPr>
                <w:rFonts w:hint="default"/>
                <w:highlight w:val="none"/>
              </w:rPr>
            </w:pPr>
            <w:r>
              <w:rPr>
                <w:highlight w:val="none"/>
              </w:rPr>
              <w:t>+0.5</w:t>
            </w:r>
          </w:p>
        </w:tc>
      </w:tr>
      <w:tr w14:paraId="4DCBD8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bottom w:val="single" w:color="auto" w:sz="4" w:space="0"/>
              <w:right w:val="single" w:color="auto" w:sz="4" w:space="0"/>
            </w:tcBorders>
            <w:vAlign w:val="center"/>
          </w:tcPr>
          <w:p w14:paraId="41D6B2B1">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6491FF33">
            <w:pPr>
              <w:pStyle w:val="83"/>
              <w:rPr>
                <w:rFonts w:hint="default"/>
                <w:highlight w:val="none"/>
              </w:rPr>
            </w:pPr>
            <w:r>
              <w:rPr>
                <w:highlight w:val="none"/>
              </w:rPr>
              <w:t>废离子交换树脂（纯水制备）</w:t>
            </w:r>
          </w:p>
        </w:tc>
        <w:tc>
          <w:tcPr>
            <w:tcW w:w="696" w:type="pct"/>
            <w:tcBorders>
              <w:top w:val="single" w:color="auto" w:sz="4" w:space="0"/>
              <w:left w:val="single" w:color="auto" w:sz="4" w:space="0"/>
              <w:bottom w:val="single" w:color="auto" w:sz="4" w:space="0"/>
              <w:right w:val="single" w:color="auto" w:sz="4" w:space="0"/>
            </w:tcBorders>
            <w:vAlign w:val="center"/>
          </w:tcPr>
          <w:p w14:paraId="4FF82BA2">
            <w:pPr>
              <w:pStyle w:val="83"/>
              <w:rPr>
                <w:rFonts w:hint="default"/>
                <w:highlight w:val="none"/>
              </w:rPr>
            </w:pPr>
            <w:r>
              <w:rPr>
                <w:highlight w:val="none"/>
              </w:rPr>
              <w:t>1t/3a</w:t>
            </w:r>
          </w:p>
        </w:tc>
        <w:tc>
          <w:tcPr>
            <w:tcW w:w="435" w:type="pct"/>
            <w:tcBorders>
              <w:top w:val="single" w:color="auto" w:sz="4" w:space="0"/>
              <w:left w:val="single" w:color="auto" w:sz="4" w:space="0"/>
              <w:bottom w:val="single" w:color="auto" w:sz="4" w:space="0"/>
              <w:right w:val="single" w:color="auto" w:sz="4" w:space="0"/>
            </w:tcBorders>
            <w:vAlign w:val="center"/>
          </w:tcPr>
          <w:p w14:paraId="7EAEB319">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0F19D0B4">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6C683E5D">
            <w:pPr>
              <w:pStyle w:val="83"/>
              <w:rPr>
                <w:rFonts w:hint="default"/>
                <w:highlight w:val="none"/>
              </w:rPr>
            </w:pPr>
            <w:r>
              <w:rPr>
                <w:highlight w:val="none"/>
              </w:rPr>
              <w:t>0.5t/3a</w:t>
            </w:r>
          </w:p>
        </w:tc>
        <w:tc>
          <w:tcPr>
            <w:tcW w:w="510" w:type="pct"/>
            <w:tcBorders>
              <w:top w:val="single" w:color="auto" w:sz="4" w:space="0"/>
              <w:left w:val="single" w:color="auto" w:sz="4" w:space="0"/>
              <w:bottom w:val="single" w:color="auto" w:sz="4" w:space="0"/>
              <w:right w:val="single" w:color="auto" w:sz="4" w:space="0"/>
            </w:tcBorders>
            <w:vAlign w:val="center"/>
          </w:tcPr>
          <w:p w14:paraId="762D5FBB">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45BE8324">
            <w:pPr>
              <w:pStyle w:val="83"/>
              <w:rPr>
                <w:rFonts w:hint="default"/>
                <w:highlight w:val="none"/>
              </w:rPr>
            </w:pPr>
            <w:r>
              <w:rPr>
                <w:highlight w:val="none"/>
              </w:rPr>
              <w:t>1.5t/3a</w:t>
            </w:r>
          </w:p>
        </w:tc>
        <w:tc>
          <w:tcPr>
            <w:tcW w:w="350" w:type="pct"/>
            <w:tcBorders>
              <w:top w:val="single" w:color="auto" w:sz="4" w:space="0"/>
              <w:left w:val="single" w:color="auto" w:sz="4" w:space="0"/>
              <w:bottom w:val="single" w:color="auto" w:sz="4" w:space="0"/>
              <w:right w:val="single" w:color="auto" w:sz="8" w:space="0"/>
            </w:tcBorders>
            <w:vAlign w:val="center"/>
          </w:tcPr>
          <w:p w14:paraId="38B9DFCF">
            <w:pPr>
              <w:pStyle w:val="83"/>
              <w:rPr>
                <w:rFonts w:hint="default"/>
                <w:highlight w:val="none"/>
              </w:rPr>
            </w:pPr>
            <w:r>
              <w:rPr>
                <w:highlight w:val="none"/>
              </w:rPr>
              <w:t>+0.5</w:t>
            </w:r>
          </w:p>
        </w:tc>
      </w:tr>
      <w:tr w14:paraId="217D6D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restart"/>
            <w:tcBorders>
              <w:top w:val="single" w:color="auto" w:sz="4" w:space="0"/>
              <w:left w:val="single" w:color="auto" w:sz="8" w:space="0"/>
              <w:right w:val="single" w:color="auto" w:sz="4" w:space="0"/>
            </w:tcBorders>
            <w:vAlign w:val="center"/>
          </w:tcPr>
          <w:p w14:paraId="204F9AF5">
            <w:pPr>
              <w:pStyle w:val="83"/>
              <w:rPr>
                <w:rFonts w:hint="default"/>
                <w:highlight w:val="none"/>
              </w:rPr>
            </w:pPr>
            <w:r>
              <w:rPr>
                <w:highlight w:val="none"/>
              </w:rPr>
              <w:t>危险废物</w:t>
            </w:r>
          </w:p>
        </w:tc>
        <w:tc>
          <w:tcPr>
            <w:tcW w:w="649" w:type="pct"/>
            <w:tcBorders>
              <w:top w:val="single" w:color="auto" w:sz="4" w:space="0"/>
              <w:left w:val="single" w:color="auto" w:sz="4" w:space="0"/>
              <w:bottom w:val="single" w:color="auto" w:sz="4" w:space="0"/>
              <w:right w:val="single" w:color="auto" w:sz="4" w:space="0"/>
            </w:tcBorders>
            <w:vAlign w:val="center"/>
          </w:tcPr>
          <w:p w14:paraId="28F85BF5">
            <w:pPr>
              <w:pStyle w:val="83"/>
              <w:rPr>
                <w:rFonts w:hint="default"/>
                <w:highlight w:val="none"/>
              </w:rPr>
            </w:pPr>
            <w:r>
              <w:rPr>
                <w:highlight w:val="none"/>
              </w:rPr>
              <w:t>废油剂</w:t>
            </w:r>
          </w:p>
        </w:tc>
        <w:tc>
          <w:tcPr>
            <w:tcW w:w="696" w:type="pct"/>
            <w:tcBorders>
              <w:top w:val="single" w:color="auto" w:sz="4" w:space="0"/>
              <w:left w:val="single" w:color="auto" w:sz="4" w:space="0"/>
              <w:bottom w:val="single" w:color="auto" w:sz="4" w:space="0"/>
              <w:right w:val="single" w:color="auto" w:sz="4" w:space="0"/>
            </w:tcBorders>
            <w:vAlign w:val="center"/>
          </w:tcPr>
          <w:p w14:paraId="5AEC8D42">
            <w:pPr>
              <w:pStyle w:val="83"/>
              <w:rPr>
                <w:rFonts w:hint="default"/>
                <w:highlight w:val="none"/>
              </w:rPr>
            </w:pPr>
            <w:r>
              <w:rPr>
                <w:highlight w:val="none"/>
              </w:rPr>
              <w:t>3.976</w:t>
            </w:r>
          </w:p>
        </w:tc>
        <w:tc>
          <w:tcPr>
            <w:tcW w:w="435" w:type="pct"/>
            <w:tcBorders>
              <w:top w:val="single" w:color="auto" w:sz="4" w:space="0"/>
              <w:left w:val="single" w:color="auto" w:sz="4" w:space="0"/>
              <w:bottom w:val="single" w:color="auto" w:sz="4" w:space="0"/>
              <w:right w:val="single" w:color="auto" w:sz="4" w:space="0"/>
            </w:tcBorders>
            <w:vAlign w:val="center"/>
          </w:tcPr>
          <w:p w14:paraId="3FF41337">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1191F096">
            <w:pPr>
              <w:pStyle w:val="83"/>
              <w:rPr>
                <w:rFonts w:hint="default"/>
                <w:highlight w:val="none"/>
              </w:rPr>
            </w:pPr>
            <w:r>
              <w:rPr>
                <w:highlight w:val="none"/>
              </w:rPr>
              <w:t>2.5</w:t>
            </w:r>
          </w:p>
        </w:tc>
        <w:tc>
          <w:tcPr>
            <w:tcW w:w="596" w:type="pct"/>
            <w:tcBorders>
              <w:top w:val="single" w:color="auto" w:sz="4" w:space="0"/>
              <w:left w:val="single" w:color="auto" w:sz="4" w:space="0"/>
              <w:bottom w:val="single" w:color="auto" w:sz="4" w:space="0"/>
              <w:right w:val="single" w:color="auto" w:sz="4" w:space="0"/>
            </w:tcBorders>
            <w:vAlign w:val="center"/>
          </w:tcPr>
          <w:p w14:paraId="26C76889">
            <w:pPr>
              <w:pStyle w:val="83"/>
              <w:rPr>
                <w:rFonts w:hint="default"/>
                <w:highlight w:val="none"/>
              </w:rPr>
            </w:pPr>
            <w:r>
              <w:rPr>
                <w:highlight w:val="none"/>
              </w:rPr>
              <w:t>1.5</w:t>
            </w:r>
          </w:p>
        </w:tc>
        <w:tc>
          <w:tcPr>
            <w:tcW w:w="510" w:type="pct"/>
            <w:tcBorders>
              <w:top w:val="single" w:color="auto" w:sz="4" w:space="0"/>
              <w:left w:val="single" w:color="auto" w:sz="4" w:space="0"/>
              <w:bottom w:val="single" w:color="auto" w:sz="4" w:space="0"/>
              <w:right w:val="single" w:color="auto" w:sz="4" w:space="0"/>
            </w:tcBorders>
            <w:vAlign w:val="center"/>
          </w:tcPr>
          <w:p w14:paraId="4B021288">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298DBF2E">
            <w:pPr>
              <w:pStyle w:val="83"/>
              <w:rPr>
                <w:rFonts w:hint="default"/>
                <w:highlight w:val="none"/>
              </w:rPr>
            </w:pPr>
            <w:r>
              <w:rPr>
                <w:highlight w:val="none"/>
              </w:rPr>
              <w:t>7.979</w:t>
            </w:r>
          </w:p>
        </w:tc>
        <w:tc>
          <w:tcPr>
            <w:tcW w:w="350" w:type="pct"/>
            <w:tcBorders>
              <w:top w:val="single" w:color="auto" w:sz="4" w:space="0"/>
              <w:left w:val="single" w:color="auto" w:sz="4" w:space="0"/>
              <w:bottom w:val="single" w:color="auto" w:sz="4" w:space="0"/>
              <w:right w:val="single" w:color="auto" w:sz="8" w:space="0"/>
            </w:tcBorders>
            <w:vAlign w:val="center"/>
          </w:tcPr>
          <w:p w14:paraId="3DEBFE09">
            <w:pPr>
              <w:pStyle w:val="83"/>
              <w:rPr>
                <w:rFonts w:hint="default"/>
                <w:highlight w:val="none"/>
              </w:rPr>
            </w:pPr>
            <w:r>
              <w:rPr>
                <w:highlight w:val="none"/>
              </w:rPr>
              <w:t>+1.5</w:t>
            </w:r>
          </w:p>
        </w:tc>
      </w:tr>
      <w:tr w14:paraId="4D63E3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63D2ED68">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2DEA8B3F">
            <w:pPr>
              <w:pStyle w:val="83"/>
              <w:rPr>
                <w:rFonts w:hint="default"/>
                <w:highlight w:val="none"/>
              </w:rPr>
            </w:pPr>
            <w:r>
              <w:rPr>
                <w:highlight w:val="none"/>
              </w:rPr>
              <w:t>有机残渣</w:t>
            </w:r>
          </w:p>
        </w:tc>
        <w:tc>
          <w:tcPr>
            <w:tcW w:w="696" w:type="pct"/>
            <w:tcBorders>
              <w:top w:val="single" w:color="auto" w:sz="4" w:space="0"/>
              <w:left w:val="single" w:color="auto" w:sz="4" w:space="0"/>
              <w:bottom w:val="single" w:color="auto" w:sz="4" w:space="0"/>
              <w:right w:val="single" w:color="auto" w:sz="4" w:space="0"/>
            </w:tcBorders>
            <w:vAlign w:val="center"/>
          </w:tcPr>
          <w:p w14:paraId="19ECA8E9">
            <w:pPr>
              <w:pStyle w:val="83"/>
              <w:rPr>
                <w:rFonts w:hint="default"/>
                <w:highlight w:val="none"/>
              </w:rPr>
            </w:pPr>
            <w:r>
              <w:rPr>
                <w:highlight w:val="none"/>
              </w:rPr>
              <w:t>85.433</w:t>
            </w:r>
          </w:p>
        </w:tc>
        <w:tc>
          <w:tcPr>
            <w:tcW w:w="435" w:type="pct"/>
            <w:tcBorders>
              <w:top w:val="single" w:color="auto" w:sz="4" w:space="0"/>
              <w:left w:val="single" w:color="auto" w:sz="4" w:space="0"/>
              <w:bottom w:val="single" w:color="auto" w:sz="4" w:space="0"/>
              <w:right w:val="single" w:color="auto" w:sz="4" w:space="0"/>
            </w:tcBorders>
            <w:vAlign w:val="center"/>
          </w:tcPr>
          <w:p w14:paraId="2718AEE4">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78FA15CD">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2D23436C">
            <w:pPr>
              <w:pStyle w:val="83"/>
              <w:rPr>
                <w:rFonts w:hint="default"/>
                <w:highlight w:val="none"/>
              </w:rPr>
            </w:pPr>
          </w:p>
        </w:tc>
        <w:tc>
          <w:tcPr>
            <w:tcW w:w="510" w:type="pct"/>
            <w:tcBorders>
              <w:top w:val="single" w:color="auto" w:sz="4" w:space="0"/>
              <w:left w:val="single" w:color="auto" w:sz="4" w:space="0"/>
              <w:bottom w:val="single" w:color="auto" w:sz="4" w:space="0"/>
              <w:right w:val="single" w:color="auto" w:sz="4" w:space="0"/>
            </w:tcBorders>
            <w:vAlign w:val="center"/>
          </w:tcPr>
          <w:p w14:paraId="3CDE5A14">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393294EC">
            <w:pPr>
              <w:pStyle w:val="83"/>
              <w:rPr>
                <w:rFonts w:hint="default"/>
                <w:highlight w:val="none"/>
              </w:rPr>
            </w:pPr>
            <w:r>
              <w:rPr>
                <w:highlight w:val="none"/>
              </w:rPr>
              <w:t>85.433</w:t>
            </w:r>
          </w:p>
        </w:tc>
        <w:tc>
          <w:tcPr>
            <w:tcW w:w="350" w:type="pct"/>
            <w:tcBorders>
              <w:top w:val="single" w:color="auto" w:sz="4" w:space="0"/>
              <w:left w:val="single" w:color="auto" w:sz="4" w:space="0"/>
              <w:bottom w:val="single" w:color="auto" w:sz="4" w:space="0"/>
              <w:right w:val="single" w:color="auto" w:sz="8" w:space="0"/>
            </w:tcBorders>
            <w:vAlign w:val="center"/>
          </w:tcPr>
          <w:p w14:paraId="6487EB89">
            <w:pPr>
              <w:pStyle w:val="83"/>
              <w:rPr>
                <w:rFonts w:hint="default"/>
                <w:highlight w:val="none"/>
              </w:rPr>
            </w:pPr>
          </w:p>
        </w:tc>
      </w:tr>
      <w:tr w14:paraId="02AC0F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0C2515B2">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05BDF215">
            <w:pPr>
              <w:pStyle w:val="83"/>
              <w:rPr>
                <w:rFonts w:hint="default"/>
                <w:highlight w:val="none"/>
              </w:rPr>
            </w:pPr>
            <w:r>
              <w:rPr>
                <w:highlight w:val="none"/>
              </w:rPr>
              <w:t>废酸液</w:t>
            </w:r>
          </w:p>
        </w:tc>
        <w:tc>
          <w:tcPr>
            <w:tcW w:w="696" w:type="pct"/>
            <w:tcBorders>
              <w:top w:val="single" w:color="auto" w:sz="4" w:space="0"/>
              <w:left w:val="single" w:color="auto" w:sz="4" w:space="0"/>
              <w:bottom w:val="single" w:color="auto" w:sz="4" w:space="0"/>
              <w:right w:val="single" w:color="auto" w:sz="4" w:space="0"/>
            </w:tcBorders>
            <w:vAlign w:val="center"/>
          </w:tcPr>
          <w:p w14:paraId="62FCCDBE">
            <w:pPr>
              <w:pStyle w:val="83"/>
              <w:rPr>
                <w:rFonts w:hint="default"/>
                <w:highlight w:val="none"/>
              </w:rPr>
            </w:pPr>
            <w:r>
              <w:rPr>
                <w:highlight w:val="none"/>
              </w:rPr>
              <w:t>1.665</w:t>
            </w:r>
          </w:p>
        </w:tc>
        <w:tc>
          <w:tcPr>
            <w:tcW w:w="435" w:type="pct"/>
            <w:tcBorders>
              <w:top w:val="single" w:color="auto" w:sz="4" w:space="0"/>
              <w:left w:val="single" w:color="auto" w:sz="4" w:space="0"/>
              <w:bottom w:val="single" w:color="auto" w:sz="4" w:space="0"/>
              <w:right w:val="single" w:color="auto" w:sz="4" w:space="0"/>
            </w:tcBorders>
            <w:vAlign w:val="center"/>
          </w:tcPr>
          <w:p w14:paraId="176DE21E">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6D88688B">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251F9FEC">
            <w:pPr>
              <w:pStyle w:val="83"/>
              <w:rPr>
                <w:rFonts w:hint="default"/>
                <w:highlight w:val="none"/>
              </w:rPr>
            </w:pPr>
            <w:r>
              <w:rPr>
                <w:highlight w:val="none"/>
              </w:rPr>
              <w:t>1.5</w:t>
            </w:r>
          </w:p>
        </w:tc>
        <w:tc>
          <w:tcPr>
            <w:tcW w:w="510" w:type="pct"/>
            <w:tcBorders>
              <w:top w:val="single" w:color="auto" w:sz="4" w:space="0"/>
              <w:left w:val="single" w:color="auto" w:sz="4" w:space="0"/>
              <w:bottom w:val="single" w:color="auto" w:sz="4" w:space="0"/>
              <w:right w:val="single" w:color="auto" w:sz="4" w:space="0"/>
            </w:tcBorders>
            <w:vAlign w:val="center"/>
          </w:tcPr>
          <w:p w14:paraId="4946EB4A">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40BD4575">
            <w:pPr>
              <w:pStyle w:val="83"/>
              <w:rPr>
                <w:rFonts w:hint="default"/>
                <w:highlight w:val="none"/>
              </w:rPr>
            </w:pPr>
            <w:r>
              <w:rPr>
                <w:highlight w:val="none"/>
              </w:rPr>
              <w:t>3.165</w:t>
            </w:r>
          </w:p>
        </w:tc>
        <w:tc>
          <w:tcPr>
            <w:tcW w:w="350" w:type="pct"/>
            <w:tcBorders>
              <w:top w:val="single" w:color="auto" w:sz="4" w:space="0"/>
              <w:left w:val="single" w:color="auto" w:sz="4" w:space="0"/>
              <w:bottom w:val="single" w:color="auto" w:sz="4" w:space="0"/>
              <w:right w:val="single" w:color="auto" w:sz="8" w:space="0"/>
            </w:tcBorders>
            <w:vAlign w:val="center"/>
          </w:tcPr>
          <w:p w14:paraId="381E6F99">
            <w:pPr>
              <w:pStyle w:val="83"/>
              <w:rPr>
                <w:rFonts w:hint="default"/>
                <w:highlight w:val="none"/>
              </w:rPr>
            </w:pPr>
            <w:r>
              <w:rPr>
                <w:highlight w:val="none"/>
              </w:rPr>
              <w:t>+1.5</w:t>
            </w:r>
          </w:p>
        </w:tc>
      </w:tr>
      <w:tr w14:paraId="1AF184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1DCC6670">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4582922F">
            <w:pPr>
              <w:pStyle w:val="83"/>
              <w:rPr>
                <w:rFonts w:hint="default"/>
                <w:highlight w:val="none"/>
              </w:rPr>
            </w:pPr>
            <w:r>
              <w:rPr>
                <w:highlight w:val="none"/>
              </w:rPr>
              <w:t>废有机溶剂</w:t>
            </w:r>
          </w:p>
        </w:tc>
        <w:tc>
          <w:tcPr>
            <w:tcW w:w="696" w:type="pct"/>
            <w:tcBorders>
              <w:top w:val="single" w:color="auto" w:sz="4" w:space="0"/>
              <w:left w:val="single" w:color="auto" w:sz="4" w:space="0"/>
              <w:bottom w:val="single" w:color="auto" w:sz="4" w:space="0"/>
              <w:right w:val="single" w:color="auto" w:sz="4" w:space="0"/>
            </w:tcBorders>
            <w:vAlign w:val="center"/>
          </w:tcPr>
          <w:p w14:paraId="3D2EE818">
            <w:pPr>
              <w:pStyle w:val="83"/>
              <w:rPr>
                <w:rFonts w:hint="default"/>
                <w:highlight w:val="none"/>
              </w:rPr>
            </w:pPr>
            <w:r>
              <w:rPr>
                <w:highlight w:val="none"/>
              </w:rPr>
              <w:t>1.75</w:t>
            </w:r>
          </w:p>
        </w:tc>
        <w:tc>
          <w:tcPr>
            <w:tcW w:w="435" w:type="pct"/>
            <w:tcBorders>
              <w:top w:val="single" w:color="auto" w:sz="4" w:space="0"/>
              <w:left w:val="single" w:color="auto" w:sz="4" w:space="0"/>
              <w:bottom w:val="single" w:color="auto" w:sz="4" w:space="0"/>
              <w:right w:val="single" w:color="auto" w:sz="4" w:space="0"/>
            </w:tcBorders>
            <w:vAlign w:val="center"/>
          </w:tcPr>
          <w:p w14:paraId="4B8AC473">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259F408D">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697C33B7">
            <w:pPr>
              <w:pStyle w:val="83"/>
              <w:rPr>
                <w:rFonts w:hint="default"/>
                <w:highlight w:val="none"/>
              </w:rPr>
            </w:pPr>
          </w:p>
        </w:tc>
        <w:tc>
          <w:tcPr>
            <w:tcW w:w="510" w:type="pct"/>
            <w:tcBorders>
              <w:top w:val="single" w:color="auto" w:sz="4" w:space="0"/>
              <w:left w:val="single" w:color="auto" w:sz="4" w:space="0"/>
              <w:bottom w:val="single" w:color="auto" w:sz="4" w:space="0"/>
              <w:right w:val="single" w:color="auto" w:sz="4" w:space="0"/>
            </w:tcBorders>
            <w:vAlign w:val="center"/>
          </w:tcPr>
          <w:p w14:paraId="5CD8F328">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09F53328">
            <w:pPr>
              <w:pStyle w:val="83"/>
              <w:rPr>
                <w:rFonts w:hint="default"/>
                <w:highlight w:val="none"/>
              </w:rPr>
            </w:pPr>
            <w:r>
              <w:rPr>
                <w:highlight w:val="none"/>
              </w:rPr>
              <w:t>1.75</w:t>
            </w:r>
          </w:p>
        </w:tc>
        <w:tc>
          <w:tcPr>
            <w:tcW w:w="350" w:type="pct"/>
            <w:tcBorders>
              <w:top w:val="single" w:color="auto" w:sz="4" w:space="0"/>
              <w:left w:val="single" w:color="auto" w:sz="4" w:space="0"/>
              <w:bottom w:val="single" w:color="auto" w:sz="4" w:space="0"/>
              <w:right w:val="single" w:color="auto" w:sz="8" w:space="0"/>
            </w:tcBorders>
            <w:vAlign w:val="center"/>
          </w:tcPr>
          <w:p w14:paraId="1EB82F0B">
            <w:pPr>
              <w:pStyle w:val="83"/>
              <w:rPr>
                <w:rFonts w:hint="default"/>
                <w:highlight w:val="none"/>
              </w:rPr>
            </w:pPr>
          </w:p>
        </w:tc>
      </w:tr>
      <w:tr w14:paraId="490D97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3E78C5FD">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3A503DAC">
            <w:pPr>
              <w:pStyle w:val="83"/>
              <w:rPr>
                <w:rFonts w:hint="default"/>
                <w:highlight w:val="none"/>
              </w:rPr>
            </w:pPr>
            <w:r>
              <w:rPr>
                <w:highlight w:val="none"/>
              </w:rPr>
              <w:t>在线废液</w:t>
            </w:r>
          </w:p>
        </w:tc>
        <w:tc>
          <w:tcPr>
            <w:tcW w:w="696" w:type="pct"/>
            <w:tcBorders>
              <w:top w:val="single" w:color="auto" w:sz="4" w:space="0"/>
              <w:left w:val="single" w:color="auto" w:sz="4" w:space="0"/>
              <w:bottom w:val="single" w:color="auto" w:sz="4" w:space="0"/>
              <w:right w:val="single" w:color="auto" w:sz="4" w:space="0"/>
            </w:tcBorders>
            <w:vAlign w:val="center"/>
          </w:tcPr>
          <w:p w14:paraId="335AC341">
            <w:pPr>
              <w:pStyle w:val="83"/>
              <w:rPr>
                <w:rFonts w:hint="default"/>
                <w:highlight w:val="none"/>
              </w:rPr>
            </w:pPr>
            <w:r>
              <w:rPr>
                <w:highlight w:val="none"/>
              </w:rPr>
              <w:t>0.4</w:t>
            </w:r>
          </w:p>
        </w:tc>
        <w:tc>
          <w:tcPr>
            <w:tcW w:w="435" w:type="pct"/>
            <w:tcBorders>
              <w:top w:val="single" w:color="auto" w:sz="4" w:space="0"/>
              <w:left w:val="single" w:color="auto" w:sz="4" w:space="0"/>
              <w:bottom w:val="single" w:color="auto" w:sz="4" w:space="0"/>
              <w:right w:val="single" w:color="auto" w:sz="4" w:space="0"/>
            </w:tcBorders>
            <w:vAlign w:val="center"/>
          </w:tcPr>
          <w:p w14:paraId="3C01714D">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1E6464E7">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0C7FA1CD">
            <w:pPr>
              <w:pStyle w:val="83"/>
              <w:rPr>
                <w:rFonts w:hint="default"/>
                <w:highlight w:val="none"/>
              </w:rPr>
            </w:pPr>
          </w:p>
        </w:tc>
        <w:tc>
          <w:tcPr>
            <w:tcW w:w="510" w:type="pct"/>
            <w:tcBorders>
              <w:top w:val="single" w:color="auto" w:sz="4" w:space="0"/>
              <w:left w:val="single" w:color="auto" w:sz="4" w:space="0"/>
              <w:bottom w:val="single" w:color="auto" w:sz="4" w:space="0"/>
              <w:right w:val="single" w:color="auto" w:sz="4" w:space="0"/>
            </w:tcBorders>
            <w:vAlign w:val="center"/>
          </w:tcPr>
          <w:p w14:paraId="176EEB93">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15501F6D">
            <w:pPr>
              <w:pStyle w:val="83"/>
              <w:rPr>
                <w:rFonts w:hint="default"/>
                <w:highlight w:val="none"/>
              </w:rPr>
            </w:pPr>
            <w:r>
              <w:rPr>
                <w:highlight w:val="none"/>
              </w:rPr>
              <w:t>0.4</w:t>
            </w:r>
          </w:p>
        </w:tc>
        <w:tc>
          <w:tcPr>
            <w:tcW w:w="350" w:type="pct"/>
            <w:tcBorders>
              <w:top w:val="single" w:color="auto" w:sz="4" w:space="0"/>
              <w:left w:val="single" w:color="auto" w:sz="4" w:space="0"/>
              <w:bottom w:val="single" w:color="auto" w:sz="4" w:space="0"/>
              <w:right w:val="single" w:color="auto" w:sz="8" w:space="0"/>
            </w:tcBorders>
            <w:vAlign w:val="center"/>
          </w:tcPr>
          <w:p w14:paraId="3DD254D7">
            <w:pPr>
              <w:pStyle w:val="83"/>
              <w:rPr>
                <w:rFonts w:hint="default"/>
                <w:highlight w:val="none"/>
              </w:rPr>
            </w:pPr>
          </w:p>
        </w:tc>
      </w:tr>
      <w:tr w14:paraId="5189C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2977B400">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704137B1">
            <w:pPr>
              <w:pStyle w:val="83"/>
              <w:rPr>
                <w:rFonts w:hint="default"/>
                <w:highlight w:val="none"/>
              </w:rPr>
            </w:pPr>
            <w:r>
              <w:rPr>
                <w:highlight w:val="none"/>
              </w:rPr>
              <w:t>实验室废试剂瓶</w:t>
            </w:r>
          </w:p>
        </w:tc>
        <w:tc>
          <w:tcPr>
            <w:tcW w:w="696" w:type="pct"/>
            <w:tcBorders>
              <w:top w:val="single" w:color="auto" w:sz="4" w:space="0"/>
              <w:left w:val="single" w:color="auto" w:sz="4" w:space="0"/>
              <w:bottom w:val="single" w:color="auto" w:sz="4" w:space="0"/>
              <w:right w:val="single" w:color="auto" w:sz="4" w:space="0"/>
            </w:tcBorders>
            <w:vAlign w:val="center"/>
          </w:tcPr>
          <w:p w14:paraId="11027D63">
            <w:pPr>
              <w:pStyle w:val="83"/>
              <w:rPr>
                <w:rFonts w:hint="default"/>
                <w:highlight w:val="none"/>
              </w:rPr>
            </w:pPr>
            <w:r>
              <w:rPr>
                <w:highlight w:val="none"/>
              </w:rPr>
              <w:t>2.128</w:t>
            </w:r>
          </w:p>
        </w:tc>
        <w:tc>
          <w:tcPr>
            <w:tcW w:w="435" w:type="pct"/>
            <w:tcBorders>
              <w:top w:val="single" w:color="auto" w:sz="4" w:space="0"/>
              <w:left w:val="single" w:color="auto" w:sz="4" w:space="0"/>
              <w:bottom w:val="single" w:color="auto" w:sz="4" w:space="0"/>
              <w:right w:val="single" w:color="auto" w:sz="4" w:space="0"/>
            </w:tcBorders>
            <w:vAlign w:val="center"/>
          </w:tcPr>
          <w:p w14:paraId="2790EAA6">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7D86B82B">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34544FF8">
            <w:pPr>
              <w:pStyle w:val="83"/>
              <w:rPr>
                <w:rFonts w:hint="default"/>
                <w:highlight w:val="none"/>
              </w:rPr>
            </w:pPr>
            <w:r>
              <w:rPr>
                <w:highlight w:val="none"/>
              </w:rPr>
              <w:t>1</w:t>
            </w:r>
          </w:p>
        </w:tc>
        <w:tc>
          <w:tcPr>
            <w:tcW w:w="510" w:type="pct"/>
            <w:tcBorders>
              <w:top w:val="single" w:color="auto" w:sz="4" w:space="0"/>
              <w:left w:val="single" w:color="auto" w:sz="4" w:space="0"/>
              <w:bottom w:val="single" w:color="auto" w:sz="4" w:space="0"/>
              <w:right w:val="single" w:color="auto" w:sz="4" w:space="0"/>
            </w:tcBorders>
            <w:vAlign w:val="center"/>
          </w:tcPr>
          <w:p w14:paraId="218CAACC">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2C811573">
            <w:pPr>
              <w:pStyle w:val="83"/>
              <w:rPr>
                <w:rFonts w:hint="default"/>
                <w:highlight w:val="none"/>
              </w:rPr>
            </w:pPr>
            <w:r>
              <w:rPr>
                <w:highlight w:val="none"/>
              </w:rPr>
              <w:t>3.128</w:t>
            </w:r>
          </w:p>
        </w:tc>
        <w:tc>
          <w:tcPr>
            <w:tcW w:w="350" w:type="pct"/>
            <w:tcBorders>
              <w:top w:val="single" w:color="auto" w:sz="4" w:space="0"/>
              <w:left w:val="single" w:color="auto" w:sz="4" w:space="0"/>
              <w:bottom w:val="single" w:color="auto" w:sz="4" w:space="0"/>
              <w:right w:val="single" w:color="auto" w:sz="8" w:space="0"/>
            </w:tcBorders>
            <w:vAlign w:val="center"/>
          </w:tcPr>
          <w:p w14:paraId="6F209F3C">
            <w:pPr>
              <w:pStyle w:val="83"/>
              <w:rPr>
                <w:rFonts w:hint="default"/>
                <w:highlight w:val="none"/>
              </w:rPr>
            </w:pPr>
            <w:r>
              <w:rPr>
                <w:highlight w:val="none"/>
              </w:rPr>
              <w:t>+1</w:t>
            </w:r>
          </w:p>
        </w:tc>
      </w:tr>
      <w:tr w14:paraId="7744A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2D678731">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77BA3D29">
            <w:pPr>
              <w:pStyle w:val="83"/>
              <w:rPr>
                <w:rFonts w:hint="default"/>
                <w:highlight w:val="none"/>
              </w:rPr>
            </w:pPr>
            <w:r>
              <w:rPr>
                <w:highlight w:val="none"/>
              </w:rPr>
              <w:t>废活性炭</w:t>
            </w:r>
          </w:p>
        </w:tc>
        <w:tc>
          <w:tcPr>
            <w:tcW w:w="696" w:type="pct"/>
            <w:tcBorders>
              <w:top w:val="single" w:color="auto" w:sz="4" w:space="0"/>
              <w:left w:val="single" w:color="auto" w:sz="4" w:space="0"/>
              <w:bottom w:val="single" w:color="auto" w:sz="4" w:space="0"/>
              <w:right w:val="single" w:color="auto" w:sz="4" w:space="0"/>
            </w:tcBorders>
            <w:vAlign w:val="center"/>
          </w:tcPr>
          <w:p w14:paraId="3EC95058">
            <w:pPr>
              <w:pStyle w:val="83"/>
              <w:rPr>
                <w:rFonts w:hint="default"/>
                <w:highlight w:val="none"/>
              </w:rPr>
            </w:pPr>
            <w:r>
              <w:rPr>
                <w:highlight w:val="none"/>
              </w:rPr>
              <w:t>0.496</w:t>
            </w:r>
          </w:p>
        </w:tc>
        <w:tc>
          <w:tcPr>
            <w:tcW w:w="435" w:type="pct"/>
            <w:tcBorders>
              <w:top w:val="single" w:color="auto" w:sz="4" w:space="0"/>
              <w:left w:val="single" w:color="auto" w:sz="4" w:space="0"/>
              <w:bottom w:val="single" w:color="auto" w:sz="4" w:space="0"/>
              <w:right w:val="single" w:color="auto" w:sz="4" w:space="0"/>
            </w:tcBorders>
            <w:vAlign w:val="center"/>
          </w:tcPr>
          <w:p w14:paraId="4C1C22F3">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6E759C17">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30F21A10">
            <w:pPr>
              <w:pStyle w:val="83"/>
              <w:rPr>
                <w:rFonts w:hint="default"/>
                <w:highlight w:val="none"/>
              </w:rPr>
            </w:pPr>
            <w:r>
              <w:rPr>
                <w:highlight w:val="none"/>
              </w:rPr>
              <w:t>1</w:t>
            </w:r>
          </w:p>
        </w:tc>
        <w:tc>
          <w:tcPr>
            <w:tcW w:w="510" w:type="pct"/>
            <w:tcBorders>
              <w:top w:val="single" w:color="auto" w:sz="4" w:space="0"/>
              <w:left w:val="single" w:color="auto" w:sz="4" w:space="0"/>
              <w:bottom w:val="single" w:color="auto" w:sz="4" w:space="0"/>
              <w:right w:val="single" w:color="auto" w:sz="4" w:space="0"/>
            </w:tcBorders>
            <w:vAlign w:val="center"/>
          </w:tcPr>
          <w:p w14:paraId="52DEAD74">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43B12C95">
            <w:pPr>
              <w:pStyle w:val="83"/>
              <w:rPr>
                <w:rFonts w:hint="default"/>
                <w:highlight w:val="none"/>
              </w:rPr>
            </w:pPr>
            <w:r>
              <w:rPr>
                <w:highlight w:val="none"/>
              </w:rPr>
              <w:t>1.496</w:t>
            </w:r>
          </w:p>
        </w:tc>
        <w:tc>
          <w:tcPr>
            <w:tcW w:w="350" w:type="pct"/>
            <w:tcBorders>
              <w:top w:val="single" w:color="auto" w:sz="4" w:space="0"/>
              <w:left w:val="single" w:color="auto" w:sz="4" w:space="0"/>
              <w:bottom w:val="single" w:color="auto" w:sz="4" w:space="0"/>
              <w:right w:val="single" w:color="auto" w:sz="8" w:space="0"/>
            </w:tcBorders>
            <w:vAlign w:val="center"/>
          </w:tcPr>
          <w:p w14:paraId="7F082A1D">
            <w:pPr>
              <w:pStyle w:val="83"/>
              <w:rPr>
                <w:rFonts w:hint="default"/>
                <w:highlight w:val="none"/>
              </w:rPr>
            </w:pPr>
            <w:r>
              <w:rPr>
                <w:highlight w:val="none"/>
              </w:rPr>
              <w:t>+1</w:t>
            </w:r>
          </w:p>
        </w:tc>
      </w:tr>
      <w:tr w14:paraId="24A6D7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1ECE6C60">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70206DEC">
            <w:pPr>
              <w:pStyle w:val="83"/>
              <w:rPr>
                <w:rFonts w:hint="default"/>
                <w:highlight w:val="none"/>
              </w:rPr>
            </w:pPr>
            <w:r>
              <w:rPr>
                <w:highlight w:val="none"/>
              </w:rPr>
              <w:t>废离子交换树脂</w:t>
            </w:r>
          </w:p>
        </w:tc>
        <w:tc>
          <w:tcPr>
            <w:tcW w:w="696" w:type="pct"/>
            <w:tcBorders>
              <w:top w:val="single" w:color="auto" w:sz="4" w:space="0"/>
              <w:left w:val="single" w:color="auto" w:sz="4" w:space="0"/>
              <w:bottom w:val="single" w:color="auto" w:sz="4" w:space="0"/>
              <w:right w:val="single" w:color="auto" w:sz="4" w:space="0"/>
            </w:tcBorders>
            <w:vAlign w:val="center"/>
          </w:tcPr>
          <w:p w14:paraId="2725E8C7">
            <w:pPr>
              <w:pStyle w:val="83"/>
              <w:rPr>
                <w:rFonts w:hint="default"/>
                <w:highlight w:val="none"/>
              </w:rPr>
            </w:pPr>
            <w:r>
              <w:rPr>
                <w:highlight w:val="none"/>
              </w:rPr>
              <w:t>15.403</w:t>
            </w:r>
          </w:p>
        </w:tc>
        <w:tc>
          <w:tcPr>
            <w:tcW w:w="435" w:type="pct"/>
            <w:tcBorders>
              <w:top w:val="single" w:color="auto" w:sz="4" w:space="0"/>
              <w:left w:val="single" w:color="auto" w:sz="4" w:space="0"/>
              <w:bottom w:val="single" w:color="auto" w:sz="4" w:space="0"/>
              <w:right w:val="single" w:color="auto" w:sz="4" w:space="0"/>
            </w:tcBorders>
            <w:vAlign w:val="center"/>
          </w:tcPr>
          <w:p w14:paraId="745FDF73">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1D0C31B8">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77DC2BE5">
            <w:pPr>
              <w:pStyle w:val="83"/>
              <w:rPr>
                <w:rFonts w:hint="default"/>
                <w:highlight w:val="none"/>
              </w:rPr>
            </w:pPr>
          </w:p>
        </w:tc>
        <w:tc>
          <w:tcPr>
            <w:tcW w:w="510" w:type="pct"/>
            <w:tcBorders>
              <w:top w:val="single" w:color="auto" w:sz="4" w:space="0"/>
              <w:left w:val="single" w:color="auto" w:sz="4" w:space="0"/>
              <w:bottom w:val="single" w:color="auto" w:sz="4" w:space="0"/>
              <w:right w:val="single" w:color="auto" w:sz="4" w:space="0"/>
            </w:tcBorders>
            <w:vAlign w:val="center"/>
          </w:tcPr>
          <w:p w14:paraId="548CD80B">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3A48EE8B">
            <w:pPr>
              <w:pStyle w:val="83"/>
              <w:rPr>
                <w:rFonts w:hint="default"/>
                <w:highlight w:val="none"/>
              </w:rPr>
            </w:pPr>
            <w:r>
              <w:rPr>
                <w:highlight w:val="none"/>
              </w:rPr>
              <w:t>15.403</w:t>
            </w:r>
          </w:p>
        </w:tc>
        <w:tc>
          <w:tcPr>
            <w:tcW w:w="350" w:type="pct"/>
            <w:tcBorders>
              <w:top w:val="single" w:color="auto" w:sz="4" w:space="0"/>
              <w:left w:val="single" w:color="auto" w:sz="4" w:space="0"/>
              <w:bottom w:val="single" w:color="auto" w:sz="4" w:space="0"/>
              <w:right w:val="single" w:color="auto" w:sz="8" w:space="0"/>
            </w:tcBorders>
            <w:vAlign w:val="center"/>
          </w:tcPr>
          <w:p w14:paraId="1AF42E74">
            <w:pPr>
              <w:pStyle w:val="83"/>
              <w:rPr>
                <w:rFonts w:hint="default"/>
                <w:highlight w:val="none"/>
              </w:rPr>
            </w:pPr>
          </w:p>
        </w:tc>
      </w:tr>
      <w:tr w14:paraId="2281F2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28" w:type="pct"/>
            <w:vMerge w:val="continue"/>
            <w:tcBorders>
              <w:left w:val="single" w:color="auto" w:sz="8" w:space="0"/>
              <w:right w:val="single" w:color="auto" w:sz="4" w:space="0"/>
            </w:tcBorders>
            <w:vAlign w:val="center"/>
          </w:tcPr>
          <w:p w14:paraId="2FA469A3">
            <w:pPr>
              <w:pStyle w:val="83"/>
              <w:rPr>
                <w:rFonts w:hint="default"/>
                <w:highlight w:val="none"/>
              </w:rPr>
            </w:pPr>
          </w:p>
        </w:tc>
        <w:tc>
          <w:tcPr>
            <w:tcW w:w="649" w:type="pct"/>
            <w:tcBorders>
              <w:top w:val="single" w:color="auto" w:sz="4" w:space="0"/>
              <w:left w:val="single" w:color="auto" w:sz="4" w:space="0"/>
              <w:bottom w:val="single" w:color="auto" w:sz="4" w:space="0"/>
              <w:right w:val="single" w:color="auto" w:sz="4" w:space="0"/>
            </w:tcBorders>
            <w:vAlign w:val="center"/>
          </w:tcPr>
          <w:p w14:paraId="51756CA7">
            <w:pPr>
              <w:pStyle w:val="83"/>
              <w:rPr>
                <w:rFonts w:hint="default"/>
                <w:highlight w:val="none"/>
              </w:rPr>
            </w:pPr>
            <w:r>
              <w:rPr>
                <w:highlight w:val="none"/>
              </w:rPr>
              <w:t>锅炉灰渣</w:t>
            </w:r>
          </w:p>
          <w:p w14:paraId="20D625BA">
            <w:pPr>
              <w:pStyle w:val="83"/>
              <w:rPr>
                <w:rFonts w:hint="default"/>
                <w:highlight w:val="none"/>
              </w:rPr>
            </w:pPr>
            <w:r>
              <w:rPr>
                <w:highlight w:val="none"/>
              </w:rPr>
              <w:t>（待鉴别）</w:t>
            </w:r>
          </w:p>
        </w:tc>
        <w:tc>
          <w:tcPr>
            <w:tcW w:w="696" w:type="pct"/>
            <w:tcBorders>
              <w:top w:val="single" w:color="auto" w:sz="4" w:space="0"/>
              <w:left w:val="single" w:color="auto" w:sz="4" w:space="0"/>
              <w:bottom w:val="single" w:color="auto" w:sz="4" w:space="0"/>
              <w:right w:val="single" w:color="auto" w:sz="4" w:space="0"/>
            </w:tcBorders>
            <w:vAlign w:val="center"/>
          </w:tcPr>
          <w:p w14:paraId="527208FE">
            <w:pPr>
              <w:pStyle w:val="83"/>
              <w:rPr>
                <w:rFonts w:hint="default"/>
                <w:highlight w:val="none"/>
              </w:rPr>
            </w:pPr>
            <w:r>
              <w:rPr>
                <w:highlight w:val="none"/>
              </w:rPr>
              <w:t>2217</w:t>
            </w:r>
          </w:p>
        </w:tc>
        <w:tc>
          <w:tcPr>
            <w:tcW w:w="435" w:type="pct"/>
            <w:tcBorders>
              <w:top w:val="single" w:color="auto" w:sz="4" w:space="0"/>
              <w:left w:val="single" w:color="auto" w:sz="4" w:space="0"/>
              <w:bottom w:val="single" w:color="auto" w:sz="4" w:space="0"/>
              <w:right w:val="single" w:color="auto" w:sz="4" w:space="0"/>
            </w:tcBorders>
            <w:vAlign w:val="center"/>
          </w:tcPr>
          <w:p w14:paraId="7BCFC97E">
            <w:pPr>
              <w:pStyle w:val="83"/>
              <w:rPr>
                <w:rFonts w:hint="default"/>
                <w:highlight w:val="none"/>
              </w:rPr>
            </w:pPr>
          </w:p>
        </w:tc>
        <w:tc>
          <w:tcPr>
            <w:tcW w:w="613" w:type="pct"/>
            <w:tcBorders>
              <w:top w:val="single" w:color="auto" w:sz="4" w:space="0"/>
              <w:left w:val="single" w:color="auto" w:sz="4" w:space="0"/>
              <w:bottom w:val="single" w:color="auto" w:sz="4" w:space="0"/>
              <w:right w:val="single" w:color="auto" w:sz="4" w:space="0"/>
            </w:tcBorders>
            <w:vAlign w:val="center"/>
          </w:tcPr>
          <w:p w14:paraId="6D71E314">
            <w:pPr>
              <w:pStyle w:val="83"/>
              <w:rPr>
                <w:rFonts w:hint="default"/>
                <w:highlight w:val="none"/>
              </w:rPr>
            </w:pPr>
          </w:p>
        </w:tc>
        <w:tc>
          <w:tcPr>
            <w:tcW w:w="596" w:type="pct"/>
            <w:tcBorders>
              <w:top w:val="single" w:color="auto" w:sz="4" w:space="0"/>
              <w:left w:val="single" w:color="auto" w:sz="4" w:space="0"/>
              <w:bottom w:val="single" w:color="auto" w:sz="4" w:space="0"/>
              <w:right w:val="single" w:color="auto" w:sz="4" w:space="0"/>
            </w:tcBorders>
            <w:vAlign w:val="center"/>
          </w:tcPr>
          <w:p w14:paraId="45215D4B">
            <w:pPr>
              <w:pStyle w:val="83"/>
              <w:rPr>
                <w:rFonts w:hint="default"/>
                <w:highlight w:val="none"/>
              </w:rPr>
            </w:pPr>
          </w:p>
        </w:tc>
        <w:tc>
          <w:tcPr>
            <w:tcW w:w="510" w:type="pct"/>
            <w:tcBorders>
              <w:top w:val="single" w:color="auto" w:sz="4" w:space="0"/>
              <w:left w:val="single" w:color="auto" w:sz="4" w:space="0"/>
              <w:bottom w:val="single" w:color="auto" w:sz="4" w:space="0"/>
              <w:right w:val="single" w:color="auto" w:sz="4" w:space="0"/>
            </w:tcBorders>
            <w:vAlign w:val="center"/>
          </w:tcPr>
          <w:p w14:paraId="2C04D6CC">
            <w:pPr>
              <w:pStyle w:val="83"/>
              <w:rPr>
                <w:rFonts w:hint="default"/>
                <w:highlight w:val="none"/>
              </w:rPr>
            </w:pPr>
          </w:p>
        </w:tc>
        <w:tc>
          <w:tcPr>
            <w:tcW w:w="719" w:type="pct"/>
            <w:tcBorders>
              <w:top w:val="single" w:color="auto" w:sz="4" w:space="0"/>
              <w:left w:val="single" w:color="auto" w:sz="4" w:space="0"/>
              <w:bottom w:val="single" w:color="auto" w:sz="4" w:space="0"/>
              <w:right w:val="single" w:color="auto" w:sz="4" w:space="0"/>
            </w:tcBorders>
            <w:vAlign w:val="center"/>
          </w:tcPr>
          <w:p w14:paraId="50B10DB3">
            <w:pPr>
              <w:pStyle w:val="83"/>
              <w:rPr>
                <w:rFonts w:hint="default"/>
                <w:highlight w:val="none"/>
              </w:rPr>
            </w:pPr>
            <w:r>
              <w:rPr>
                <w:highlight w:val="none"/>
              </w:rPr>
              <w:t>2217</w:t>
            </w:r>
          </w:p>
        </w:tc>
        <w:tc>
          <w:tcPr>
            <w:tcW w:w="350" w:type="pct"/>
            <w:tcBorders>
              <w:top w:val="single" w:color="auto" w:sz="4" w:space="0"/>
              <w:left w:val="single" w:color="auto" w:sz="4" w:space="0"/>
              <w:bottom w:val="single" w:color="auto" w:sz="4" w:space="0"/>
              <w:right w:val="single" w:color="auto" w:sz="8" w:space="0"/>
            </w:tcBorders>
            <w:vAlign w:val="center"/>
          </w:tcPr>
          <w:p w14:paraId="336771B5">
            <w:pPr>
              <w:pStyle w:val="83"/>
              <w:rPr>
                <w:rFonts w:hint="default"/>
                <w:highlight w:val="none"/>
              </w:rPr>
            </w:pPr>
          </w:p>
        </w:tc>
      </w:tr>
    </w:tbl>
    <w:p w14:paraId="6E4FC8E7">
      <w:pPr>
        <w:pStyle w:val="39"/>
        <w:spacing w:before="192" w:beforeLines="80" w:after="24"/>
        <w:ind w:firstLine="480"/>
        <w:jc w:val="left"/>
        <w:rPr>
          <w:rFonts w:hint="eastAsia" w:hAnsi="宋体" w:cs="宋体"/>
          <w:spacing w:val="-6"/>
          <w:kern w:val="21"/>
          <w:szCs w:val="21"/>
        </w:rPr>
      </w:pPr>
      <w:r>
        <w:rPr>
          <w:rFonts w:hint="eastAsia"/>
          <w:kern w:val="21"/>
        </w:rPr>
        <w:t>注：</w:t>
      </w:r>
      <w:r>
        <w:rPr>
          <w:rFonts w:hint="eastAsia"/>
        </w:rPr>
        <w:t>⑥</w:t>
      </w:r>
      <w:r>
        <w:rPr>
          <w:rFonts w:hint="eastAsia"/>
          <w:spacing w:val="-16"/>
          <w:kern w:val="21"/>
        </w:rPr>
        <w:t>=</w:t>
      </w:r>
      <w:r>
        <w:rPr>
          <w:rFonts w:hint="eastAsia"/>
        </w:rPr>
        <w:t>①</w:t>
      </w:r>
      <w:r>
        <w:rPr>
          <w:rFonts w:hint="eastAsia"/>
          <w:spacing w:val="-6"/>
          <w:kern w:val="21"/>
        </w:rPr>
        <w:t>+</w:t>
      </w:r>
      <w:r>
        <w:rPr>
          <w:rFonts w:hint="eastAsia"/>
        </w:rPr>
        <w:t>③</w:t>
      </w:r>
      <w:r>
        <w:rPr>
          <w:rFonts w:hint="eastAsia"/>
          <w:spacing w:val="-6"/>
          <w:kern w:val="21"/>
        </w:rPr>
        <w:t>+</w:t>
      </w:r>
      <w:r>
        <w:rPr>
          <w:rFonts w:hint="eastAsia"/>
        </w:rPr>
        <w:t>④</w:t>
      </w:r>
      <w:r>
        <w:rPr>
          <w:rFonts w:hint="eastAsia"/>
          <w:spacing w:val="-6"/>
          <w:kern w:val="21"/>
        </w:rPr>
        <w:t>-</w:t>
      </w:r>
      <w:r>
        <w:rPr>
          <w:rFonts w:hint="eastAsia"/>
        </w:rPr>
        <w:t>⑤</w:t>
      </w:r>
      <w:r>
        <w:rPr>
          <w:rFonts w:hint="eastAsia"/>
          <w:spacing w:val="-16"/>
          <w:kern w:val="21"/>
        </w:rPr>
        <w:t>；</w:t>
      </w:r>
      <w:r>
        <w:rPr>
          <w:rFonts w:hint="eastAsia"/>
        </w:rPr>
        <w:t>⑦</w:t>
      </w:r>
      <w:r>
        <w:rPr>
          <w:rFonts w:hint="eastAsia"/>
          <w:spacing w:val="-6"/>
          <w:kern w:val="21"/>
        </w:rPr>
        <w:t>=</w:t>
      </w:r>
      <w:r>
        <w:rPr>
          <w:rFonts w:hint="eastAsia"/>
        </w:rPr>
        <w:t>⑥</w:t>
      </w:r>
      <w:r>
        <w:rPr>
          <w:rFonts w:hint="eastAsia"/>
          <w:spacing w:val="-16"/>
          <w:kern w:val="21"/>
        </w:rPr>
        <w:t>-</w:t>
      </w:r>
      <w:r>
        <w:rPr>
          <w:rFonts w:hint="eastAsia"/>
        </w:rPr>
        <w:t>①</w:t>
      </w:r>
    </w:p>
    <w:p w14:paraId="05DB28FA">
      <w:pPr>
        <w:ind w:firstLine="480"/>
        <w:jc w:val="center"/>
        <w:rPr>
          <w:rFonts w:hint="eastAsia" w:ascii="宋体" w:hAnsi="宋体"/>
        </w:rPr>
        <w:sectPr>
          <w:pgSz w:w="15840" w:h="12240" w:orient="landscape"/>
          <w:pgMar w:top="1800" w:right="1440" w:bottom="1800" w:left="1440" w:header="850" w:footer="1077" w:gutter="0"/>
          <w:pgBorders>
            <w:top w:val="none" w:sz="0" w:space="0"/>
            <w:left w:val="none" w:sz="0" w:space="0"/>
            <w:bottom w:val="none" w:sz="0" w:space="0"/>
            <w:right w:val="none" w:sz="0" w:space="0"/>
          </w:pgBorders>
          <w:cols w:space="720" w:num="1"/>
          <w:docGrid w:linePitch="286" w:charSpace="0"/>
        </w:sectPr>
      </w:pPr>
    </w:p>
    <w:p w14:paraId="43BFB764">
      <w:pPr>
        <w:pStyle w:val="2"/>
        <w:spacing w:before="120" w:after="120"/>
        <w:rPr>
          <w:color w:val="auto"/>
          <w:highlight w:val="yellow"/>
        </w:rPr>
      </w:pPr>
      <w:r>
        <w:rPr>
          <w:color w:val="auto"/>
        </w:rPr>
        <w:t>附件</w:t>
      </w:r>
      <w:r>
        <w:rPr>
          <w:rFonts w:hint="eastAsia"/>
          <w:color w:val="auto"/>
        </w:rPr>
        <w:t>1委托书</w:t>
      </w:r>
    </w:p>
    <w:p w14:paraId="2CEB567D">
      <w:pPr>
        <w:pStyle w:val="6"/>
      </w:pPr>
      <w:r>
        <w:drawing>
          <wp:inline distT="0" distB="0" distL="114300" distR="114300">
            <wp:extent cx="5157470" cy="7919720"/>
            <wp:effectExtent l="0" t="0" r="5080" b="5080"/>
            <wp:docPr id="7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
                    <pic:cNvPicPr>
                      <a:picLocks noChangeAspect="1"/>
                    </pic:cNvPicPr>
                  </pic:nvPicPr>
                  <pic:blipFill>
                    <a:blip r:embed="rId52"/>
                    <a:stretch>
                      <a:fillRect/>
                    </a:stretch>
                  </pic:blipFill>
                  <pic:spPr>
                    <a:xfrm>
                      <a:off x="0" y="0"/>
                      <a:ext cx="5157470" cy="7919720"/>
                    </a:xfrm>
                    <a:prstGeom prst="rect">
                      <a:avLst/>
                    </a:prstGeom>
                    <a:noFill/>
                    <a:ln>
                      <a:noFill/>
                    </a:ln>
                  </pic:spPr>
                </pic:pic>
              </a:graphicData>
            </a:graphic>
          </wp:inline>
        </w:drawing>
      </w:r>
      <w:r>
        <w:br w:type="page"/>
      </w:r>
    </w:p>
    <w:p w14:paraId="5B61C71C">
      <w:pPr>
        <w:pStyle w:val="2"/>
        <w:spacing w:before="120" w:after="120"/>
        <w:rPr>
          <w:color w:val="auto"/>
        </w:rPr>
      </w:pPr>
      <w:r>
        <w:rPr>
          <w:color w:val="auto"/>
        </w:rPr>
        <w:t>附件</w:t>
      </w:r>
      <w:r>
        <w:rPr>
          <w:rFonts w:hint="eastAsia"/>
          <w:color w:val="auto"/>
        </w:rPr>
        <w:t>2项目备案表</w:t>
      </w:r>
    </w:p>
    <w:p w14:paraId="512064DF">
      <w:pPr>
        <w:pStyle w:val="6"/>
        <w:rPr>
          <w:rFonts w:hint="eastAsia" w:eastAsia="宋体"/>
          <w:lang w:eastAsia="zh-CN"/>
        </w:rPr>
      </w:pPr>
      <w:r>
        <w:rPr>
          <w:rFonts w:hint="eastAsia" w:eastAsia="宋体"/>
          <w:lang w:eastAsia="zh-CN"/>
        </w:rPr>
        <w:drawing>
          <wp:inline distT="0" distB="0" distL="114300" distR="114300">
            <wp:extent cx="5603240" cy="3959225"/>
            <wp:effectExtent l="0" t="0" r="16510" b="3175"/>
            <wp:docPr id="79" name="图片 79" descr="备案表_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备案表_新"/>
                    <pic:cNvPicPr>
                      <a:picLocks noChangeAspect="1"/>
                    </pic:cNvPicPr>
                  </pic:nvPicPr>
                  <pic:blipFill>
                    <a:blip r:embed="rId53"/>
                    <a:stretch>
                      <a:fillRect/>
                    </a:stretch>
                  </pic:blipFill>
                  <pic:spPr>
                    <a:xfrm>
                      <a:off x="0" y="0"/>
                      <a:ext cx="5603240" cy="3959225"/>
                    </a:xfrm>
                    <a:prstGeom prst="rect">
                      <a:avLst/>
                    </a:prstGeom>
                  </pic:spPr>
                </pic:pic>
              </a:graphicData>
            </a:graphic>
          </wp:inline>
        </w:drawing>
      </w:r>
    </w:p>
    <w:p w14:paraId="62CAA7D6">
      <w:pPr>
        <w:pStyle w:val="13"/>
        <w:sectPr>
          <w:footerReference r:id="rId12" w:type="default"/>
          <w:type w:val="continuous"/>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pPr>
      <w:bookmarkStart w:id="31" w:name="_GoBack"/>
      <w:bookmarkEnd w:id="31"/>
    </w:p>
    <w:p w14:paraId="0CC3C8EF">
      <w:pPr>
        <w:jc w:val="both"/>
      </w:pPr>
    </w:p>
    <w:sectPr>
      <w:pgSz w:w="11906" w:h="16838"/>
      <w:pgMar w:top="1701" w:right="1531" w:bottom="1701" w:left="1531" w:header="851" w:footer="1077" w:gutter="0"/>
      <w:pgBorders>
        <w:top w:val="none" w:sz="0" w:space="0"/>
        <w:left w:val="none" w:sz="0" w:space="0"/>
        <w:bottom w:val="none" w:sz="0" w:space="0"/>
        <w:right w:val="none" w:sz="0" w:space="0"/>
      </w:pgBorders>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DCAC188-63C8-40DF-AAEB-6A3B9936E030}"/>
  </w:font>
  <w:font w:name="黑体">
    <w:panose1 w:val="02010609060101010101"/>
    <w:charset w:val="86"/>
    <w:family w:val="auto"/>
    <w:pitch w:val="default"/>
    <w:sig w:usb0="800002BF" w:usb1="38CF7CFA" w:usb2="00000016" w:usb3="00000000" w:csb0="00040001" w:csb1="00000000"/>
    <w:embedRegular r:id="rId2" w:fontKey="{75F8BE22-7A98-4D70-91F6-E113C8E739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3" w:fontKey="{925B4A8F-E85B-4493-AF51-DC6A60170F55}"/>
  </w:font>
  <w:font w:name="Wingdings 2">
    <w:panose1 w:val="05020102010507070707"/>
    <w:charset w:val="02"/>
    <w:family w:val="roman"/>
    <w:pitch w:val="default"/>
    <w:sig w:usb0="00000000" w:usb1="00000000" w:usb2="00000000" w:usb3="00000000" w:csb0="80000000" w:csb1="00000000"/>
    <w:embedRegular r:id="rId4" w:fontKey="{1E409C84-7844-45BD-A270-B04E972C6F5E}"/>
  </w:font>
  <w:font w:name="等线">
    <w:panose1 w:val="02010600030101010101"/>
    <w:charset w:val="86"/>
    <w:family w:val="auto"/>
    <w:pitch w:val="default"/>
    <w:sig w:usb0="A00002BF" w:usb1="38CF7CFA" w:usb2="00000016" w:usb3="00000000" w:csb0="0004000F" w:csb1="00000000"/>
    <w:embedRegular r:id="rId5" w:fontKey="{B03CB475-8252-418D-A61E-47F1ED312218}"/>
  </w:font>
  <w:font w:name="Cambria Math">
    <w:panose1 w:val="02040503050406030204"/>
    <w:charset w:val="00"/>
    <w:family w:val="roman"/>
    <w:pitch w:val="default"/>
    <w:sig w:usb0="E00006FF" w:usb1="420024FF" w:usb2="02000000" w:usb3="00000000" w:csb0="2000019F" w:csb1="00000000"/>
    <w:embedRegular r:id="rId6" w:fontKey="{01FD321D-F412-42A7-8ABD-625995861158}"/>
  </w:font>
  <w:font w:name="方正小标宋_GBK">
    <w:panose1 w:val="02000000000000000000"/>
    <w:charset w:val="86"/>
    <w:family w:val="script"/>
    <w:pitch w:val="default"/>
    <w:sig w:usb0="A00002BF" w:usb1="38CF7CFA" w:usb2="00082016" w:usb3="00000000" w:csb0="00040001" w:csb1="00000000"/>
    <w:embedRegular r:id="rId7" w:fontKey="{04621C41-3088-4C46-A2B9-F3B755CD0F91}"/>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9112A">
    <w:pPr>
      <w:pStyle w:val="11"/>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5C7BE">
    <w:pPr>
      <w:pStyle w:val="11"/>
      <w:framePr w:wrap="around" w:vAnchor="text" w:hAnchor="margin" w:xAlign="center" w:y="1"/>
      <w:ind w:firstLine="360"/>
      <w:rPr>
        <w:rStyle w:val="20"/>
      </w:rPr>
    </w:pPr>
    <w:r>
      <w:fldChar w:fldCharType="begin"/>
    </w:r>
    <w:r>
      <w:rPr>
        <w:rStyle w:val="20"/>
      </w:rPr>
      <w:instrText xml:space="preserve">PAGE  </w:instrText>
    </w:r>
    <w:r>
      <w:fldChar w:fldCharType="separate"/>
    </w:r>
    <w:r>
      <w:rPr>
        <w:rStyle w:val="20"/>
      </w:rPr>
      <w:t>3</w:t>
    </w:r>
    <w:r>
      <w:fldChar w:fldCharType="end"/>
    </w:r>
  </w:p>
  <w:p w14:paraId="639C8FA0">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93969">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D7958">
    <w:pPr>
      <w:pStyle w:val="11"/>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1739"/>
    </w:sdtPr>
    <w:sdtContent>
      <w:p w14:paraId="48142525">
        <w:pPr>
          <w:pStyle w:val="11"/>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8355948"/>
    </w:sdtPr>
    <w:sdtContent>
      <w:p w14:paraId="3FC6643B">
        <w:pPr>
          <w:pStyle w:val="11"/>
          <w:ind w:firstLine="360"/>
          <w:jc w:val="center"/>
        </w:pPr>
        <w:r>
          <w:fldChar w:fldCharType="begin"/>
        </w:r>
        <w:r>
          <w:instrText xml:space="preserve">PAGE   \* MERGEFORMAT</w:instrText>
        </w:r>
        <w:r>
          <w:fldChar w:fldCharType="separate"/>
        </w:r>
        <w:r>
          <w:rPr>
            <w:lang w:val="zh-CN"/>
          </w:rPr>
          <w:t>2</w:t>
        </w:r>
        <w:r>
          <w:fldChar w:fldCharType="end"/>
        </w:r>
      </w:p>
    </w:sdtContent>
  </w:sdt>
  <w:p w14:paraId="39000726">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31DCF">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54329">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isplayHorizontalDrawingGridEvery w:val="0"/>
  <w:displayVerticalDrawingGridEvery w:val="2"/>
  <w:characterSpacingControl w:val="doNotCompress"/>
  <w:footnotePr>
    <w:footnote w:id="0"/>
    <w:footnote w:id="1"/>
  </w:footnotePr>
  <w:endnotePr>
    <w:endnote w:id="0"/>
    <w:endnote w:id="1"/>
  </w:endnotePr>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U4MDkxYjJiMjU1NGVmNzJlNTA1M2I1OTMyMzY3MGYifQ=="/>
  </w:docVars>
  <w:rsids>
    <w:rsidRoot w:val="00A14947"/>
    <w:rsid w:val="00000DA1"/>
    <w:rsid w:val="0000186D"/>
    <w:rsid w:val="00004452"/>
    <w:rsid w:val="000060B3"/>
    <w:rsid w:val="00014663"/>
    <w:rsid w:val="0001596D"/>
    <w:rsid w:val="00015EFA"/>
    <w:rsid w:val="000164F3"/>
    <w:rsid w:val="00016A84"/>
    <w:rsid w:val="000173A7"/>
    <w:rsid w:val="00020430"/>
    <w:rsid w:val="000214E3"/>
    <w:rsid w:val="0002150E"/>
    <w:rsid w:val="00022BB6"/>
    <w:rsid w:val="000235DD"/>
    <w:rsid w:val="00025076"/>
    <w:rsid w:val="0002672B"/>
    <w:rsid w:val="000271BD"/>
    <w:rsid w:val="00027FA2"/>
    <w:rsid w:val="00032283"/>
    <w:rsid w:val="0003587B"/>
    <w:rsid w:val="000359AF"/>
    <w:rsid w:val="000412E8"/>
    <w:rsid w:val="00041CEA"/>
    <w:rsid w:val="00042BE5"/>
    <w:rsid w:val="000432CB"/>
    <w:rsid w:val="0004364B"/>
    <w:rsid w:val="00044B4F"/>
    <w:rsid w:val="0004504A"/>
    <w:rsid w:val="0005098F"/>
    <w:rsid w:val="00050F9C"/>
    <w:rsid w:val="0005189C"/>
    <w:rsid w:val="0005510E"/>
    <w:rsid w:val="0005536F"/>
    <w:rsid w:val="000563FD"/>
    <w:rsid w:val="00057060"/>
    <w:rsid w:val="00061B1F"/>
    <w:rsid w:val="000620F9"/>
    <w:rsid w:val="00062D34"/>
    <w:rsid w:val="00063D38"/>
    <w:rsid w:val="00072D9E"/>
    <w:rsid w:val="000733C4"/>
    <w:rsid w:val="00073501"/>
    <w:rsid w:val="000746C0"/>
    <w:rsid w:val="00074783"/>
    <w:rsid w:val="00075D3B"/>
    <w:rsid w:val="00077263"/>
    <w:rsid w:val="0008070B"/>
    <w:rsid w:val="000807BF"/>
    <w:rsid w:val="00081059"/>
    <w:rsid w:val="000810AC"/>
    <w:rsid w:val="00081A02"/>
    <w:rsid w:val="00082231"/>
    <w:rsid w:val="000828B7"/>
    <w:rsid w:val="000848B9"/>
    <w:rsid w:val="00084B3A"/>
    <w:rsid w:val="0009053D"/>
    <w:rsid w:val="00092D38"/>
    <w:rsid w:val="0009377B"/>
    <w:rsid w:val="00095FDE"/>
    <w:rsid w:val="000A20C9"/>
    <w:rsid w:val="000A27F6"/>
    <w:rsid w:val="000A49B2"/>
    <w:rsid w:val="000A5608"/>
    <w:rsid w:val="000A5EE0"/>
    <w:rsid w:val="000B058F"/>
    <w:rsid w:val="000B06AE"/>
    <w:rsid w:val="000B0AF1"/>
    <w:rsid w:val="000B1200"/>
    <w:rsid w:val="000B1593"/>
    <w:rsid w:val="000B4467"/>
    <w:rsid w:val="000B4DB9"/>
    <w:rsid w:val="000B64CE"/>
    <w:rsid w:val="000C0805"/>
    <w:rsid w:val="000C09AC"/>
    <w:rsid w:val="000C2C81"/>
    <w:rsid w:val="000C35FD"/>
    <w:rsid w:val="000C4FA6"/>
    <w:rsid w:val="000C5889"/>
    <w:rsid w:val="000C767F"/>
    <w:rsid w:val="000D5A44"/>
    <w:rsid w:val="000D70F6"/>
    <w:rsid w:val="000E0898"/>
    <w:rsid w:val="000E19FC"/>
    <w:rsid w:val="000E1D09"/>
    <w:rsid w:val="000E3ED2"/>
    <w:rsid w:val="000E5F9C"/>
    <w:rsid w:val="000F1592"/>
    <w:rsid w:val="000F31CE"/>
    <w:rsid w:val="000F3E35"/>
    <w:rsid w:val="000F70BC"/>
    <w:rsid w:val="00100EEA"/>
    <w:rsid w:val="00102997"/>
    <w:rsid w:val="00103E97"/>
    <w:rsid w:val="00105568"/>
    <w:rsid w:val="00105AAC"/>
    <w:rsid w:val="001078B6"/>
    <w:rsid w:val="00107C4E"/>
    <w:rsid w:val="00110E24"/>
    <w:rsid w:val="00113420"/>
    <w:rsid w:val="0011393E"/>
    <w:rsid w:val="001155D0"/>
    <w:rsid w:val="00117B48"/>
    <w:rsid w:val="00117CDD"/>
    <w:rsid w:val="001214E1"/>
    <w:rsid w:val="00124533"/>
    <w:rsid w:val="00124CD3"/>
    <w:rsid w:val="00130025"/>
    <w:rsid w:val="00130AEB"/>
    <w:rsid w:val="00131F42"/>
    <w:rsid w:val="00131F72"/>
    <w:rsid w:val="00133379"/>
    <w:rsid w:val="001357F1"/>
    <w:rsid w:val="00136197"/>
    <w:rsid w:val="001376C1"/>
    <w:rsid w:val="00140182"/>
    <w:rsid w:val="00140FA8"/>
    <w:rsid w:val="00141C8D"/>
    <w:rsid w:val="001425E5"/>
    <w:rsid w:val="00142FEB"/>
    <w:rsid w:val="0014388D"/>
    <w:rsid w:val="00143A2D"/>
    <w:rsid w:val="00143A65"/>
    <w:rsid w:val="00143DC7"/>
    <w:rsid w:val="0014420E"/>
    <w:rsid w:val="00145A41"/>
    <w:rsid w:val="00147ECF"/>
    <w:rsid w:val="00151675"/>
    <w:rsid w:val="00151F38"/>
    <w:rsid w:val="00155DF4"/>
    <w:rsid w:val="00156A2C"/>
    <w:rsid w:val="00157435"/>
    <w:rsid w:val="00160340"/>
    <w:rsid w:val="00161984"/>
    <w:rsid w:val="00163733"/>
    <w:rsid w:val="00167A7B"/>
    <w:rsid w:val="0017247A"/>
    <w:rsid w:val="0017326A"/>
    <w:rsid w:val="0017504D"/>
    <w:rsid w:val="0017671A"/>
    <w:rsid w:val="0017684A"/>
    <w:rsid w:val="00177422"/>
    <w:rsid w:val="00182BCC"/>
    <w:rsid w:val="001839E8"/>
    <w:rsid w:val="00184590"/>
    <w:rsid w:val="001861AD"/>
    <w:rsid w:val="001870D1"/>
    <w:rsid w:val="00187243"/>
    <w:rsid w:val="0018781E"/>
    <w:rsid w:val="0019262D"/>
    <w:rsid w:val="00196234"/>
    <w:rsid w:val="001976D1"/>
    <w:rsid w:val="001A0317"/>
    <w:rsid w:val="001A1B35"/>
    <w:rsid w:val="001A1C7E"/>
    <w:rsid w:val="001A1DF6"/>
    <w:rsid w:val="001A2E51"/>
    <w:rsid w:val="001A4630"/>
    <w:rsid w:val="001A48A2"/>
    <w:rsid w:val="001A4998"/>
    <w:rsid w:val="001A6F61"/>
    <w:rsid w:val="001A7FAB"/>
    <w:rsid w:val="001B4F0E"/>
    <w:rsid w:val="001B69C4"/>
    <w:rsid w:val="001B6ECE"/>
    <w:rsid w:val="001B72B8"/>
    <w:rsid w:val="001B79AA"/>
    <w:rsid w:val="001C0620"/>
    <w:rsid w:val="001C2DC2"/>
    <w:rsid w:val="001C2FE8"/>
    <w:rsid w:val="001C3219"/>
    <w:rsid w:val="001C3725"/>
    <w:rsid w:val="001C59B9"/>
    <w:rsid w:val="001C5E2C"/>
    <w:rsid w:val="001C69B3"/>
    <w:rsid w:val="001C768A"/>
    <w:rsid w:val="001D064F"/>
    <w:rsid w:val="001D14F3"/>
    <w:rsid w:val="001D5595"/>
    <w:rsid w:val="001D5847"/>
    <w:rsid w:val="001D65DD"/>
    <w:rsid w:val="001D755E"/>
    <w:rsid w:val="001D7641"/>
    <w:rsid w:val="001D7874"/>
    <w:rsid w:val="001D7F22"/>
    <w:rsid w:val="001E048D"/>
    <w:rsid w:val="001E05F6"/>
    <w:rsid w:val="001E0CC1"/>
    <w:rsid w:val="001E1586"/>
    <w:rsid w:val="001E1BC0"/>
    <w:rsid w:val="001E2EC1"/>
    <w:rsid w:val="001E4F72"/>
    <w:rsid w:val="001E5850"/>
    <w:rsid w:val="001E62FB"/>
    <w:rsid w:val="001E6B3C"/>
    <w:rsid w:val="001E6EBA"/>
    <w:rsid w:val="001E71D2"/>
    <w:rsid w:val="001F0F17"/>
    <w:rsid w:val="001F1598"/>
    <w:rsid w:val="001F1C7C"/>
    <w:rsid w:val="001F3347"/>
    <w:rsid w:val="001F69E4"/>
    <w:rsid w:val="00200260"/>
    <w:rsid w:val="0020065F"/>
    <w:rsid w:val="00204D48"/>
    <w:rsid w:val="0020579A"/>
    <w:rsid w:val="00206724"/>
    <w:rsid w:val="00206CB9"/>
    <w:rsid w:val="00210628"/>
    <w:rsid w:val="00210BA9"/>
    <w:rsid w:val="00211376"/>
    <w:rsid w:val="00211FC3"/>
    <w:rsid w:val="002125B4"/>
    <w:rsid w:val="00212612"/>
    <w:rsid w:val="00213C87"/>
    <w:rsid w:val="00214234"/>
    <w:rsid w:val="002155B8"/>
    <w:rsid w:val="00215993"/>
    <w:rsid w:val="00215FA5"/>
    <w:rsid w:val="00217049"/>
    <w:rsid w:val="002170E4"/>
    <w:rsid w:val="00217191"/>
    <w:rsid w:val="00220333"/>
    <w:rsid w:val="00223722"/>
    <w:rsid w:val="00224839"/>
    <w:rsid w:val="002249B2"/>
    <w:rsid w:val="00224EDD"/>
    <w:rsid w:val="00224FA3"/>
    <w:rsid w:val="00226574"/>
    <w:rsid w:val="002278EC"/>
    <w:rsid w:val="00231601"/>
    <w:rsid w:val="00232140"/>
    <w:rsid w:val="0023280E"/>
    <w:rsid w:val="00233D75"/>
    <w:rsid w:val="00233FF4"/>
    <w:rsid w:val="00234653"/>
    <w:rsid w:val="0023471D"/>
    <w:rsid w:val="002377D1"/>
    <w:rsid w:val="00241CD5"/>
    <w:rsid w:val="00244FB5"/>
    <w:rsid w:val="002469E4"/>
    <w:rsid w:val="002506BC"/>
    <w:rsid w:val="00254345"/>
    <w:rsid w:val="0026075A"/>
    <w:rsid w:val="00262856"/>
    <w:rsid w:val="00262CD2"/>
    <w:rsid w:val="0026363A"/>
    <w:rsid w:val="00264557"/>
    <w:rsid w:val="00271582"/>
    <w:rsid w:val="00271F5C"/>
    <w:rsid w:val="00274A47"/>
    <w:rsid w:val="00275DB3"/>
    <w:rsid w:val="002774B0"/>
    <w:rsid w:val="002805AB"/>
    <w:rsid w:val="0028096E"/>
    <w:rsid w:val="00282623"/>
    <w:rsid w:val="00283E92"/>
    <w:rsid w:val="00284204"/>
    <w:rsid w:val="0028748B"/>
    <w:rsid w:val="002902D9"/>
    <w:rsid w:val="002910DC"/>
    <w:rsid w:val="00291773"/>
    <w:rsid w:val="00293545"/>
    <w:rsid w:val="002946CF"/>
    <w:rsid w:val="002953BF"/>
    <w:rsid w:val="002964C0"/>
    <w:rsid w:val="00296E16"/>
    <w:rsid w:val="002A168C"/>
    <w:rsid w:val="002A1AE3"/>
    <w:rsid w:val="002A2125"/>
    <w:rsid w:val="002A39D0"/>
    <w:rsid w:val="002A3DC7"/>
    <w:rsid w:val="002A53B1"/>
    <w:rsid w:val="002A7F90"/>
    <w:rsid w:val="002B2CB7"/>
    <w:rsid w:val="002B35F6"/>
    <w:rsid w:val="002B49E2"/>
    <w:rsid w:val="002B6C39"/>
    <w:rsid w:val="002B7B00"/>
    <w:rsid w:val="002B7C44"/>
    <w:rsid w:val="002C05CA"/>
    <w:rsid w:val="002C1969"/>
    <w:rsid w:val="002C2B17"/>
    <w:rsid w:val="002C3E93"/>
    <w:rsid w:val="002C434C"/>
    <w:rsid w:val="002C480A"/>
    <w:rsid w:val="002C7207"/>
    <w:rsid w:val="002D0970"/>
    <w:rsid w:val="002D1492"/>
    <w:rsid w:val="002D14D2"/>
    <w:rsid w:val="002D25D9"/>
    <w:rsid w:val="002D313B"/>
    <w:rsid w:val="002D365A"/>
    <w:rsid w:val="002D3DD0"/>
    <w:rsid w:val="002D3F36"/>
    <w:rsid w:val="002D3FD8"/>
    <w:rsid w:val="002D46EC"/>
    <w:rsid w:val="002D5D4F"/>
    <w:rsid w:val="002D5FF7"/>
    <w:rsid w:val="002E1F3A"/>
    <w:rsid w:val="002E298A"/>
    <w:rsid w:val="002E320F"/>
    <w:rsid w:val="002F027A"/>
    <w:rsid w:val="002F0E01"/>
    <w:rsid w:val="002F1474"/>
    <w:rsid w:val="002F226A"/>
    <w:rsid w:val="002F6596"/>
    <w:rsid w:val="00300DFC"/>
    <w:rsid w:val="00300FA1"/>
    <w:rsid w:val="00301978"/>
    <w:rsid w:val="0030332C"/>
    <w:rsid w:val="003047A8"/>
    <w:rsid w:val="003051C2"/>
    <w:rsid w:val="00312296"/>
    <w:rsid w:val="00313427"/>
    <w:rsid w:val="00313636"/>
    <w:rsid w:val="00314F0E"/>
    <w:rsid w:val="00316D60"/>
    <w:rsid w:val="00316FEC"/>
    <w:rsid w:val="003201C5"/>
    <w:rsid w:val="00321B38"/>
    <w:rsid w:val="00321CD3"/>
    <w:rsid w:val="00321D8E"/>
    <w:rsid w:val="0032492E"/>
    <w:rsid w:val="003255B4"/>
    <w:rsid w:val="00325928"/>
    <w:rsid w:val="0032604E"/>
    <w:rsid w:val="003269FD"/>
    <w:rsid w:val="003307FD"/>
    <w:rsid w:val="00330912"/>
    <w:rsid w:val="00330B2A"/>
    <w:rsid w:val="00330F54"/>
    <w:rsid w:val="00332863"/>
    <w:rsid w:val="003345FE"/>
    <w:rsid w:val="0033684D"/>
    <w:rsid w:val="003374FD"/>
    <w:rsid w:val="0033768B"/>
    <w:rsid w:val="00337B42"/>
    <w:rsid w:val="003402E5"/>
    <w:rsid w:val="003408E8"/>
    <w:rsid w:val="00341B42"/>
    <w:rsid w:val="0034348F"/>
    <w:rsid w:val="003457E9"/>
    <w:rsid w:val="00347900"/>
    <w:rsid w:val="00352BEF"/>
    <w:rsid w:val="00353589"/>
    <w:rsid w:val="00354312"/>
    <w:rsid w:val="00356653"/>
    <w:rsid w:val="003568F4"/>
    <w:rsid w:val="0035743F"/>
    <w:rsid w:val="003575AF"/>
    <w:rsid w:val="00357BE2"/>
    <w:rsid w:val="00357F83"/>
    <w:rsid w:val="0036170C"/>
    <w:rsid w:val="003618A6"/>
    <w:rsid w:val="00362B3D"/>
    <w:rsid w:val="00362F11"/>
    <w:rsid w:val="00366363"/>
    <w:rsid w:val="00366E0F"/>
    <w:rsid w:val="003675C8"/>
    <w:rsid w:val="00373675"/>
    <w:rsid w:val="003809AA"/>
    <w:rsid w:val="00380D14"/>
    <w:rsid w:val="00381A72"/>
    <w:rsid w:val="00384676"/>
    <w:rsid w:val="003847A0"/>
    <w:rsid w:val="00386209"/>
    <w:rsid w:val="00390032"/>
    <w:rsid w:val="00390857"/>
    <w:rsid w:val="003908E9"/>
    <w:rsid w:val="00390C09"/>
    <w:rsid w:val="0039228F"/>
    <w:rsid w:val="00393A05"/>
    <w:rsid w:val="003958B2"/>
    <w:rsid w:val="003969FF"/>
    <w:rsid w:val="00397BA5"/>
    <w:rsid w:val="003A1F0E"/>
    <w:rsid w:val="003A3659"/>
    <w:rsid w:val="003A4BF3"/>
    <w:rsid w:val="003A5D50"/>
    <w:rsid w:val="003A7075"/>
    <w:rsid w:val="003A7541"/>
    <w:rsid w:val="003A7E22"/>
    <w:rsid w:val="003B1AAD"/>
    <w:rsid w:val="003B420D"/>
    <w:rsid w:val="003B48E0"/>
    <w:rsid w:val="003B499E"/>
    <w:rsid w:val="003B4F84"/>
    <w:rsid w:val="003B6BB6"/>
    <w:rsid w:val="003C20CB"/>
    <w:rsid w:val="003C4290"/>
    <w:rsid w:val="003C4D24"/>
    <w:rsid w:val="003C6C16"/>
    <w:rsid w:val="003C6D6A"/>
    <w:rsid w:val="003C7C74"/>
    <w:rsid w:val="003D10CB"/>
    <w:rsid w:val="003D1B27"/>
    <w:rsid w:val="003D1C03"/>
    <w:rsid w:val="003D42F9"/>
    <w:rsid w:val="003D5200"/>
    <w:rsid w:val="003D584A"/>
    <w:rsid w:val="003D794D"/>
    <w:rsid w:val="003E2235"/>
    <w:rsid w:val="003E3058"/>
    <w:rsid w:val="003E394D"/>
    <w:rsid w:val="003E4E6F"/>
    <w:rsid w:val="003E727B"/>
    <w:rsid w:val="003E75F5"/>
    <w:rsid w:val="003E76A9"/>
    <w:rsid w:val="003E7838"/>
    <w:rsid w:val="003E7F40"/>
    <w:rsid w:val="003F0809"/>
    <w:rsid w:val="003F0CFD"/>
    <w:rsid w:val="003F27C4"/>
    <w:rsid w:val="003F3AE3"/>
    <w:rsid w:val="003F4CC0"/>
    <w:rsid w:val="003F6193"/>
    <w:rsid w:val="003F6A8C"/>
    <w:rsid w:val="003F755C"/>
    <w:rsid w:val="003F7666"/>
    <w:rsid w:val="004008C1"/>
    <w:rsid w:val="004015D2"/>
    <w:rsid w:val="00401C3C"/>
    <w:rsid w:val="004044E2"/>
    <w:rsid w:val="00404A9A"/>
    <w:rsid w:val="004067D3"/>
    <w:rsid w:val="00406F01"/>
    <w:rsid w:val="0040744C"/>
    <w:rsid w:val="00410BD1"/>
    <w:rsid w:val="0041225A"/>
    <w:rsid w:val="0041309B"/>
    <w:rsid w:val="0041411B"/>
    <w:rsid w:val="0041594F"/>
    <w:rsid w:val="00416D50"/>
    <w:rsid w:val="00416FD5"/>
    <w:rsid w:val="00417496"/>
    <w:rsid w:val="00417772"/>
    <w:rsid w:val="00420E6A"/>
    <w:rsid w:val="00421334"/>
    <w:rsid w:val="0042329C"/>
    <w:rsid w:val="00423727"/>
    <w:rsid w:val="00424CB8"/>
    <w:rsid w:val="00425483"/>
    <w:rsid w:val="00425A9E"/>
    <w:rsid w:val="00426D6B"/>
    <w:rsid w:val="0042729F"/>
    <w:rsid w:val="00427453"/>
    <w:rsid w:val="00427BB6"/>
    <w:rsid w:val="00427FD4"/>
    <w:rsid w:val="00431E6C"/>
    <w:rsid w:val="00432107"/>
    <w:rsid w:val="00433CE7"/>
    <w:rsid w:val="00433E12"/>
    <w:rsid w:val="00434CA6"/>
    <w:rsid w:val="00434CB4"/>
    <w:rsid w:val="00435A89"/>
    <w:rsid w:val="0043711D"/>
    <w:rsid w:val="0044044F"/>
    <w:rsid w:val="004418CF"/>
    <w:rsid w:val="0044219D"/>
    <w:rsid w:val="00442870"/>
    <w:rsid w:val="0044388D"/>
    <w:rsid w:val="00444309"/>
    <w:rsid w:val="00445EAE"/>
    <w:rsid w:val="00446D4C"/>
    <w:rsid w:val="004511C8"/>
    <w:rsid w:val="00451E8B"/>
    <w:rsid w:val="00452738"/>
    <w:rsid w:val="00452AD2"/>
    <w:rsid w:val="0045348C"/>
    <w:rsid w:val="00454641"/>
    <w:rsid w:val="00456091"/>
    <w:rsid w:val="0045753E"/>
    <w:rsid w:val="00457E69"/>
    <w:rsid w:val="0046078B"/>
    <w:rsid w:val="00460B16"/>
    <w:rsid w:val="004639D9"/>
    <w:rsid w:val="00464819"/>
    <w:rsid w:val="00466321"/>
    <w:rsid w:val="004667D8"/>
    <w:rsid w:val="00472FAC"/>
    <w:rsid w:val="00477209"/>
    <w:rsid w:val="00481A42"/>
    <w:rsid w:val="00484B9B"/>
    <w:rsid w:val="004855F6"/>
    <w:rsid w:val="0048661E"/>
    <w:rsid w:val="004873C7"/>
    <w:rsid w:val="00487EC3"/>
    <w:rsid w:val="00493823"/>
    <w:rsid w:val="00493B7D"/>
    <w:rsid w:val="00494670"/>
    <w:rsid w:val="00496685"/>
    <w:rsid w:val="004966DB"/>
    <w:rsid w:val="00496B9C"/>
    <w:rsid w:val="004977C6"/>
    <w:rsid w:val="00497F91"/>
    <w:rsid w:val="004A1958"/>
    <w:rsid w:val="004A268C"/>
    <w:rsid w:val="004A3823"/>
    <w:rsid w:val="004A41D9"/>
    <w:rsid w:val="004A4316"/>
    <w:rsid w:val="004A4BE7"/>
    <w:rsid w:val="004A5CF8"/>
    <w:rsid w:val="004A63D9"/>
    <w:rsid w:val="004B0EA2"/>
    <w:rsid w:val="004B1939"/>
    <w:rsid w:val="004B1A62"/>
    <w:rsid w:val="004B449E"/>
    <w:rsid w:val="004B6BB2"/>
    <w:rsid w:val="004B7BA9"/>
    <w:rsid w:val="004C0D67"/>
    <w:rsid w:val="004C3673"/>
    <w:rsid w:val="004C6406"/>
    <w:rsid w:val="004C7AA0"/>
    <w:rsid w:val="004D0170"/>
    <w:rsid w:val="004D1810"/>
    <w:rsid w:val="004D4EFE"/>
    <w:rsid w:val="004D6948"/>
    <w:rsid w:val="004D6DEA"/>
    <w:rsid w:val="004E2B2E"/>
    <w:rsid w:val="004E2F1D"/>
    <w:rsid w:val="004E3CC4"/>
    <w:rsid w:val="004E522D"/>
    <w:rsid w:val="004E5D66"/>
    <w:rsid w:val="004E6946"/>
    <w:rsid w:val="004F1AD8"/>
    <w:rsid w:val="004F36D2"/>
    <w:rsid w:val="004F5744"/>
    <w:rsid w:val="004F6C60"/>
    <w:rsid w:val="004F77BB"/>
    <w:rsid w:val="005013A1"/>
    <w:rsid w:val="0050389B"/>
    <w:rsid w:val="005039CB"/>
    <w:rsid w:val="00504031"/>
    <w:rsid w:val="0050558F"/>
    <w:rsid w:val="005055AA"/>
    <w:rsid w:val="00506220"/>
    <w:rsid w:val="00506286"/>
    <w:rsid w:val="0050686F"/>
    <w:rsid w:val="00510813"/>
    <w:rsid w:val="005115EA"/>
    <w:rsid w:val="00511990"/>
    <w:rsid w:val="00511DE0"/>
    <w:rsid w:val="0051207E"/>
    <w:rsid w:val="0051216E"/>
    <w:rsid w:val="00513B60"/>
    <w:rsid w:val="005142E6"/>
    <w:rsid w:val="00514870"/>
    <w:rsid w:val="00514B9B"/>
    <w:rsid w:val="005155AB"/>
    <w:rsid w:val="00515FAC"/>
    <w:rsid w:val="005177A4"/>
    <w:rsid w:val="00517F02"/>
    <w:rsid w:val="00520EA3"/>
    <w:rsid w:val="0052157B"/>
    <w:rsid w:val="00524303"/>
    <w:rsid w:val="005258A2"/>
    <w:rsid w:val="00525CD7"/>
    <w:rsid w:val="005301FE"/>
    <w:rsid w:val="005329EB"/>
    <w:rsid w:val="0053527A"/>
    <w:rsid w:val="005369D0"/>
    <w:rsid w:val="005401AE"/>
    <w:rsid w:val="00541C7D"/>
    <w:rsid w:val="00542E07"/>
    <w:rsid w:val="00544F65"/>
    <w:rsid w:val="00545424"/>
    <w:rsid w:val="00553132"/>
    <w:rsid w:val="0055316C"/>
    <w:rsid w:val="00553186"/>
    <w:rsid w:val="005543D4"/>
    <w:rsid w:val="005547AA"/>
    <w:rsid w:val="00554A7B"/>
    <w:rsid w:val="00555253"/>
    <w:rsid w:val="0055572C"/>
    <w:rsid w:val="0055614E"/>
    <w:rsid w:val="0056106A"/>
    <w:rsid w:val="00561634"/>
    <w:rsid w:val="00562304"/>
    <w:rsid w:val="0056624E"/>
    <w:rsid w:val="0057059A"/>
    <w:rsid w:val="005709AF"/>
    <w:rsid w:val="0057189D"/>
    <w:rsid w:val="00571DFE"/>
    <w:rsid w:val="005720AE"/>
    <w:rsid w:val="005758F9"/>
    <w:rsid w:val="0057674D"/>
    <w:rsid w:val="005831FE"/>
    <w:rsid w:val="00583DE4"/>
    <w:rsid w:val="005847EE"/>
    <w:rsid w:val="00586C0F"/>
    <w:rsid w:val="00587C20"/>
    <w:rsid w:val="00591530"/>
    <w:rsid w:val="00591DF6"/>
    <w:rsid w:val="00592445"/>
    <w:rsid w:val="00593E6D"/>
    <w:rsid w:val="00594D77"/>
    <w:rsid w:val="005969E4"/>
    <w:rsid w:val="005A06B7"/>
    <w:rsid w:val="005A1759"/>
    <w:rsid w:val="005A50C7"/>
    <w:rsid w:val="005A52DB"/>
    <w:rsid w:val="005A559A"/>
    <w:rsid w:val="005A68A7"/>
    <w:rsid w:val="005A73D0"/>
    <w:rsid w:val="005B24A5"/>
    <w:rsid w:val="005B2F2D"/>
    <w:rsid w:val="005B2F39"/>
    <w:rsid w:val="005B4D3A"/>
    <w:rsid w:val="005B5F14"/>
    <w:rsid w:val="005C297B"/>
    <w:rsid w:val="005C5DA9"/>
    <w:rsid w:val="005C6057"/>
    <w:rsid w:val="005C683F"/>
    <w:rsid w:val="005C73B7"/>
    <w:rsid w:val="005C7CC0"/>
    <w:rsid w:val="005D1AEB"/>
    <w:rsid w:val="005D36AB"/>
    <w:rsid w:val="005D43CA"/>
    <w:rsid w:val="005D4D52"/>
    <w:rsid w:val="005D5970"/>
    <w:rsid w:val="005D79A8"/>
    <w:rsid w:val="005E0450"/>
    <w:rsid w:val="005E1067"/>
    <w:rsid w:val="005E767D"/>
    <w:rsid w:val="005F1385"/>
    <w:rsid w:val="005F3117"/>
    <w:rsid w:val="005F41BF"/>
    <w:rsid w:val="005F4E29"/>
    <w:rsid w:val="005F5205"/>
    <w:rsid w:val="005F5F1B"/>
    <w:rsid w:val="005F680C"/>
    <w:rsid w:val="005F7AD6"/>
    <w:rsid w:val="005F7EC2"/>
    <w:rsid w:val="00600FF8"/>
    <w:rsid w:val="006017F0"/>
    <w:rsid w:val="006019A2"/>
    <w:rsid w:val="006025EE"/>
    <w:rsid w:val="006028B2"/>
    <w:rsid w:val="00604A14"/>
    <w:rsid w:val="00604B39"/>
    <w:rsid w:val="00610267"/>
    <w:rsid w:val="00610749"/>
    <w:rsid w:val="006126E7"/>
    <w:rsid w:val="006154A5"/>
    <w:rsid w:val="006159B9"/>
    <w:rsid w:val="00617720"/>
    <w:rsid w:val="00617832"/>
    <w:rsid w:val="00617CC3"/>
    <w:rsid w:val="0062009E"/>
    <w:rsid w:val="00621DA9"/>
    <w:rsid w:val="0062477C"/>
    <w:rsid w:val="006276AC"/>
    <w:rsid w:val="00630245"/>
    <w:rsid w:val="00631DFB"/>
    <w:rsid w:val="00631E74"/>
    <w:rsid w:val="006325DD"/>
    <w:rsid w:val="006336DD"/>
    <w:rsid w:val="0063565D"/>
    <w:rsid w:val="00635B76"/>
    <w:rsid w:val="006377A6"/>
    <w:rsid w:val="00637A3D"/>
    <w:rsid w:val="0064083B"/>
    <w:rsid w:val="00640AEF"/>
    <w:rsid w:val="006411EF"/>
    <w:rsid w:val="00642646"/>
    <w:rsid w:val="00644C69"/>
    <w:rsid w:val="00644D89"/>
    <w:rsid w:val="00645ACA"/>
    <w:rsid w:val="00647542"/>
    <w:rsid w:val="00651D5C"/>
    <w:rsid w:val="0065287D"/>
    <w:rsid w:val="006556AB"/>
    <w:rsid w:val="00660318"/>
    <w:rsid w:val="00661405"/>
    <w:rsid w:val="00662505"/>
    <w:rsid w:val="00662E86"/>
    <w:rsid w:val="00664CD1"/>
    <w:rsid w:val="0066532A"/>
    <w:rsid w:val="006676D7"/>
    <w:rsid w:val="006678A9"/>
    <w:rsid w:val="0067007C"/>
    <w:rsid w:val="0067028B"/>
    <w:rsid w:val="006708CD"/>
    <w:rsid w:val="006748B8"/>
    <w:rsid w:val="00676B32"/>
    <w:rsid w:val="006775C3"/>
    <w:rsid w:val="006779C4"/>
    <w:rsid w:val="006805FC"/>
    <w:rsid w:val="00681D36"/>
    <w:rsid w:val="00681EF3"/>
    <w:rsid w:val="006846A0"/>
    <w:rsid w:val="00685893"/>
    <w:rsid w:val="0069024A"/>
    <w:rsid w:val="00690AC3"/>
    <w:rsid w:val="0069290A"/>
    <w:rsid w:val="00694E98"/>
    <w:rsid w:val="006956DE"/>
    <w:rsid w:val="006959BC"/>
    <w:rsid w:val="006960D6"/>
    <w:rsid w:val="006969B7"/>
    <w:rsid w:val="0069738B"/>
    <w:rsid w:val="0069775A"/>
    <w:rsid w:val="00697813"/>
    <w:rsid w:val="00697826"/>
    <w:rsid w:val="006A0B82"/>
    <w:rsid w:val="006A0EF9"/>
    <w:rsid w:val="006A0FDF"/>
    <w:rsid w:val="006A3EE8"/>
    <w:rsid w:val="006A72BF"/>
    <w:rsid w:val="006A79B5"/>
    <w:rsid w:val="006B0009"/>
    <w:rsid w:val="006B03F2"/>
    <w:rsid w:val="006B0938"/>
    <w:rsid w:val="006B19DE"/>
    <w:rsid w:val="006B288F"/>
    <w:rsid w:val="006B37DC"/>
    <w:rsid w:val="006B3B79"/>
    <w:rsid w:val="006B4C9D"/>
    <w:rsid w:val="006B4F68"/>
    <w:rsid w:val="006B5321"/>
    <w:rsid w:val="006B7BF4"/>
    <w:rsid w:val="006B7EA0"/>
    <w:rsid w:val="006C0592"/>
    <w:rsid w:val="006C272E"/>
    <w:rsid w:val="006C42D7"/>
    <w:rsid w:val="006C42FC"/>
    <w:rsid w:val="006C5479"/>
    <w:rsid w:val="006C57BE"/>
    <w:rsid w:val="006C5C50"/>
    <w:rsid w:val="006C5DAC"/>
    <w:rsid w:val="006C6B51"/>
    <w:rsid w:val="006D104A"/>
    <w:rsid w:val="006D1256"/>
    <w:rsid w:val="006D13B5"/>
    <w:rsid w:val="006D17C6"/>
    <w:rsid w:val="006D3F44"/>
    <w:rsid w:val="006D79EB"/>
    <w:rsid w:val="006E0314"/>
    <w:rsid w:val="006E12FF"/>
    <w:rsid w:val="006E2A5F"/>
    <w:rsid w:val="006E2C6F"/>
    <w:rsid w:val="006E607E"/>
    <w:rsid w:val="006E7851"/>
    <w:rsid w:val="006F1C59"/>
    <w:rsid w:val="006F71AB"/>
    <w:rsid w:val="006F7500"/>
    <w:rsid w:val="006F7658"/>
    <w:rsid w:val="00702266"/>
    <w:rsid w:val="00706A5D"/>
    <w:rsid w:val="00706C5D"/>
    <w:rsid w:val="00707DE0"/>
    <w:rsid w:val="00711FEE"/>
    <w:rsid w:val="0071521A"/>
    <w:rsid w:val="00715FE4"/>
    <w:rsid w:val="0071623A"/>
    <w:rsid w:val="007216D4"/>
    <w:rsid w:val="00723126"/>
    <w:rsid w:val="0072506F"/>
    <w:rsid w:val="00730504"/>
    <w:rsid w:val="00730553"/>
    <w:rsid w:val="007316AF"/>
    <w:rsid w:val="00731986"/>
    <w:rsid w:val="0073248B"/>
    <w:rsid w:val="00732922"/>
    <w:rsid w:val="00732A9B"/>
    <w:rsid w:val="00732E55"/>
    <w:rsid w:val="0073396C"/>
    <w:rsid w:val="00734241"/>
    <w:rsid w:val="00735418"/>
    <w:rsid w:val="00741E73"/>
    <w:rsid w:val="00741EF5"/>
    <w:rsid w:val="007421E4"/>
    <w:rsid w:val="00744C2E"/>
    <w:rsid w:val="007454E4"/>
    <w:rsid w:val="00745712"/>
    <w:rsid w:val="00746126"/>
    <w:rsid w:val="00750D00"/>
    <w:rsid w:val="00751479"/>
    <w:rsid w:val="0075162E"/>
    <w:rsid w:val="00751833"/>
    <w:rsid w:val="00752170"/>
    <w:rsid w:val="00752DB8"/>
    <w:rsid w:val="00754034"/>
    <w:rsid w:val="0075625B"/>
    <w:rsid w:val="00756556"/>
    <w:rsid w:val="00756613"/>
    <w:rsid w:val="00757FB5"/>
    <w:rsid w:val="007601BB"/>
    <w:rsid w:val="0076086B"/>
    <w:rsid w:val="00761046"/>
    <w:rsid w:val="007613B8"/>
    <w:rsid w:val="007618C4"/>
    <w:rsid w:val="00761D3D"/>
    <w:rsid w:val="00762DCF"/>
    <w:rsid w:val="00766FC6"/>
    <w:rsid w:val="007675B4"/>
    <w:rsid w:val="00767980"/>
    <w:rsid w:val="00770B19"/>
    <w:rsid w:val="00771D72"/>
    <w:rsid w:val="0077463F"/>
    <w:rsid w:val="00774DB2"/>
    <w:rsid w:val="00774F40"/>
    <w:rsid w:val="00775E10"/>
    <w:rsid w:val="0077640E"/>
    <w:rsid w:val="00780A12"/>
    <w:rsid w:val="007819BD"/>
    <w:rsid w:val="007836EA"/>
    <w:rsid w:val="00784CDA"/>
    <w:rsid w:val="00785FC6"/>
    <w:rsid w:val="007871DD"/>
    <w:rsid w:val="007875FB"/>
    <w:rsid w:val="00787C80"/>
    <w:rsid w:val="007906C4"/>
    <w:rsid w:val="00791377"/>
    <w:rsid w:val="007913B9"/>
    <w:rsid w:val="00792F84"/>
    <w:rsid w:val="007940EA"/>
    <w:rsid w:val="00794143"/>
    <w:rsid w:val="007962D9"/>
    <w:rsid w:val="007967E8"/>
    <w:rsid w:val="007A2170"/>
    <w:rsid w:val="007A22BF"/>
    <w:rsid w:val="007A3323"/>
    <w:rsid w:val="007A4A7D"/>
    <w:rsid w:val="007A6054"/>
    <w:rsid w:val="007A7D23"/>
    <w:rsid w:val="007B18DB"/>
    <w:rsid w:val="007B198F"/>
    <w:rsid w:val="007B1C08"/>
    <w:rsid w:val="007B3D54"/>
    <w:rsid w:val="007B4BA6"/>
    <w:rsid w:val="007B5E4E"/>
    <w:rsid w:val="007B60BE"/>
    <w:rsid w:val="007B6C14"/>
    <w:rsid w:val="007B72B8"/>
    <w:rsid w:val="007B7A58"/>
    <w:rsid w:val="007C21B5"/>
    <w:rsid w:val="007C22FB"/>
    <w:rsid w:val="007C3C16"/>
    <w:rsid w:val="007C5532"/>
    <w:rsid w:val="007C6156"/>
    <w:rsid w:val="007C626F"/>
    <w:rsid w:val="007C7019"/>
    <w:rsid w:val="007C76A7"/>
    <w:rsid w:val="007C7706"/>
    <w:rsid w:val="007D0231"/>
    <w:rsid w:val="007D299F"/>
    <w:rsid w:val="007D6412"/>
    <w:rsid w:val="007D7253"/>
    <w:rsid w:val="007D7523"/>
    <w:rsid w:val="007D797F"/>
    <w:rsid w:val="007D79D9"/>
    <w:rsid w:val="007E08DE"/>
    <w:rsid w:val="007E428A"/>
    <w:rsid w:val="007E45A5"/>
    <w:rsid w:val="007E4BD2"/>
    <w:rsid w:val="007E4C1C"/>
    <w:rsid w:val="007E5E92"/>
    <w:rsid w:val="007E6BD3"/>
    <w:rsid w:val="007F0C3A"/>
    <w:rsid w:val="007F464A"/>
    <w:rsid w:val="007F58BE"/>
    <w:rsid w:val="007F784A"/>
    <w:rsid w:val="00801393"/>
    <w:rsid w:val="00801B83"/>
    <w:rsid w:val="00802F88"/>
    <w:rsid w:val="00802FB8"/>
    <w:rsid w:val="00803F2C"/>
    <w:rsid w:val="00805FE4"/>
    <w:rsid w:val="00806E9E"/>
    <w:rsid w:val="00807873"/>
    <w:rsid w:val="008105B8"/>
    <w:rsid w:val="0081158D"/>
    <w:rsid w:val="00811A04"/>
    <w:rsid w:val="00811AAF"/>
    <w:rsid w:val="0081293E"/>
    <w:rsid w:val="00813283"/>
    <w:rsid w:val="008143CD"/>
    <w:rsid w:val="008147DC"/>
    <w:rsid w:val="00814FE8"/>
    <w:rsid w:val="00815465"/>
    <w:rsid w:val="00816295"/>
    <w:rsid w:val="00817E9A"/>
    <w:rsid w:val="00820C0C"/>
    <w:rsid w:val="00820D18"/>
    <w:rsid w:val="00821F9D"/>
    <w:rsid w:val="008225C0"/>
    <w:rsid w:val="00822931"/>
    <w:rsid w:val="00825A6E"/>
    <w:rsid w:val="00826FD1"/>
    <w:rsid w:val="008275BB"/>
    <w:rsid w:val="008306BD"/>
    <w:rsid w:val="00830DFC"/>
    <w:rsid w:val="00831A80"/>
    <w:rsid w:val="00831DD4"/>
    <w:rsid w:val="00833743"/>
    <w:rsid w:val="00833A77"/>
    <w:rsid w:val="008340A4"/>
    <w:rsid w:val="008350FD"/>
    <w:rsid w:val="00836969"/>
    <w:rsid w:val="008375A4"/>
    <w:rsid w:val="008406AA"/>
    <w:rsid w:val="0084168E"/>
    <w:rsid w:val="00842358"/>
    <w:rsid w:val="00842824"/>
    <w:rsid w:val="00843349"/>
    <w:rsid w:val="008435D0"/>
    <w:rsid w:val="00844664"/>
    <w:rsid w:val="00845653"/>
    <w:rsid w:val="008457C5"/>
    <w:rsid w:val="0085124D"/>
    <w:rsid w:val="008515BE"/>
    <w:rsid w:val="0085385B"/>
    <w:rsid w:val="008600F0"/>
    <w:rsid w:val="00860DF5"/>
    <w:rsid w:val="00861281"/>
    <w:rsid w:val="008650F1"/>
    <w:rsid w:val="00865560"/>
    <w:rsid w:val="00867309"/>
    <w:rsid w:val="00870D8E"/>
    <w:rsid w:val="0087116E"/>
    <w:rsid w:val="0087135F"/>
    <w:rsid w:val="00872D94"/>
    <w:rsid w:val="00873F17"/>
    <w:rsid w:val="00873FB8"/>
    <w:rsid w:val="008770A7"/>
    <w:rsid w:val="0087744A"/>
    <w:rsid w:val="0087763C"/>
    <w:rsid w:val="00880364"/>
    <w:rsid w:val="00880699"/>
    <w:rsid w:val="008811B2"/>
    <w:rsid w:val="008837AA"/>
    <w:rsid w:val="00885635"/>
    <w:rsid w:val="00885AD6"/>
    <w:rsid w:val="00891592"/>
    <w:rsid w:val="008916D9"/>
    <w:rsid w:val="00891E9E"/>
    <w:rsid w:val="00893C7F"/>
    <w:rsid w:val="00895270"/>
    <w:rsid w:val="00895DFC"/>
    <w:rsid w:val="00896D61"/>
    <w:rsid w:val="008A0910"/>
    <w:rsid w:val="008A2418"/>
    <w:rsid w:val="008A2F4A"/>
    <w:rsid w:val="008A2F68"/>
    <w:rsid w:val="008A3E69"/>
    <w:rsid w:val="008A5894"/>
    <w:rsid w:val="008B02EC"/>
    <w:rsid w:val="008B02EF"/>
    <w:rsid w:val="008B0683"/>
    <w:rsid w:val="008B0F4A"/>
    <w:rsid w:val="008B3EA5"/>
    <w:rsid w:val="008B4BAE"/>
    <w:rsid w:val="008B4FA6"/>
    <w:rsid w:val="008B5282"/>
    <w:rsid w:val="008B5663"/>
    <w:rsid w:val="008B776E"/>
    <w:rsid w:val="008B7C17"/>
    <w:rsid w:val="008C0B36"/>
    <w:rsid w:val="008C2D01"/>
    <w:rsid w:val="008C3AA5"/>
    <w:rsid w:val="008C40E6"/>
    <w:rsid w:val="008C5215"/>
    <w:rsid w:val="008C6DA5"/>
    <w:rsid w:val="008D02CE"/>
    <w:rsid w:val="008D0F7A"/>
    <w:rsid w:val="008D0F9F"/>
    <w:rsid w:val="008D283D"/>
    <w:rsid w:val="008D3123"/>
    <w:rsid w:val="008D3F66"/>
    <w:rsid w:val="008D4A34"/>
    <w:rsid w:val="008D6643"/>
    <w:rsid w:val="008D68E4"/>
    <w:rsid w:val="008D6BAD"/>
    <w:rsid w:val="008D7227"/>
    <w:rsid w:val="008E0506"/>
    <w:rsid w:val="008E0CFF"/>
    <w:rsid w:val="008E5950"/>
    <w:rsid w:val="008E5D6B"/>
    <w:rsid w:val="008E7612"/>
    <w:rsid w:val="008E76F0"/>
    <w:rsid w:val="008F15FE"/>
    <w:rsid w:val="008F2D29"/>
    <w:rsid w:val="008F5187"/>
    <w:rsid w:val="008F51E5"/>
    <w:rsid w:val="008F5C00"/>
    <w:rsid w:val="008F60D8"/>
    <w:rsid w:val="00902727"/>
    <w:rsid w:val="0090283B"/>
    <w:rsid w:val="00902F0E"/>
    <w:rsid w:val="0090312B"/>
    <w:rsid w:val="00903CD5"/>
    <w:rsid w:val="00904550"/>
    <w:rsid w:val="00906029"/>
    <w:rsid w:val="00907D69"/>
    <w:rsid w:val="00912AD3"/>
    <w:rsid w:val="00914B4D"/>
    <w:rsid w:val="0091736D"/>
    <w:rsid w:val="009215BA"/>
    <w:rsid w:val="0092571A"/>
    <w:rsid w:val="0092700B"/>
    <w:rsid w:val="0093037A"/>
    <w:rsid w:val="00933353"/>
    <w:rsid w:val="009344E0"/>
    <w:rsid w:val="009350D8"/>
    <w:rsid w:val="009376BC"/>
    <w:rsid w:val="009376D0"/>
    <w:rsid w:val="00940BD1"/>
    <w:rsid w:val="0094154D"/>
    <w:rsid w:val="009419A2"/>
    <w:rsid w:val="00943F46"/>
    <w:rsid w:val="009454BB"/>
    <w:rsid w:val="00945F5A"/>
    <w:rsid w:val="00946661"/>
    <w:rsid w:val="009470F7"/>
    <w:rsid w:val="0094743B"/>
    <w:rsid w:val="0095019C"/>
    <w:rsid w:val="009506C9"/>
    <w:rsid w:val="00950E90"/>
    <w:rsid w:val="0095155F"/>
    <w:rsid w:val="00952C6A"/>
    <w:rsid w:val="00953972"/>
    <w:rsid w:val="00954372"/>
    <w:rsid w:val="00954429"/>
    <w:rsid w:val="00955364"/>
    <w:rsid w:val="009563CE"/>
    <w:rsid w:val="00956CFC"/>
    <w:rsid w:val="009571DA"/>
    <w:rsid w:val="00957858"/>
    <w:rsid w:val="00960768"/>
    <w:rsid w:val="00961337"/>
    <w:rsid w:val="00962AF1"/>
    <w:rsid w:val="00965E4B"/>
    <w:rsid w:val="009668C0"/>
    <w:rsid w:val="00971A92"/>
    <w:rsid w:val="00971B65"/>
    <w:rsid w:val="00971C78"/>
    <w:rsid w:val="00973798"/>
    <w:rsid w:val="00973C61"/>
    <w:rsid w:val="00976328"/>
    <w:rsid w:val="0097680D"/>
    <w:rsid w:val="00977D0C"/>
    <w:rsid w:val="0098016A"/>
    <w:rsid w:val="009802D3"/>
    <w:rsid w:val="009817DB"/>
    <w:rsid w:val="00982438"/>
    <w:rsid w:val="00982991"/>
    <w:rsid w:val="0098404C"/>
    <w:rsid w:val="00984468"/>
    <w:rsid w:val="00984A51"/>
    <w:rsid w:val="00984F86"/>
    <w:rsid w:val="00985283"/>
    <w:rsid w:val="009861DD"/>
    <w:rsid w:val="0099056A"/>
    <w:rsid w:val="00991A06"/>
    <w:rsid w:val="00991A66"/>
    <w:rsid w:val="009943F4"/>
    <w:rsid w:val="0099505E"/>
    <w:rsid w:val="00995992"/>
    <w:rsid w:val="00997B91"/>
    <w:rsid w:val="009A03E5"/>
    <w:rsid w:val="009A0F3B"/>
    <w:rsid w:val="009A1519"/>
    <w:rsid w:val="009A151F"/>
    <w:rsid w:val="009A156B"/>
    <w:rsid w:val="009A1BB4"/>
    <w:rsid w:val="009A2628"/>
    <w:rsid w:val="009A3200"/>
    <w:rsid w:val="009A4D31"/>
    <w:rsid w:val="009A5163"/>
    <w:rsid w:val="009A5B6E"/>
    <w:rsid w:val="009A7763"/>
    <w:rsid w:val="009B0897"/>
    <w:rsid w:val="009B1174"/>
    <w:rsid w:val="009B11F1"/>
    <w:rsid w:val="009B12BF"/>
    <w:rsid w:val="009B3A29"/>
    <w:rsid w:val="009B4CE2"/>
    <w:rsid w:val="009B61BA"/>
    <w:rsid w:val="009B7BD9"/>
    <w:rsid w:val="009C0B90"/>
    <w:rsid w:val="009C1906"/>
    <w:rsid w:val="009C2677"/>
    <w:rsid w:val="009C2752"/>
    <w:rsid w:val="009C3F45"/>
    <w:rsid w:val="009C513E"/>
    <w:rsid w:val="009C5AB5"/>
    <w:rsid w:val="009C7DD5"/>
    <w:rsid w:val="009D2B43"/>
    <w:rsid w:val="009D47A9"/>
    <w:rsid w:val="009D4A7A"/>
    <w:rsid w:val="009D5DAC"/>
    <w:rsid w:val="009D753F"/>
    <w:rsid w:val="009D7F83"/>
    <w:rsid w:val="009E227D"/>
    <w:rsid w:val="009E5019"/>
    <w:rsid w:val="009F0917"/>
    <w:rsid w:val="009F252B"/>
    <w:rsid w:val="009F337D"/>
    <w:rsid w:val="009F3F93"/>
    <w:rsid w:val="009F4555"/>
    <w:rsid w:val="009F4937"/>
    <w:rsid w:val="009F49E0"/>
    <w:rsid w:val="00A011B5"/>
    <w:rsid w:val="00A0316C"/>
    <w:rsid w:val="00A03463"/>
    <w:rsid w:val="00A03BD4"/>
    <w:rsid w:val="00A044F8"/>
    <w:rsid w:val="00A04F1B"/>
    <w:rsid w:val="00A0501B"/>
    <w:rsid w:val="00A055B3"/>
    <w:rsid w:val="00A05C31"/>
    <w:rsid w:val="00A05E2B"/>
    <w:rsid w:val="00A06BA3"/>
    <w:rsid w:val="00A071E8"/>
    <w:rsid w:val="00A07215"/>
    <w:rsid w:val="00A1245E"/>
    <w:rsid w:val="00A14947"/>
    <w:rsid w:val="00A201D3"/>
    <w:rsid w:val="00A20797"/>
    <w:rsid w:val="00A2356D"/>
    <w:rsid w:val="00A23D1A"/>
    <w:rsid w:val="00A24336"/>
    <w:rsid w:val="00A261C0"/>
    <w:rsid w:val="00A27607"/>
    <w:rsid w:val="00A27C3D"/>
    <w:rsid w:val="00A32A83"/>
    <w:rsid w:val="00A32CF9"/>
    <w:rsid w:val="00A3562B"/>
    <w:rsid w:val="00A368DB"/>
    <w:rsid w:val="00A37CBE"/>
    <w:rsid w:val="00A37E23"/>
    <w:rsid w:val="00A37F9E"/>
    <w:rsid w:val="00A37FB8"/>
    <w:rsid w:val="00A420B2"/>
    <w:rsid w:val="00A423AA"/>
    <w:rsid w:val="00A423FE"/>
    <w:rsid w:val="00A447DF"/>
    <w:rsid w:val="00A4690F"/>
    <w:rsid w:val="00A4778A"/>
    <w:rsid w:val="00A50448"/>
    <w:rsid w:val="00A51A1A"/>
    <w:rsid w:val="00A51E7A"/>
    <w:rsid w:val="00A52AE5"/>
    <w:rsid w:val="00A53EC6"/>
    <w:rsid w:val="00A548F4"/>
    <w:rsid w:val="00A55C0F"/>
    <w:rsid w:val="00A5681D"/>
    <w:rsid w:val="00A5717C"/>
    <w:rsid w:val="00A616B7"/>
    <w:rsid w:val="00A6307E"/>
    <w:rsid w:val="00A63856"/>
    <w:rsid w:val="00A64306"/>
    <w:rsid w:val="00A64C85"/>
    <w:rsid w:val="00A654A8"/>
    <w:rsid w:val="00A66B30"/>
    <w:rsid w:val="00A714F9"/>
    <w:rsid w:val="00A739D3"/>
    <w:rsid w:val="00A746BE"/>
    <w:rsid w:val="00A77152"/>
    <w:rsid w:val="00A835E7"/>
    <w:rsid w:val="00A83829"/>
    <w:rsid w:val="00A84AEA"/>
    <w:rsid w:val="00A86C31"/>
    <w:rsid w:val="00A8713F"/>
    <w:rsid w:val="00A87CBD"/>
    <w:rsid w:val="00A902D1"/>
    <w:rsid w:val="00A90BA1"/>
    <w:rsid w:val="00A91240"/>
    <w:rsid w:val="00A912E4"/>
    <w:rsid w:val="00A91A19"/>
    <w:rsid w:val="00A91DA9"/>
    <w:rsid w:val="00A97880"/>
    <w:rsid w:val="00A97A9A"/>
    <w:rsid w:val="00AA0671"/>
    <w:rsid w:val="00AA1655"/>
    <w:rsid w:val="00AA1891"/>
    <w:rsid w:val="00AA2531"/>
    <w:rsid w:val="00AA27AD"/>
    <w:rsid w:val="00AA4302"/>
    <w:rsid w:val="00AA490A"/>
    <w:rsid w:val="00AA4F14"/>
    <w:rsid w:val="00AA51D8"/>
    <w:rsid w:val="00AB018F"/>
    <w:rsid w:val="00AB0605"/>
    <w:rsid w:val="00AB0F7D"/>
    <w:rsid w:val="00AB1B44"/>
    <w:rsid w:val="00AB1E09"/>
    <w:rsid w:val="00AB35B4"/>
    <w:rsid w:val="00AB5330"/>
    <w:rsid w:val="00AB7747"/>
    <w:rsid w:val="00AC0132"/>
    <w:rsid w:val="00AC0285"/>
    <w:rsid w:val="00AC14CE"/>
    <w:rsid w:val="00AC2780"/>
    <w:rsid w:val="00AC2A56"/>
    <w:rsid w:val="00AC374A"/>
    <w:rsid w:val="00AC3B1F"/>
    <w:rsid w:val="00AC469B"/>
    <w:rsid w:val="00AC4C41"/>
    <w:rsid w:val="00AC5098"/>
    <w:rsid w:val="00AC5D34"/>
    <w:rsid w:val="00AD055E"/>
    <w:rsid w:val="00AD2B0B"/>
    <w:rsid w:val="00AD33D1"/>
    <w:rsid w:val="00AD3AF1"/>
    <w:rsid w:val="00AD3C28"/>
    <w:rsid w:val="00AD448C"/>
    <w:rsid w:val="00AD47A7"/>
    <w:rsid w:val="00AD675F"/>
    <w:rsid w:val="00AE0844"/>
    <w:rsid w:val="00AE17F1"/>
    <w:rsid w:val="00AE2544"/>
    <w:rsid w:val="00AE3D41"/>
    <w:rsid w:val="00AE3E7F"/>
    <w:rsid w:val="00AE673A"/>
    <w:rsid w:val="00AE70F5"/>
    <w:rsid w:val="00AE7F20"/>
    <w:rsid w:val="00AE7FF3"/>
    <w:rsid w:val="00AF075C"/>
    <w:rsid w:val="00AF0BC2"/>
    <w:rsid w:val="00AF0CBF"/>
    <w:rsid w:val="00AF257F"/>
    <w:rsid w:val="00AF33CF"/>
    <w:rsid w:val="00AF4D50"/>
    <w:rsid w:val="00AF6179"/>
    <w:rsid w:val="00AF7F1F"/>
    <w:rsid w:val="00B002D1"/>
    <w:rsid w:val="00B016A4"/>
    <w:rsid w:val="00B0202A"/>
    <w:rsid w:val="00B0422F"/>
    <w:rsid w:val="00B04E5D"/>
    <w:rsid w:val="00B0567F"/>
    <w:rsid w:val="00B05758"/>
    <w:rsid w:val="00B0619D"/>
    <w:rsid w:val="00B102B6"/>
    <w:rsid w:val="00B119E2"/>
    <w:rsid w:val="00B1295A"/>
    <w:rsid w:val="00B1696F"/>
    <w:rsid w:val="00B16DE8"/>
    <w:rsid w:val="00B178EF"/>
    <w:rsid w:val="00B17D8B"/>
    <w:rsid w:val="00B20A45"/>
    <w:rsid w:val="00B21458"/>
    <w:rsid w:val="00B21A2C"/>
    <w:rsid w:val="00B22C5C"/>
    <w:rsid w:val="00B24C4C"/>
    <w:rsid w:val="00B24F30"/>
    <w:rsid w:val="00B25B53"/>
    <w:rsid w:val="00B25DBE"/>
    <w:rsid w:val="00B2727D"/>
    <w:rsid w:val="00B31ABF"/>
    <w:rsid w:val="00B33205"/>
    <w:rsid w:val="00B33379"/>
    <w:rsid w:val="00B33ADC"/>
    <w:rsid w:val="00B33BE3"/>
    <w:rsid w:val="00B40BF2"/>
    <w:rsid w:val="00B4116A"/>
    <w:rsid w:val="00B45A5D"/>
    <w:rsid w:val="00B471B7"/>
    <w:rsid w:val="00B471E6"/>
    <w:rsid w:val="00B4772E"/>
    <w:rsid w:val="00B51B4C"/>
    <w:rsid w:val="00B520DE"/>
    <w:rsid w:val="00B53B5D"/>
    <w:rsid w:val="00B5408D"/>
    <w:rsid w:val="00B56803"/>
    <w:rsid w:val="00B6055E"/>
    <w:rsid w:val="00B6317D"/>
    <w:rsid w:val="00B63D12"/>
    <w:rsid w:val="00B66E36"/>
    <w:rsid w:val="00B67067"/>
    <w:rsid w:val="00B706BA"/>
    <w:rsid w:val="00B716AB"/>
    <w:rsid w:val="00B71C27"/>
    <w:rsid w:val="00B72CE0"/>
    <w:rsid w:val="00B760BA"/>
    <w:rsid w:val="00B7723F"/>
    <w:rsid w:val="00B776B4"/>
    <w:rsid w:val="00B80534"/>
    <w:rsid w:val="00B81112"/>
    <w:rsid w:val="00B821AE"/>
    <w:rsid w:val="00B82368"/>
    <w:rsid w:val="00B82C86"/>
    <w:rsid w:val="00B82DBF"/>
    <w:rsid w:val="00B8433C"/>
    <w:rsid w:val="00B85B31"/>
    <w:rsid w:val="00B86CAA"/>
    <w:rsid w:val="00B87491"/>
    <w:rsid w:val="00B874BC"/>
    <w:rsid w:val="00B90EB2"/>
    <w:rsid w:val="00B92A31"/>
    <w:rsid w:val="00B940B1"/>
    <w:rsid w:val="00B971FE"/>
    <w:rsid w:val="00BA17AC"/>
    <w:rsid w:val="00BA2598"/>
    <w:rsid w:val="00BA29E9"/>
    <w:rsid w:val="00BA44A1"/>
    <w:rsid w:val="00BA5F85"/>
    <w:rsid w:val="00BA6B60"/>
    <w:rsid w:val="00BA7142"/>
    <w:rsid w:val="00BA7366"/>
    <w:rsid w:val="00BB193E"/>
    <w:rsid w:val="00BB237C"/>
    <w:rsid w:val="00BB2F1B"/>
    <w:rsid w:val="00BB41A3"/>
    <w:rsid w:val="00BB4A77"/>
    <w:rsid w:val="00BB4C39"/>
    <w:rsid w:val="00BB5B83"/>
    <w:rsid w:val="00BB5F93"/>
    <w:rsid w:val="00BB72B8"/>
    <w:rsid w:val="00BC0D61"/>
    <w:rsid w:val="00BC1F46"/>
    <w:rsid w:val="00BC32DC"/>
    <w:rsid w:val="00BC35B6"/>
    <w:rsid w:val="00BC3A2F"/>
    <w:rsid w:val="00BC4B69"/>
    <w:rsid w:val="00BC68E8"/>
    <w:rsid w:val="00BC734B"/>
    <w:rsid w:val="00BD04C4"/>
    <w:rsid w:val="00BD06BE"/>
    <w:rsid w:val="00BD13BC"/>
    <w:rsid w:val="00BD1B51"/>
    <w:rsid w:val="00BD1F74"/>
    <w:rsid w:val="00BD2CD2"/>
    <w:rsid w:val="00BD427B"/>
    <w:rsid w:val="00BD4596"/>
    <w:rsid w:val="00BD60D4"/>
    <w:rsid w:val="00BD65C8"/>
    <w:rsid w:val="00BE0134"/>
    <w:rsid w:val="00BE0212"/>
    <w:rsid w:val="00BE0990"/>
    <w:rsid w:val="00BE1405"/>
    <w:rsid w:val="00BE260E"/>
    <w:rsid w:val="00BE291E"/>
    <w:rsid w:val="00BE312D"/>
    <w:rsid w:val="00BE3812"/>
    <w:rsid w:val="00BE48E3"/>
    <w:rsid w:val="00BE52F7"/>
    <w:rsid w:val="00BE6B25"/>
    <w:rsid w:val="00BF01B9"/>
    <w:rsid w:val="00BF1C20"/>
    <w:rsid w:val="00BF24EC"/>
    <w:rsid w:val="00BF4D88"/>
    <w:rsid w:val="00BF4F99"/>
    <w:rsid w:val="00BF6AD1"/>
    <w:rsid w:val="00C0036C"/>
    <w:rsid w:val="00C016B0"/>
    <w:rsid w:val="00C01E82"/>
    <w:rsid w:val="00C04790"/>
    <w:rsid w:val="00C058B5"/>
    <w:rsid w:val="00C05E4B"/>
    <w:rsid w:val="00C10578"/>
    <w:rsid w:val="00C11930"/>
    <w:rsid w:val="00C135BC"/>
    <w:rsid w:val="00C13AC3"/>
    <w:rsid w:val="00C144F3"/>
    <w:rsid w:val="00C15185"/>
    <w:rsid w:val="00C153B7"/>
    <w:rsid w:val="00C15445"/>
    <w:rsid w:val="00C15B69"/>
    <w:rsid w:val="00C15C95"/>
    <w:rsid w:val="00C17F1C"/>
    <w:rsid w:val="00C20EA3"/>
    <w:rsid w:val="00C21526"/>
    <w:rsid w:val="00C23B78"/>
    <w:rsid w:val="00C2596A"/>
    <w:rsid w:val="00C27537"/>
    <w:rsid w:val="00C2758D"/>
    <w:rsid w:val="00C328FE"/>
    <w:rsid w:val="00C33507"/>
    <w:rsid w:val="00C33C57"/>
    <w:rsid w:val="00C3663E"/>
    <w:rsid w:val="00C41922"/>
    <w:rsid w:val="00C4206F"/>
    <w:rsid w:val="00C4409D"/>
    <w:rsid w:val="00C4455A"/>
    <w:rsid w:val="00C449A9"/>
    <w:rsid w:val="00C44E72"/>
    <w:rsid w:val="00C458CD"/>
    <w:rsid w:val="00C45A06"/>
    <w:rsid w:val="00C466A7"/>
    <w:rsid w:val="00C46CAF"/>
    <w:rsid w:val="00C47311"/>
    <w:rsid w:val="00C4732D"/>
    <w:rsid w:val="00C47E5B"/>
    <w:rsid w:val="00C47E7D"/>
    <w:rsid w:val="00C53B44"/>
    <w:rsid w:val="00C56FD2"/>
    <w:rsid w:val="00C61E4B"/>
    <w:rsid w:val="00C64BFF"/>
    <w:rsid w:val="00C64FD4"/>
    <w:rsid w:val="00C651AA"/>
    <w:rsid w:val="00C66070"/>
    <w:rsid w:val="00C67746"/>
    <w:rsid w:val="00C704E9"/>
    <w:rsid w:val="00C7418B"/>
    <w:rsid w:val="00C7427D"/>
    <w:rsid w:val="00C75461"/>
    <w:rsid w:val="00C763C9"/>
    <w:rsid w:val="00C77C06"/>
    <w:rsid w:val="00C80057"/>
    <w:rsid w:val="00C82232"/>
    <w:rsid w:val="00C82913"/>
    <w:rsid w:val="00C82AA1"/>
    <w:rsid w:val="00C84B8E"/>
    <w:rsid w:val="00C862F9"/>
    <w:rsid w:val="00C8761F"/>
    <w:rsid w:val="00C9228F"/>
    <w:rsid w:val="00C92BB2"/>
    <w:rsid w:val="00C967F3"/>
    <w:rsid w:val="00C96C41"/>
    <w:rsid w:val="00C96E52"/>
    <w:rsid w:val="00C972B1"/>
    <w:rsid w:val="00C97BB4"/>
    <w:rsid w:val="00CA2CCE"/>
    <w:rsid w:val="00CA43FD"/>
    <w:rsid w:val="00CA7EF8"/>
    <w:rsid w:val="00CB0951"/>
    <w:rsid w:val="00CB1693"/>
    <w:rsid w:val="00CB36B9"/>
    <w:rsid w:val="00CB4276"/>
    <w:rsid w:val="00CB4CD1"/>
    <w:rsid w:val="00CB621E"/>
    <w:rsid w:val="00CC489B"/>
    <w:rsid w:val="00CC5616"/>
    <w:rsid w:val="00CC6906"/>
    <w:rsid w:val="00CC734E"/>
    <w:rsid w:val="00CD0F9A"/>
    <w:rsid w:val="00CD2BCD"/>
    <w:rsid w:val="00CD3A4C"/>
    <w:rsid w:val="00CD5554"/>
    <w:rsid w:val="00CE0BED"/>
    <w:rsid w:val="00CE10E9"/>
    <w:rsid w:val="00CE155F"/>
    <w:rsid w:val="00CE2910"/>
    <w:rsid w:val="00CE336D"/>
    <w:rsid w:val="00CE5393"/>
    <w:rsid w:val="00CF33DE"/>
    <w:rsid w:val="00CF36BE"/>
    <w:rsid w:val="00CF4694"/>
    <w:rsid w:val="00CF5389"/>
    <w:rsid w:val="00CF57FE"/>
    <w:rsid w:val="00CF6000"/>
    <w:rsid w:val="00CF6431"/>
    <w:rsid w:val="00CF69B0"/>
    <w:rsid w:val="00CF73FF"/>
    <w:rsid w:val="00D003F3"/>
    <w:rsid w:val="00D010B3"/>
    <w:rsid w:val="00D01581"/>
    <w:rsid w:val="00D031EA"/>
    <w:rsid w:val="00D0364F"/>
    <w:rsid w:val="00D038E2"/>
    <w:rsid w:val="00D0480F"/>
    <w:rsid w:val="00D060E8"/>
    <w:rsid w:val="00D06834"/>
    <w:rsid w:val="00D06C04"/>
    <w:rsid w:val="00D06D7D"/>
    <w:rsid w:val="00D1112F"/>
    <w:rsid w:val="00D112BB"/>
    <w:rsid w:val="00D11B67"/>
    <w:rsid w:val="00D13138"/>
    <w:rsid w:val="00D1593E"/>
    <w:rsid w:val="00D1650D"/>
    <w:rsid w:val="00D16641"/>
    <w:rsid w:val="00D17C0B"/>
    <w:rsid w:val="00D22561"/>
    <w:rsid w:val="00D25923"/>
    <w:rsid w:val="00D2609E"/>
    <w:rsid w:val="00D308ED"/>
    <w:rsid w:val="00D31727"/>
    <w:rsid w:val="00D320BA"/>
    <w:rsid w:val="00D34CBD"/>
    <w:rsid w:val="00D358CB"/>
    <w:rsid w:val="00D3598C"/>
    <w:rsid w:val="00D36A80"/>
    <w:rsid w:val="00D36D86"/>
    <w:rsid w:val="00D37F76"/>
    <w:rsid w:val="00D4052A"/>
    <w:rsid w:val="00D428AA"/>
    <w:rsid w:val="00D4344A"/>
    <w:rsid w:val="00D44768"/>
    <w:rsid w:val="00D4496F"/>
    <w:rsid w:val="00D4532C"/>
    <w:rsid w:val="00D45833"/>
    <w:rsid w:val="00D50A34"/>
    <w:rsid w:val="00D50B02"/>
    <w:rsid w:val="00D51EDB"/>
    <w:rsid w:val="00D53EFA"/>
    <w:rsid w:val="00D5626A"/>
    <w:rsid w:val="00D5736C"/>
    <w:rsid w:val="00D6036C"/>
    <w:rsid w:val="00D608BC"/>
    <w:rsid w:val="00D60E3D"/>
    <w:rsid w:val="00D62BD4"/>
    <w:rsid w:val="00D67BC7"/>
    <w:rsid w:val="00D70311"/>
    <w:rsid w:val="00D72631"/>
    <w:rsid w:val="00D76999"/>
    <w:rsid w:val="00D8214F"/>
    <w:rsid w:val="00D82BDD"/>
    <w:rsid w:val="00D90BE6"/>
    <w:rsid w:val="00D90E8C"/>
    <w:rsid w:val="00D917C1"/>
    <w:rsid w:val="00D91E73"/>
    <w:rsid w:val="00D9390C"/>
    <w:rsid w:val="00D94A7C"/>
    <w:rsid w:val="00D953E6"/>
    <w:rsid w:val="00D956D8"/>
    <w:rsid w:val="00D95896"/>
    <w:rsid w:val="00D96FB3"/>
    <w:rsid w:val="00D97720"/>
    <w:rsid w:val="00DA2D77"/>
    <w:rsid w:val="00DA530E"/>
    <w:rsid w:val="00DB15EB"/>
    <w:rsid w:val="00DB1EA6"/>
    <w:rsid w:val="00DB2983"/>
    <w:rsid w:val="00DB362C"/>
    <w:rsid w:val="00DB3743"/>
    <w:rsid w:val="00DB6E06"/>
    <w:rsid w:val="00DC1257"/>
    <w:rsid w:val="00DC142F"/>
    <w:rsid w:val="00DC1A82"/>
    <w:rsid w:val="00DC3861"/>
    <w:rsid w:val="00DC3DC0"/>
    <w:rsid w:val="00DC4720"/>
    <w:rsid w:val="00DC474F"/>
    <w:rsid w:val="00DC4BB0"/>
    <w:rsid w:val="00DC5B2B"/>
    <w:rsid w:val="00DD318D"/>
    <w:rsid w:val="00DD3D7F"/>
    <w:rsid w:val="00DD53E1"/>
    <w:rsid w:val="00DE015C"/>
    <w:rsid w:val="00DE0A82"/>
    <w:rsid w:val="00DE49A2"/>
    <w:rsid w:val="00DE561D"/>
    <w:rsid w:val="00DE6EBB"/>
    <w:rsid w:val="00DF0D60"/>
    <w:rsid w:val="00DF27E2"/>
    <w:rsid w:val="00DF2A49"/>
    <w:rsid w:val="00DF2E12"/>
    <w:rsid w:val="00DF34A6"/>
    <w:rsid w:val="00DF3F8B"/>
    <w:rsid w:val="00DF514A"/>
    <w:rsid w:val="00DF6690"/>
    <w:rsid w:val="00DF6804"/>
    <w:rsid w:val="00DF714F"/>
    <w:rsid w:val="00E00692"/>
    <w:rsid w:val="00E0358D"/>
    <w:rsid w:val="00E0375D"/>
    <w:rsid w:val="00E03CEA"/>
    <w:rsid w:val="00E04323"/>
    <w:rsid w:val="00E0441D"/>
    <w:rsid w:val="00E0601A"/>
    <w:rsid w:val="00E070A2"/>
    <w:rsid w:val="00E1451F"/>
    <w:rsid w:val="00E15928"/>
    <w:rsid w:val="00E17556"/>
    <w:rsid w:val="00E20230"/>
    <w:rsid w:val="00E22B0A"/>
    <w:rsid w:val="00E2656A"/>
    <w:rsid w:val="00E2767B"/>
    <w:rsid w:val="00E301A6"/>
    <w:rsid w:val="00E303AE"/>
    <w:rsid w:val="00E31832"/>
    <w:rsid w:val="00E33948"/>
    <w:rsid w:val="00E34075"/>
    <w:rsid w:val="00E36912"/>
    <w:rsid w:val="00E372F4"/>
    <w:rsid w:val="00E378C8"/>
    <w:rsid w:val="00E37E1D"/>
    <w:rsid w:val="00E406B1"/>
    <w:rsid w:val="00E40FBD"/>
    <w:rsid w:val="00E412D0"/>
    <w:rsid w:val="00E42AC9"/>
    <w:rsid w:val="00E42BDB"/>
    <w:rsid w:val="00E42CC3"/>
    <w:rsid w:val="00E44021"/>
    <w:rsid w:val="00E44561"/>
    <w:rsid w:val="00E45693"/>
    <w:rsid w:val="00E45B06"/>
    <w:rsid w:val="00E4651D"/>
    <w:rsid w:val="00E4780C"/>
    <w:rsid w:val="00E51515"/>
    <w:rsid w:val="00E51816"/>
    <w:rsid w:val="00E55204"/>
    <w:rsid w:val="00E56322"/>
    <w:rsid w:val="00E57116"/>
    <w:rsid w:val="00E60662"/>
    <w:rsid w:val="00E60982"/>
    <w:rsid w:val="00E61D50"/>
    <w:rsid w:val="00E61EBA"/>
    <w:rsid w:val="00E62C62"/>
    <w:rsid w:val="00E631BF"/>
    <w:rsid w:val="00E6369F"/>
    <w:rsid w:val="00E63BAC"/>
    <w:rsid w:val="00E641A6"/>
    <w:rsid w:val="00E64FBE"/>
    <w:rsid w:val="00E654C1"/>
    <w:rsid w:val="00E65D97"/>
    <w:rsid w:val="00E66E68"/>
    <w:rsid w:val="00E70C0A"/>
    <w:rsid w:val="00E71C22"/>
    <w:rsid w:val="00E7267E"/>
    <w:rsid w:val="00E72A5A"/>
    <w:rsid w:val="00E73354"/>
    <w:rsid w:val="00E75349"/>
    <w:rsid w:val="00E75910"/>
    <w:rsid w:val="00E81CB4"/>
    <w:rsid w:val="00E82013"/>
    <w:rsid w:val="00E85DAE"/>
    <w:rsid w:val="00E879F4"/>
    <w:rsid w:val="00E90A71"/>
    <w:rsid w:val="00E916BF"/>
    <w:rsid w:val="00E91B4D"/>
    <w:rsid w:val="00E9242D"/>
    <w:rsid w:val="00E94F73"/>
    <w:rsid w:val="00E963B1"/>
    <w:rsid w:val="00E96614"/>
    <w:rsid w:val="00E9680C"/>
    <w:rsid w:val="00EA1ECD"/>
    <w:rsid w:val="00EA4990"/>
    <w:rsid w:val="00EA593A"/>
    <w:rsid w:val="00EA5A5B"/>
    <w:rsid w:val="00EA7264"/>
    <w:rsid w:val="00EA76AC"/>
    <w:rsid w:val="00EA7D82"/>
    <w:rsid w:val="00EB4967"/>
    <w:rsid w:val="00EB4EBA"/>
    <w:rsid w:val="00EB5255"/>
    <w:rsid w:val="00EB52C5"/>
    <w:rsid w:val="00EB5C47"/>
    <w:rsid w:val="00EB6A01"/>
    <w:rsid w:val="00EB711B"/>
    <w:rsid w:val="00EC01E6"/>
    <w:rsid w:val="00EC0492"/>
    <w:rsid w:val="00EC26CA"/>
    <w:rsid w:val="00ED0639"/>
    <w:rsid w:val="00ED2E87"/>
    <w:rsid w:val="00ED36BA"/>
    <w:rsid w:val="00ED4D43"/>
    <w:rsid w:val="00EE3A0D"/>
    <w:rsid w:val="00EE3E5B"/>
    <w:rsid w:val="00EE6624"/>
    <w:rsid w:val="00EE685A"/>
    <w:rsid w:val="00EF1E68"/>
    <w:rsid w:val="00EF3D32"/>
    <w:rsid w:val="00EF4755"/>
    <w:rsid w:val="00EF6310"/>
    <w:rsid w:val="00EF6975"/>
    <w:rsid w:val="00EF7135"/>
    <w:rsid w:val="00F00E9E"/>
    <w:rsid w:val="00F027DB"/>
    <w:rsid w:val="00F033DE"/>
    <w:rsid w:val="00F044F0"/>
    <w:rsid w:val="00F04FC3"/>
    <w:rsid w:val="00F11930"/>
    <w:rsid w:val="00F12CFF"/>
    <w:rsid w:val="00F14A7A"/>
    <w:rsid w:val="00F173A6"/>
    <w:rsid w:val="00F20447"/>
    <w:rsid w:val="00F20CFE"/>
    <w:rsid w:val="00F22985"/>
    <w:rsid w:val="00F2489E"/>
    <w:rsid w:val="00F2602A"/>
    <w:rsid w:val="00F277FD"/>
    <w:rsid w:val="00F33574"/>
    <w:rsid w:val="00F3383E"/>
    <w:rsid w:val="00F339B4"/>
    <w:rsid w:val="00F34FBB"/>
    <w:rsid w:val="00F35DEB"/>
    <w:rsid w:val="00F35E83"/>
    <w:rsid w:val="00F4040C"/>
    <w:rsid w:val="00F42E1F"/>
    <w:rsid w:val="00F448DC"/>
    <w:rsid w:val="00F46483"/>
    <w:rsid w:val="00F465A7"/>
    <w:rsid w:val="00F47F08"/>
    <w:rsid w:val="00F50B7C"/>
    <w:rsid w:val="00F550E6"/>
    <w:rsid w:val="00F55FC9"/>
    <w:rsid w:val="00F60163"/>
    <w:rsid w:val="00F61EEF"/>
    <w:rsid w:val="00F739AC"/>
    <w:rsid w:val="00F74345"/>
    <w:rsid w:val="00F7753E"/>
    <w:rsid w:val="00F80A0A"/>
    <w:rsid w:val="00F81761"/>
    <w:rsid w:val="00F81C44"/>
    <w:rsid w:val="00F82B19"/>
    <w:rsid w:val="00F83A80"/>
    <w:rsid w:val="00F90C59"/>
    <w:rsid w:val="00F9212D"/>
    <w:rsid w:val="00F965DA"/>
    <w:rsid w:val="00F965DB"/>
    <w:rsid w:val="00F97135"/>
    <w:rsid w:val="00F97EDA"/>
    <w:rsid w:val="00FA179B"/>
    <w:rsid w:val="00FA2620"/>
    <w:rsid w:val="00FA2649"/>
    <w:rsid w:val="00FA406A"/>
    <w:rsid w:val="00FA4B42"/>
    <w:rsid w:val="00FA6981"/>
    <w:rsid w:val="00FB0DF3"/>
    <w:rsid w:val="00FB1884"/>
    <w:rsid w:val="00FB48EE"/>
    <w:rsid w:val="00FB503A"/>
    <w:rsid w:val="00FB516C"/>
    <w:rsid w:val="00FB5639"/>
    <w:rsid w:val="00FB6040"/>
    <w:rsid w:val="00FC09D3"/>
    <w:rsid w:val="00FC3EDC"/>
    <w:rsid w:val="00FC47B4"/>
    <w:rsid w:val="00FC51B9"/>
    <w:rsid w:val="00FC5D2E"/>
    <w:rsid w:val="00FC62A8"/>
    <w:rsid w:val="00FC69B4"/>
    <w:rsid w:val="00FD0236"/>
    <w:rsid w:val="00FD18F4"/>
    <w:rsid w:val="00FD1B9F"/>
    <w:rsid w:val="00FD1C1F"/>
    <w:rsid w:val="00FD426B"/>
    <w:rsid w:val="00FD4C38"/>
    <w:rsid w:val="00FD54DB"/>
    <w:rsid w:val="00FD567F"/>
    <w:rsid w:val="00FD619F"/>
    <w:rsid w:val="00FD786C"/>
    <w:rsid w:val="00FE0079"/>
    <w:rsid w:val="00FE32CB"/>
    <w:rsid w:val="00FE4F57"/>
    <w:rsid w:val="00FE598F"/>
    <w:rsid w:val="00FE5CC3"/>
    <w:rsid w:val="00FE5EB1"/>
    <w:rsid w:val="00FE67D8"/>
    <w:rsid w:val="00FF0656"/>
    <w:rsid w:val="00FF5DA1"/>
    <w:rsid w:val="00FF6789"/>
    <w:rsid w:val="00FF7C22"/>
    <w:rsid w:val="01026C38"/>
    <w:rsid w:val="01290F7E"/>
    <w:rsid w:val="015D1E09"/>
    <w:rsid w:val="019B3879"/>
    <w:rsid w:val="01E7109B"/>
    <w:rsid w:val="02697903"/>
    <w:rsid w:val="02F96569"/>
    <w:rsid w:val="03D251BA"/>
    <w:rsid w:val="03EA7B21"/>
    <w:rsid w:val="046A187D"/>
    <w:rsid w:val="05F83EAE"/>
    <w:rsid w:val="063E7D85"/>
    <w:rsid w:val="07293586"/>
    <w:rsid w:val="07295285"/>
    <w:rsid w:val="07636392"/>
    <w:rsid w:val="076E3F95"/>
    <w:rsid w:val="07770C56"/>
    <w:rsid w:val="08F31FA8"/>
    <w:rsid w:val="092217DD"/>
    <w:rsid w:val="093A7294"/>
    <w:rsid w:val="0A263993"/>
    <w:rsid w:val="0A2D3AC2"/>
    <w:rsid w:val="0A995AFB"/>
    <w:rsid w:val="0AA755DF"/>
    <w:rsid w:val="0B120D44"/>
    <w:rsid w:val="0BD27BF6"/>
    <w:rsid w:val="0BE124F7"/>
    <w:rsid w:val="0C3B3C7D"/>
    <w:rsid w:val="0CAB2EAE"/>
    <w:rsid w:val="0D621C7D"/>
    <w:rsid w:val="0E73034D"/>
    <w:rsid w:val="0F13775A"/>
    <w:rsid w:val="0F5F45FE"/>
    <w:rsid w:val="0F9A112B"/>
    <w:rsid w:val="106D2F64"/>
    <w:rsid w:val="10B01252"/>
    <w:rsid w:val="10B63710"/>
    <w:rsid w:val="10F10820"/>
    <w:rsid w:val="111C2F7A"/>
    <w:rsid w:val="11665CA1"/>
    <w:rsid w:val="11DF4879"/>
    <w:rsid w:val="13951726"/>
    <w:rsid w:val="139E33BA"/>
    <w:rsid w:val="14396509"/>
    <w:rsid w:val="14DD2C3C"/>
    <w:rsid w:val="16087E1D"/>
    <w:rsid w:val="17701D14"/>
    <w:rsid w:val="17735226"/>
    <w:rsid w:val="183664F7"/>
    <w:rsid w:val="189F624C"/>
    <w:rsid w:val="1A1C66C0"/>
    <w:rsid w:val="1A42393B"/>
    <w:rsid w:val="1AAD45DE"/>
    <w:rsid w:val="1B046F80"/>
    <w:rsid w:val="1B3267B5"/>
    <w:rsid w:val="1B40161D"/>
    <w:rsid w:val="1B441859"/>
    <w:rsid w:val="1B6606B1"/>
    <w:rsid w:val="1C5E7925"/>
    <w:rsid w:val="1CFD070F"/>
    <w:rsid w:val="1D5B7539"/>
    <w:rsid w:val="1D5F6196"/>
    <w:rsid w:val="1D6132A5"/>
    <w:rsid w:val="1D8E56D5"/>
    <w:rsid w:val="1E7A43DA"/>
    <w:rsid w:val="1F134911"/>
    <w:rsid w:val="1F2F306F"/>
    <w:rsid w:val="1FE7539E"/>
    <w:rsid w:val="20671BE0"/>
    <w:rsid w:val="20963CB8"/>
    <w:rsid w:val="20A81A1B"/>
    <w:rsid w:val="20B07FB6"/>
    <w:rsid w:val="20B646FB"/>
    <w:rsid w:val="213B74B1"/>
    <w:rsid w:val="215A2310"/>
    <w:rsid w:val="21DE318A"/>
    <w:rsid w:val="21EF5B80"/>
    <w:rsid w:val="22576990"/>
    <w:rsid w:val="22F47480"/>
    <w:rsid w:val="23DE1C48"/>
    <w:rsid w:val="240210CD"/>
    <w:rsid w:val="24BF09F7"/>
    <w:rsid w:val="252D53FE"/>
    <w:rsid w:val="25EC2D81"/>
    <w:rsid w:val="277057A2"/>
    <w:rsid w:val="27A023BD"/>
    <w:rsid w:val="28E026ED"/>
    <w:rsid w:val="29206EB8"/>
    <w:rsid w:val="29595666"/>
    <w:rsid w:val="29817026"/>
    <w:rsid w:val="29874881"/>
    <w:rsid w:val="29E325E0"/>
    <w:rsid w:val="2A452503"/>
    <w:rsid w:val="2AAF56F4"/>
    <w:rsid w:val="2BA936A8"/>
    <w:rsid w:val="2C315A5A"/>
    <w:rsid w:val="2C4B1C25"/>
    <w:rsid w:val="2D9E56F5"/>
    <w:rsid w:val="2E667F96"/>
    <w:rsid w:val="2E8226AB"/>
    <w:rsid w:val="2EC50CDD"/>
    <w:rsid w:val="2ED951ED"/>
    <w:rsid w:val="2FD065E6"/>
    <w:rsid w:val="2FD96870"/>
    <w:rsid w:val="30580BC9"/>
    <w:rsid w:val="311E2ED7"/>
    <w:rsid w:val="315619EE"/>
    <w:rsid w:val="315C449C"/>
    <w:rsid w:val="31B82709"/>
    <w:rsid w:val="31D05482"/>
    <w:rsid w:val="32400B34"/>
    <w:rsid w:val="329E6876"/>
    <w:rsid w:val="333015F2"/>
    <w:rsid w:val="334B6320"/>
    <w:rsid w:val="33B069B3"/>
    <w:rsid w:val="33D934D4"/>
    <w:rsid w:val="33DA3717"/>
    <w:rsid w:val="33FE2F6A"/>
    <w:rsid w:val="340E07E5"/>
    <w:rsid w:val="34235BF7"/>
    <w:rsid w:val="358C5FA8"/>
    <w:rsid w:val="35C15DF1"/>
    <w:rsid w:val="36074A7F"/>
    <w:rsid w:val="36923549"/>
    <w:rsid w:val="36B75FBF"/>
    <w:rsid w:val="36BD0C45"/>
    <w:rsid w:val="37E00298"/>
    <w:rsid w:val="38B302F9"/>
    <w:rsid w:val="38F12CD3"/>
    <w:rsid w:val="38F94775"/>
    <w:rsid w:val="392971ED"/>
    <w:rsid w:val="39325651"/>
    <w:rsid w:val="396C73C9"/>
    <w:rsid w:val="3A872856"/>
    <w:rsid w:val="3B3763D1"/>
    <w:rsid w:val="3B4B2CA7"/>
    <w:rsid w:val="3C2F6E1E"/>
    <w:rsid w:val="3C4F64BA"/>
    <w:rsid w:val="3CDA245A"/>
    <w:rsid w:val="3CF96036"/>
    <w:rsid w:val="3D1E06B7"/>
    <w:rsid w:val="3EDA0523"/>
    <w:rsid w:val="3F784B06"/>
    <w:rsid w:val="407A6407"/>
    <w:rsid w:val="4200449D"/>
    <w:rsid w:val="423A3BCC"/>
    <w:rsid w:val="424E57D2"/>
    <w:rsid w:val="42B26C49"/>
    <w:rsid w:val="433A6FE6"/>
    <w:rsid w:val="43480868"/>
    <w:rsid w:val="4350713C"/>
    <w:rsid w:val="436653E0"/>
    <w:rsid w:val="436C25B9"/>
    <w:rsid w:val="43C4431A"/>
    <w:rsid w:val="44B951CC"/>
    <w:rsid w:val="44CD14E0"/>
    <w:rsid w:val="44F20B0B"/>
    <w:rsid w:val="452E5F4C"/>
    <w:rsid w:val="45612018"/>
    <w:rsid w:val="456A07C6"/>
    <w:rsid w:val="458946E9"/>
    <w:rsid w:val="45A47C0E"/>
    <w:rsid w:val="46020929"/>
    <w:rsid w:val="46577FD6"/>
    <w:rsid w:val="46D955A7"/>
    <w:rsid w:val="47133957"/>
    <w:rsid w:val="47A07E0C"/>
    <w:rsid w:val="47EA500A"/>
    <w:rsid w:val="4870272E"/>
    <w:rsid w:val="48FD132F"/>
    <w:rsid w:val="49841197"/>
    <w:rsid w:val="49DC7715"/>
    <w:rsid w:val="4A023139"/>
    <w:rsid w:val="4A342A65"/>
    <w:rsid w:val="4A7B576F"/>
    <w:rsid w:val="4AF561A9"/>
    <w:rsid w:val="4BD665CC"/>
    <w:rsid w:val="4C4A0649"/>
    <w:rsid w:val="4C7E5ECA"/>
    <w:rsid w:val="4C876AA5"/>
    <w:rsid w:val="4D0E00FB"/>
    <w:rsid w:val="4D176606"/>
    <w:rsid w:val="4DEC4FB0"/>
    <w:rsid w:val="4E075D8A"/>
    <w:rsid w:val="4EC00FAD"/>
    <w:rsid w:val="4F9843DC"/>
    <w:rsid w:val="4FC62A8C"/>
    <w:rsid w:val="4FE20F0D"/>
    <w:rsid w:val="4FE51552"/>
    <w:rsid w:val="50504C4B"/>
    <w:rsid w:val="509C6E7C"/>
    <w:rsid w:val="50B90DBE"/>
    <w:rsid w:val="5162104E"/>
    <w:rsid w:val="5304549D"/>
    <w:rsid w:val="53A039CC"/>
    <w:rsid w:val="53A1505A"/>
    <w:rsid w:val="53A24A70"/>
    <w:rsid w:val="53D12FE0"/>
    <w:rsid w:val="54063E08"/>
    <w:rsid w:val="543437E8"/>
    <w:rsid w:val="544D58A3"/>
    <w:rsid w:val="54F73313"/>
    <w:rsid w:val="54F80955"/>
    <w:rsid w:val="555170A7"/>
    <w:rsid w:val="5587536D"/>
    <w:rsid w:val="559B174B"/>
    <w:rsid w:val="55CE0CF4"/>
    <w:rsid w:val="56B22A9C"/>
    <w:rsid w:val="572A7349"/>
    <w:rsid w:val="57B72A76"/>
    <w:rsid w:val="57C3426C"/>
    <w:rsid w:val="57CE1F93"/>
    <w:rsid w:val="586675E4"/>
    <w:rsid w:val="588743D1"/>
    <w:rsid w:val="5887701A"/>
    <w:rsid w:val="59C0439F"/>
    <w:rsid w:val="5ABE2233"/>
    <w:rsid w:val="5B0069DA"/>
    <w:rsid w:val="5BDF5D95"/>
    <w:rsid w:val="5BFE7528"/>
    <w:rsid w:val="5E2467F1"/>
    <w:rsid w:val="5E3F5627"/>
    <w:rsid w:val="5F1A2B43"/>
    <w:rsid w:val="5F1C19B3"/>
    <w:rsid w:val="5F1D10EF"/>
    <w:rsid w:val="5F5C5FB8"/>
    <w:rsid w:val="5FB837BB"/>
    <w:rsid w:val="60CC405A"/>
    <w:rsid w:val="60E70963"/>
    <w:rsid w:val="61BF2252"/>
    <w:rsid w:val="61E215D8"/>
    <w:rsid w:val="621B3775"/>
    <w:rsid w:val="62364782"/>
    <w:rsid w:val="62CF0C51"/>
    <w:rsid w:val="6394356A"/>
    <w:rsid w:val="63C61B2C"/>
    <w:rsid w:val="63D40BE9"/>
    <w:rsid w:val="64102431"/>
    <w:rsid w:val="641C7B40"/>
    <w:rsid w:val="64A5243A"/>
    <w:rsid w:val="64F531DE"/>
    <w:rsid w:val="65373578"/>
    <w:rsid w:val="66C136CD"/>
    <w:rsid w:val="67023912"/>
    <w:rsid w:val="671F124A"/>
    <w:rsid w:val="677A33C6"/>
    <w:rsid w:val="681F6961"/>
    <w:rsid w:val="68317E01"/>
    <w:rsid w:val="68610A2F"/>
    <w:rsid w:val="686504D6"/>
    <w:rsid w:val="68805514"/>
    <w:rsid w:val="68E72CD7"/>
    <w:rsid w:val="69316E2F"/>
    <w:rsid w:val="694E2071"/>
    <w:rsid w:val="69766163"/>
    <w:rsid w:val="697A3B33"/>
    <w:rsid w:val="699C32E1"/>
    <w:rsid w:val="69D44760"/>
    <w:rsid w:val="6A520EC7"/>
    <w:rsid w:val="6AF87E20"/>
    <w:rsid w:val="6B322639"/>
    <w:rsid w:val="6C291502"/>
    <w:rsid w:val="6C636C38"/>
    <w:rsid w:val="6D44722C"/>
    <w:rsid w:val="6DB34098"/>
    <w:rsid w:val="6DB545B6"/>
    <w:rsid w:val="6DE02FB4"/>
    <w:rsid w:val="6E3F209B"/>
    <w:rsid w:val="6E514CED"/>
    <w:rsid w:val="6E9F2795"/>
    <w:rsid w:val="6EB563D5"/>
    <w:rsid w:val="6ED92677"/>
    <w:rsid w:val="6F115F1E"/>
    <w:rsid w:val="6F225983"/>
    <w:rsid w:val="6FFC5590"/>
    <w:rsid w:val="706D1DD0"/>
    <w:rsid w:val="70856B87"/>
    <w:rsid w:val="70D527EE"/>
    <w:rsid w:val="715B5300"/>
    <w:rsid w:val="71D27F8A"/>
    <w:rsid w:val="72553024"/>
    <w:rsid w:val="73122968"/>
    <w:rsid w:val="731F5D5E"/>
    <w:rsid w:val="73C51AD5"/>
    <w:rsid w:val="741E793C"/>
    <w:rsid w:val="745E3944"/>
    <w:rsid w:val="74A251DE"/>
    <w:rsid w:val="7635099D"/>
    <w:rsid w:val="76D46915"/>
    <w:rsid w:val="77762421"/>
    <w:rsid w:val="77B56B1F"/>
    <w:rsid w:val="780F09F4"/>
    <w:rsid w:val="78A90480"/>
    <w:rsid w:val="7A364017"/>
    <w:rsid w:val="7A8265E1"/>
    <w:rsid w:val="7B686D42"/>
    <w:rsid w:val="7B7B1791"/>
    <w:rsid w:val="7B841746"/>
    <w:rsid w:val="7C6C5AC7"/>
    <w:rsid w:val="7CC6544B"/>
    <w:rsid w:val="7D0239FF"/>
    <w:rsid w:val="7D5E40CD"/>
    <w:rsid w:val="7D9B2A33"/>
    <w:rsid w:val="7DCD56F2"/>
    <w:rsid w:val="7DD13FF8"/>
    <w:rsid w:val="7DE14A75"/>
    <w:rsid w:val="7E424345"/>
    <w:rsid w:val="7F001CE7"/>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nhideWhenUsed="0"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99"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iPriority="99" w:semiHidden="0" w:name="Hyperlink" w:locked="1"/>
    <w:lsdException w:qFormat="1" w:uiPriority="99"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39" w:semiHidden="0" w:name="Table Grid"/>
    <w:lsdException w:uiPriority="0"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locked/>
    <w:uiPriority w:val="99"/>
    <w:pPr>
      <w:keepNext/>
      <w:overflowPunct w:val="0"/>
      <w:snapToGrid w:val="0"/>
      <w:spacing w:before="50" w:beforeLines="50" w:after="50" w:afterLines="50"/>
      <w:ind w:firstLine="0" w:firstLineChars="0"/>
      <w:jc w:val="left"/>
      <w:outlineLvl w:val="0"/>
    </w:pPr>
    <w:rPr>
      <w:b/>
      <w:bCs/>
      <w:color w:val="000000"/>
      <w:kern w:val="44"/>
      <w:sz w:val="32"/>
      <w:szCs w:val="30"/>
    </w:rPr>
  </w:style>
  <w:style w:type="paragraph" w:styleId="3">
    <w:name w:val="heading 2"/>
    <w:basedOn w:val="1"/>
    <w:next w:val="1"/>
    <w:link w:val="66"/>
    <w:unhideWhenUsed/>
    <w:qFormat/>
    <w:locked/>
    <w:uiPriority w:val="0"/>
    <w:pPr>
      <w:keepNext/>
      <w:keepLines/>
      <w:spacing w:before="50" w:beforeLines="50" w:after="50" w:afterLines="50"/>
      <w:ind w:firstLine="0" w:firstLineChars="0"/>
      <w:jc w:val="left"/>
      <w:outlineLvl w:val="1"/>
    </w:pPr>
    <w:rPr>
      <w:rFonts w:cstheme="majorBidi"/>
      <w:b/>
      <w:bCs/>
      <w:sz w:val="32"/>
      <w:szCs w:val="32"/>
    </w:rPr>
  </w:style>
  <w:style w:type="paragraph" w:styleId="4">
    <w:name w:val="heading 3"/>
    <w:basedOn w:val="1"/>
    <w:next w:val="1"/>
    <w:link w:val="25"/>
    <w:qFormat/>
    <w:locked/>
    <w:uiPriority w:val="0"/>
    <w:pPr>
      <w:keepNext/>
      <w:keepLines/>
      <w:spacing w:before="50" w:beforeLines="50" w:after="50" w:afterLines="50"/>
      <w:ind w:firstLine="0" w:firstLineChars="0"/>
      <w:jc w:val="left"/>
      <w:outlineLvl w:val="2"/>
    </w:pPr>
    <w:rPr>
      <w:b/>
      <w:bCs/>
      <w:sz w:val="28"/>
      <w:szCs w:val="32"/>
    </w:rPr>
  </w:style>
  <w:style w:type="paragraph" w:styleId="5">
    <w:name w:val="heading 4"/>
    <w:basedOn w:val="1"/>
    <w:next w:val="1"/>
    <w:unhideWhenUsed/>
    <w:qFormat/>
    <w:locked/>
    <w:uiPriority w:val="0"/>
    <w:pPr>
      <w:keepNext/>
      <w:keepLines/>
      <w:ind w:firstLine="0" w:firstLineChars="0"/>
      <w:jc w:val="left"/>
      <w:outlineLvl w:val="3"/>
    </w:pPr>
    <w:rPr>
      <w:b/>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6"/>
    <w:qFormat/>
    <w:uiPriority w:val="0"/>
    <w:pPr>
      <w:ind w:firstLine="0" w:firstLineChars="0"/>
      <w:jc w:val="center"/>
    </w:pPr>
    <w:rPr>
      <w:kern w:val="0"/>
      <w:szCs w:val="20"/>
    </w:rPr>
  </w:style>
  <w:style w:type="paragraph" w:styleId="7">
    <w:name w:val="Body Text"/>
    <w:basedOn w:val="1"/>
    <w:link w:val="27"/>
    <w:qFormat/>
    <w:uiPriority w:val="0"/>
    <w:pPr>
      <w:widowControl/>
      <w:snapToGrid w:val="0"/>
      <w:spacing w:before="60" w:after="160" w:line="259" w:lineRule="auto"/>
      <w:ind w:right="113"/>
    </w:pPr>
    <w:rPr>
      <w:kern w:val="0"/>
      <w:sz w:val="18"/>
      <w:szCs w:val="20"/>
    </w:rPr>
  </w:style>
  <w:style w:type="paragraph" w:styleId="8">
    <w:name w:val="Body Text Indent"/>
    <w:basedOn w:val="1"/>
    <w:link w:val="28"/>
    <w:qFormat/>
    <w:uiPriority w:val="0"/>
    <w:pPr>
      <w:spacing w:after="120"/>
      <w:ind w:left="420" w:leftChars="200"/>
    </w:pPr>
    <w:rPr>
      <w:kern w:val="0"/>
      <w:szCs w:val="20"/>
    </w:rPr>
  </w:style>
  <w:style w:type="paragraph" w:styleId="9">
    <w:name w:val="Date"/>
    <w:basedOn w:val="1"/>
    <w:next w:val="1"/>
    <w:link w:val="29"/>
    <w:qFormat/>
    <w:uiPriority w:val="0"/>
    <w:pPr>
      <w:ind w:left="100" w:leftChars="2500"/>
    </w:pPr>
    <w:rPr>
      <w:kern w:val="0"/>
      <w:szCs w:val="20"/>
    </w:rPr>
  </w:style>
  <w:style w:type="paragraph" w:styleId="10">
    <w:name w:val="Balloon Text"/>
    <w:basedOn w:val="1"/>
    <w:link w:val="30"/>
    <w:semiHidden/>
    <w:qFormat/>
    <w:uiPriority w:val="0"/>
    <w:rPr>
      <w:kern w:val="0"/>
      <w:sz w:val="18"/>
      <w:szCs w:val="20"/>
    </w:rPr>
  </w:style>
  <w:style w:type="paragraph" w:styleId="11">
    <w:name w:val="footer"/>
    <w:basedOn w:val="1"/>
    <w:link w:val="31"/>
    <w:qFormat/>
    <w:uiPriority w:val="99"/>
    <w:pPr>
      <w:tabs>
        <w:tab w:val="center" w:pos="4153"/>
        <w:tab w:val="right" w:pos="8306"/>
      </w:tabs>
      <w:snapToGrid w:val="0"/>
      <w:jc w:val="left"/>
    </w:pPr>
    <w:rPr>
      <w:kern w:val="0"/>
      <w:sz w:val="18"/>
      <w:szCs w:val="20"/>
    </w:rPr>
  </w:style>
  <w:style w:type="paragraph" w:styleId="12">
    <w:name w:val="header"/>
    <w:basedOn w:val="1"/>
    <w:link w:val="32"/>
    <w:qFormat/>
    <w:uiPriority w:val="0"/>
    <w:pPr>
      <w:pBdr>
        <w:bottom w:val="single" w:color="auto" w:sz="6" w:space="1"/>
      </w:pBdr>
      <w:tabs>
        <w:tab w:val="center" w:pos="4153"/>
        <w:tab w:val="right" w:pos="8306"/>
      </w:tabs>
      <w:snapToGrid w:val="0"/>
      <w:jc w:val="center"/>
    </w:pPr>
    <w:rPr>
      <w:kern w:val="0"/>
      <w:sz w:val="18"/>
      <w:szCs w:val="20"/>
    </w:rPr>
  </w:style>
  <w:style w:type="paragraph" w:styleId="13">
    <w:name w:val="Subtitle"/>
    <w:basedOn w:val="1"/>
    <w:next w:val="1"/>
    <w:link w:val="24"/>
    <w:qFormat/>
    <w:locked/>
    <w:uiPriority w:val="99"/>
    <w:pPr>
      <w:spacing w:line="240" w:lineRule="auto"/>
      <w:ind w:firstLine="0" w:firstLineChars="0"/>
      <w:jc w:val="center"/>
    </w:pPr>
    <w:rPr>
      <w:b/>
      <w:bCs/>
      <w:kern w:val="28"/>
      <w:szCs w:val="32"/>
    </w:rPr>
  </w:style>
  <w:style w:type="paragraph" w:styleId="14">
    <w:name w:val="Normal (Web)"/>
    <w:basedOn w:val="1"/>
    <w:link w:val="33"/>
    <w:qFormat/>
    <w:uiPriority w:val="0"/>
    <w:pPr>
      <w:widowControl/>
      <w:spacing w:before="100" w:beforeAutospacing="1" w:after="100" w:afterAutospacing="1"/>
      <w:jc w:val="left"/>
    </w:pPr>
    <w:rPr>
      <w:rFonts w:ascii="宋体" w:hAnsi="宋体"/>
      <w:kern w:val="0"/>
      <w:szCs w:val="20"/>
    </w:rPr>
  </w:style>
  <w:style w:type="paragraph" w:styleId="15">
    <w:name w:val="Title"/>
    <w:basedOn w:val="1"/>
    <w:next w:val="13"/>
    <w:link w:val="34"/>
    <w:qFormat/>
    <w:locked/>
    <w:uiPriority w:val="0"/>
    <w:pPr>
      <w:spacing w:before="50" w:beforeLines="50"/>
      <w:jc w:val="left"/>
      <w:outlineLvl w:val="3"/>
    </w:pPr>
    <w:rPr>
      <w:b/>
      <w:bCs/>
      <w:szCs w:val="32"/>
    </w:rPr>
  </w:style>
  <w:style w:type="paragraph" w:styleId="16">
    <w:name w:val="annotation subject"/>
    <w:basedOn w:val="6"/>
    <w:next w:val="6"/>
    <w:link w:val="35"/>
    <w:semiHidden/>
    <w:qFormat/>
    <w:uiPriority w:val="0"/>
    <w:rPr>
      <w:b/>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locked/>
    <w:uiPriority w:val="0"/>
  </w:style>
  <w:style w:type="character" w:styleId="21">
    <w:name w:val="FollowedHyperlink"/>
    <w:unhideWhenUsed/>
    <w:qFormat/>
    <w:locked/>
    <w:uiPriority w:val="99"/>
    <w:rPr>
      <w:color w:val="954F72"/>
      <w:u w:val="single"/>
    </w:rPr>
  </w:style>
  <w:style w:type="character" w:styleId="22">
    <w:name w:val="Hyperlink"/>
    <w:unhideWhenUsed/>
    <w:qFormat/>
    <w:locked/>
    <w:uiPriority w:val="99"/>
    <w:rPr>
      <w:color w:val="0563C1"/>
      <w:u w:val="single"/>
    </w:rPr>
  </w:style>
  <w:style w:type="character" w:styleId="23">
    <w:name w:val="annotation reference"/>
    <w:semiHidden/>
    <w:qFormat/>
    <w:uiPriority w:val="0"/>
    <w:rPr>
      <w:sz w:val="21"/>
    </w:rPr>
  </w:style>
  <w:style w:type="character" w:customStyle="1" w:styleId="24">
    <w:name w:val="副标题 字符"/>
    <w:link w:val="13"/>
    <w:qFormat/>
    <w:uiPriority w:val="99"/>
    <w:rPr>
      <w:rFonts w:ascii="Times New Roman" w:hAnsi="Times New Roman" w:eastAsia="宋体" w:cs="Times New Roman"/>
      <w:b/>
      <w:bCs/>
      <w:kern w:val="28"/>
      <w:sz w:val="24"/>
      <w:szCs w:val="32"/>
    </w:rPr>
  </w:style>
  <w:style w:type="character" w:customStyle="1" w:styleId="25">
    <w:name w:val="标题 3 字符"/>
    <w:link w:val="4"/>
    <w:semiHidden/>
    <w:qFormat/>
    <w:uiPriority w:val="0"/>
    <w:rPr>
      <w:rFonts w:ascii="Times New Roman" w:hAnsi="Times New Roman" w:eastAsia="宋体"/>
      <w:b/>
      <w:bCs/>
      <w:kern w:val="2"/>
      <w:sz w:val="28"/>
      <w:szCs w:val="32"/>
    </w:rPr>
  </w:style>
  <w:style w:type="character" w:customStyle="1" w:styleId="26">
    <w:name w:val="批注文字 字符"/>
    <w:link w:val="6"/>
    <w:qFormat/>
    <w:locked/>
    <w:uiPriority w:val="0"/>
    <w:rPr>
      <w:rFonts w:ascii="Times New Roman" w:hAnsi="Times New Roman" w:eastAsia="宋体"/>
      <w:sz w:val="24"/>
    </w:rPr>
  </w:style>
  <w:style w:type="character" w:customStyle="1" w:styleId="27">
    <w:name w:val="正文文本 字符"/>
    <w:link w:val="7"/>
    <w:qFormat/>
    <w:locked/>
    <w:uiPriority w:val="0"/>
    <w:rPr>
      <w:sz w:val="18"/>
    </w:rPr>
  </w:style>
  <w:style w:type="character" w:customStyle="1" w:styleId="28">
    <w:name w:val="正文文本缩进 字符"/>
    <w:link w:val="8"/>
    <w:semiHidden/>
    <w:qFormat/>
    <w:locked/>
    <w:uiPriority w:val="0"/>
    <w:rPr>
      <w:rFonts w:ascii="Times New Roman" w:hAnsi="Times New Roman" w:eastAsia="宋体"/>
      <w:sz w:val="24"/>
    </w:rPr>
  </w:style>
  <w:style w:type="character" w:customStyle="1" w:styleId="29">
    <w:name w:val="日期 字符1"/>
    <w:link w:val="9"/>
    <w:qFormat/>
    <w:locked/>
    <w:uiPriority w:val="0"/>
    <w:rPr>
      <w:rFonts w:ascii="Times New Roman" w:hAnsi="Times New Roman" w:eastAsia="宋体"/>
      <w:sz w:val="24"/>
    </w:rPr>
  </w:style>
  <w:style w:type="character" w:customStyle="1" w:styleId="30">
    <w:name w:val="批注框文本 字符"/>
    <w:link w:val="10"/>
    <w:semiHidden/>
    <w:qFormat/>
    <w:locked/>
    <w:uiPriority w:val="0"/>
    <w:rPr>
      <w:rFonts w:ascii="Times New Roman" w:hAnsi="Times New Roman" w:eastAsia="宋体"/>
      <w:sz w:val="18"/>
    </w:rPr>
  </w:style>
  <w:style w:type="character" w:customStyle="1" w:styleId="31">
    <w:name w:val="页脚 字符1"/>
    <w:link w:val="11"/>
    <w:qFormat/>
    <w:locked/>
    <w:uiPriority w:val="99"/>
    <w:rPr>
      <w:sz w:val="18"/>
    </w:rPr>
  </w:style>
  <w:style w:type="character" w:customStyle="1" w:styleId="32">
    <w:name w:val="页眉 字符"/>
    <w:link w:val="12"/>
    <w:qFormat/>
    <w:locked/>
    <w:uiPriority w:val="0"/>
    <w:rPr>
      <w:sz w:val="18"/>
    </w:rPr>
  </w:style>
  <w:style w:type="character" w:customStyle="1" w:styleId="33">
    <w:name w:val="普通(网站) 字符"/>
    <w:link w:val="14"/>
    <w:qFormat/>
    <w:locked/>
    <w:uiPriority w:val="99"/>
    <w:rPr>
      <w:rFonts w:ascii="宋体" w:hAnsi="宋体" w:eastAsia="宋体"/>
      <w:sz w:val="24"/>
    </w:rPr>
  </w:style>
  <w:style w:type="character" w:customStyle="1" w:styleId="34">
    <w:name w:val="标题 字符"/>
    <w:link w:val="15"/>
    <w:qFormat/>
    <w:uiPriority w:val="0"/>
    <w:rPr>
      <w:rFonts w:cs="Times New Roman"/>
      <w:b/>
      <w:bCs/>
      <w:kern w:val="2"/>
      <w:sz w:val="24"/>
      <w:szCs w:val="32"/>
    </w:rPr>
  </w:style>
  <w:style w:type="character" w:customStyle="1" w:styleId="35">
    <w:name w:val="批注主题 字符"/>
    <w:link w:val="16"/>
    <w:semiHidden/>
    <w:qFormat/>
    <w:locked/>
    <w:uiPriority w:val="0"/>
    <w:rPr>
      <w:rFonts w:ascii="Times New Roman" w:hAnsi="Times New Roman" w:eastAsia="宋体"/>
      <w:b/>
      <w:kern w:val="2"/>
      <w:sz w:val="24"/>
    </w:rPr>
  </w:style>
  <w:style w:type="character" w:customStyle="1" w:styleId="36">
    <w:name w:val="页脚 字符"/>
    <w:qFormat/>
    <w:uiPriority w:val="99"/>
  </w:style>
  <w:style w:type="character" w:customStyle="1" w:styleId="37">
    <w:name w:val="正文文本 字符1"/>
    <w:semiHidden/>
    <w:qFormat/>
    <w:uiPriority w:val="0"/>
    <w:rPr>
      <w:rFonts w:ascii="Times New Roman" w:hAnsi="Times New Roman" w:eastAsia="宋体"/>
      <w:sz w:val="24"/>
    </w:rPr>
  </w:style>
  <w:style w:type="character" w:customStyle="1" w:styleId="38">
    <w:name w:val="表格 Char"/>
    <w:link w:val="39"/>
    <w:qFormat/>
    <w:locked/>
    <w:uiPriority w:val="0"/>
    <w:rPr>
      <w:rFonts w:ascii="宋体"/>
      <w:sz w:val="21"/>
    </w:rPr>
  </w:style>
  <w:style w:type="paragraph" w:customStyle="1" w:styleId="39">
    <w:name w:val="表格"/>
    <w:basedOn w:val="1"/>
    <w:next w:val="1"/>
    <w:link w:val="38"/>
    <w:qFormat/>
    <w:uiPriority w:val="0"/>
    <w:pPr>
      <w:adjustRightInd w:val="0"/>
      <w:snapToGrid w:val="0"/>
      <w:spacing w:beforeLines="10" w:afterLines="10" w:line="259" w:lineRule="auto"/>
      <w:jc w:val="center"/>
    </w:pPr>
    <w:rPr>
      <w:rFonts w:ascii="宋体"/>
      <w:kern w:val="0"/>
      <w:szCs w:val="20"/>
    </w:rPr>
  </w:style>
  <w:style w:type="character" w:customStyle="1" w:styleId="40">
    <w:name w:val="日期 字符"/>
    <w:semiHidden/>
    <w:qFormat/>
    <w:uiPriority w:val="0"/>
    <w:rPr>
      <w:rFonts w:ascii="Times New Roman" w:hAnsi="Times New Roman" w:eastAsia="宋体"/>
      <w:sz w:val="24"/>
    </w:rPr>
  </w:style>
  <w:style w:type="character" w:customStyle="1" w:styleId="41">
    <w:name w:val="批注文字 字符1"/>
    <w:semiHidden/>
    <w:qFormat/>
    <w:uiPriority w:val="0"/>
    <w:rPr>
      <w:rFonts w:ascii="Times New Roman" w:hAnsi="Times New Roman" w:eastAsia="宋体"/>
      <w:sz w:val="24"/>
    </w:rPr>
  </w:style>
  <w:style w:type="paragraph" w:customStyle="1" w:styleId="4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普通(网站)2"/>
    <w:basedOn w:val="1"/>
    <w:qFormat/>
    <w:uiPriority w:val="0"/>
    <w:pPr>
      <w:widowControl/>
      <w:spacing w:before="100" w:beforeAutospacing="1" w:after="100" w:afterAutospacing="1"/>
      <w:jc w:val="left"/>
    </w:pPr>
    <w:rPr>
      <w:rFonts w:ascii="宋体" w:hAnsi="宋体"/>
      <w:szCs w:val="20"/>
    </w:rPr>
  </w:style>
  <w:style w:type="paragraph" w:styleId="44">
    <w:name w:val="No Spacing"/>
    <w:basedOn w:val="13"/>
    <w:next w:val="13"/>
    <w:link w:val="45"/>
    <w:qFormat/>
    <w:uiPriority w:val="99"/>
    <w:rPr>
      <w:kern w:val="2"/>
      <w:sz w:val="21"/>
      <w:szCs w:val="24"/>
    </w:rPr>
  </w:style>
  <w:style w:type="character" w:customStyle="1" w:styleId="45">
    <w:name w:val="无间隔 字符"/>
    <w:link w:val="44"/>
    <w:qFormat/>
    <w:uiPriority w:val="99"/>
    <w:rPr>
      <w:bCs/>
      <w:kern w:val="2"/>
      <w:sz w:val="21"/>
      <w:szCs w:val="24"/>
    </w:rPr>
  </w:style>
  <w:style w:type="paragraph" w:styleId="46">
    <w:name w:val="Quote"/>
    <w:basedOn w:val="1"/>
    <w:next w:val="13"/>
    <w:link w:val="47"/>
    <w:qFormat/>
    <w:uiPriority w:val="99"/>
    <w:pPr>
      <w:jc w:val="center"/>
    </w:pPr>
    <w:rPr>
      <w:b/>
      <w:iCs/>
      <w:color w:val="000000"/>
    </w:rPr>
  </w:style>
  <w:style w:type="character" w:customStyle="1" w:styleId="47">
    <w:name w:val="引用 字符"/>
    <w:link w:val="46"/>
    <w:qFormat/>
    <w:uiPriority w:val="99"/>
    <w:rPr>
      <w:b/>
      <w:iCs/>
      <w:color w:val="000000"/>
      <w:kern w:val="2"/>
      <w:sz w:val="24"/>
      <w:szCs w:val="24"/>
    </w:rPr>
  </w:style>
  <w:style w:type="character" w:customStyle="1" w:styleId="48">
    <w:name w:val="表 Char"/>
    <w:link w:val="49"/>
    <w:qFormat/>
    <w:locked/>
    <w:uiPriority w:val="0"/>
    <w:rPr>
      <w:bCs/>
      <w:kern w:val="44"/>
      <w:sz w:val="21"/>
      <w:szCs w:val="44"/>
    </w:rPr>
  </w:style>
  <w:style w:type="paragraph" w:customStyle="1" w:styleId="49">
    <w:name w:val="表"/>
    <w:basedOn w:val="1"/>
    <w:link w:val="48"/>
    <w:qFormat/>
    <w:uiPriority w:val="0"/>
    <w:pPr>
      <w:widowControl/>
      <w:jc w:val="center"/>
    </w:pPr>
    <w:rPr>
      <w:bCs/>
      <w:kern w:val="44"/>
      <w:szCs w:val="44"/>
    </w:rPr>
  </w:style>
  <w:style w:type="character" w:customStyle="1" w:styleId="50">
    <w:name w:val="书籍标题1"/>
    <w:qFormat/>
    <w:uiPriority w:val="33"/>
    <w:rPr>
      <w:b/>
      <w:bCs/>
      <w:smallCaps/>
      <w:spacing w:val="5"/>
    </w:rPr>
  </w:style>
  <w:style w:type="character" w:customStyle="1" w:styleId="51">
    <w:name w:val="2表内正文CM 字符"/>
    <w:link w:val="52"/>
    <w:qFormat/>
    <w:uiPriority w:val="0"/>
    <w:rPr>
      <w:rFonts w:cs="宋体"/>
      <w:kern w:val="2"/>
      <w:sz w:val="21"/>
      <w:szCs w:val="24"/>
    </w:rPr>
  </w:style>
  <w:style w:type="paragraph" w:customStyle="1" w:styleId="52">
    <w:name w:val="2表内正文CM"/>
    <w:basedOn w:val="1"/>
    <w:next w:val="1"/>
    <w:link w:val="51"/>
    <w:qFormat/>
    <w:uiPriority w:val="0"/>
    <w:pPr>
      <w:widowControl/>
      <w:adjustRightInd w:val="0"/>
      <w:snapToGrid w:val="0"/>
      <w:jc w:val="center"/>
    </w:pPr>
    <w:rPr>
      <w:rFonts w:cs="宋体"/>
    </w:rPr>
  </w:style>
  <w:style w:type="paragraph" w:customStyle="1" w:styleId="53">
    <w:name w:val="Title3"/>
    <w:basedOn w:val="4"/>
    <w:next w:val="4"/>
    <w:link w:val="54"/>
    <w:qFormat/>
    <w:uiPriority w:val="0"/>
    <w:pPr>
      <w:tabs>
        <w:tab w:val="left" w:pos="720"/>
      </w:tabs>
    </w:pPr>
    <w:rPr>
      <w:kern w:val="0"/>
    </w:rPr>
  </w:style>
  <w:style w:type="character" w:customStyle="1" w:styleId="54">
    <w:name w:val="Title3 Char"/>
    <w:link w:val="53"/>
    <w:qFormat/>
    <w:uiPriority w:val="0"/>
    <w:rPr>
      <w:b/>
      <w:bCs/>
      <w:sz w:val="28"/>
      <w:szCs w:val="32"/>
    </w:rPr>
  </w:style>
  <w:style w:type="character" w:customStyle="1" w:styleId="55">
    <w:name w:val="无间隔 Char"/>
    <w:qFormat/>
    <w:uiPriority w:val="99"/>
    <w:rPr>
      <w:bCs/>
      <w:kern w:val="2"/>
      <w:sz w:val="21"/>
      <w:szCs w:val="24"/>
    </w:rPr>
  </w:style>
  <w:style w:type="character" w:customStyle="1" w:styleId="56">
    <w:name w:val="引用 Char"/>
    <w:qFormat/>
    <w:uiPriority w:val="99"/>
    <w:rPr>
      <w:b/>
      <w:iCs/>
      <w:color w:val="000000"/>
      <w:kern w:val="2"/>
      <w:sz w:val="24"/>
      <w:szCs w:val="24"/>
    </w:rPr>
  </w:style>
  <w:style w:type="paragraph" w:customStyle="1" w:styleId="57">
    <w:name w:val="修订1"/>
    <w:unhideWhenUsed/>
    <w:qFormat/>
    <w:uiPriority w:val="99"/>
    <w:rPr>
      <w:rFonts w:ascii="Times New Roman" w:hAnsi="Times New Roman" w:eastAsia="宋体" w:cs="Times New Roman"/>
      <w:kern w:val="2"/>
      <w:sz w:val="21"/>
      <w:szCs w:val="24"/>
      <w:lang w:val="en-US" w:eastAsia="zh-CN" w:bidi="ar-SA"/>
    </w:rPr>
  </w:style>
  <w:style w:type="table" w:customStyle="1" w:styleId="58">
    <w:name w:val="表格样式"/>
    <w:basedOn w:val="17"/>
    <w:qFormat/>
    <w:uiPriority w:val="0"/>
    <w:pPr>
      <w:jc w:val="center"/>
    </w:pPr>
    <w:rPr>
      <w:sz w:val="21"/>
    </w:rPr>
    <w:tblPr>
      <w:jc w:val="center"/>
      <w:tblBorders>
        <w:top w:val="single" w:color="auto" w:sz="18" w:space="0"/>
        <w:bottom w:val="single" w:color="auto" w:sz="18" w:space="0"/>
        <w:insideH w:val="single" w:color="auto" w:sz="4" w:space="0"/>
        <w:insideV w:val="single" w:color="auto" w:sz="4" w:space="0"/>
      </w:tblBorders>
    </w:tblPr>
    <w:trPr>
      <w:jc w:val="center"/>
    </w:trPr>
    <w:tcPr>
      <w:vAlign w:val="center"/>
    </w:tcPr>
  </w:style>
  <w:style w:type="paragraph" w:customStyle="1" w:styleId="59">
    <w:name w:val="表格内文字"/>
    <w:basedOn w:val="1"/>
    <w:next w:val="1"/>
    <w:link w:val="60"/>
    <w:qFormat/>
    <w:uiPriority w:val="0"/>
    <w:pPr>
      <w:jc w:val="left"/>
    </w:pPr>
    <w:rPr>
      <w:sz w:val="18"/>
      <w:szCs w:val="18"/>
    </w:rPr>
  </w:style>
  <w:style w:type="character" w:customStyle="1" w:styleId="60">
    <w:name w:val="表格内文字 Char"/>
    <w:link w:val="59"/>
    <w:qFormat/>
    <w:uiPriority w:val="0"/>
    <w:rPr>
      <w:kern w:val="2"/>
      <w:sz w:val="18"/>
      <w:szCs w:val="18"/>
    </w:rPr>
  </w:style>
  <w:style w:type="paragraph" w:customStyle="1" w:styleId="61">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62">
    <w:name w:val="3表格内容"/>
    <w:qFormat/>
    <w:uiPriority w:val="99"/>
    <w:pPr>
      <w:jc w:val="center"/>
    </w:pPr>
    <w:rPr>
      <w:rFonts w:ascii="Times New Roman" w:hAnsi="Times New Roman" w:eastAsia="宋体" w:cs="Times New Roman"/>
      <w:kern w:val="2"/>
      <w:sz w:val="21"/>
      <w:szCs w:val="22"/>
      <w:lang w:val="en-US" w:eastAsia="zh-CN" w:bidi="ar-SA"/>
    </w:rPr>
  </w:style>
  <w:style w:type="character" w:customStyle="1" w:styleId="63">
    <w:name w:val="fontstyle01"/>
    <w:qFormat/>
    <w:uiPriority w:val="0"/>
    <w:rPr>
      <w:rFonts w:hint="eastAsia" w:ascii="宋体" w:hAnsi="宋体" w:eastAsia="宋体"/>
      <w:color w:val="000000"/>
      <w:sz w:val="24"/>
      <w:szCs w:val="24"/>
    </w:rPr>
  </w:style>
  <w:style w:type="paragraph" w:customStyle="1" w:styleId="64">
    <w:name w:val="Table Paragraph"/>
    <w:basedOn w:val="1"/>
    <w:qFormat/>
    <w:uiPriority w:val="1"/>
    <w:pPr>
      <w:jc w:val="center"/>
    </w:pPr>
    <w:rPr>
      <w:rFonts w:ascii="宋体" w:hAnsi="宋体" w:cs="宋体"/>
      <w:lang w:val="zh-CN" w:bidi="zh-CN"/>
    </w:rPr>
  </w:style>
  <w:style w:type="paragraph" w:customStyle="1" w:styleId="65">
    <w:name w:val="表格内容"/>
    <w:basedOn w:val="1"/>
    <w:next w:val="1"/>
    <w:qFormat/>
    <w:uiPriority w:val="0"/>
    <w:pPr>
      <w:jc w:val="center"/>
    </w:pPr>
    <w:rPr>
      <w:sz w:val="18"/>
      <w:szCs w:val="18"/>
    </w:rPr>
  </w:style>
  <w:style w:type="character" w:customStyle="1" w:styleId="66">
    <w:name w:val="标题 2 字符"/>
    <w:basedOn w:val="19"/>
    <w:link w:val="3"/>
    <w:qFormat/>
    <w:uiPriority w:val="0"/>
    <w:rPr>
      <w:rFonts w:ascii="Times New Roman" w:hAnsi="Times New Roman" w:eastAsia="宋体" w:cstheme="majorBidi"/>
      <w:b/>
      <w:bCs/>
      <w:kern w:val="2"/>
      <w:sz w:val="32"/>
      <w:szCs w:val="32"/>
    </w:rPr>
  </w:style>
  <w:style w:type="paragraph" w:customStyle="1" w:styleId="67">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68">
    <w:name w:val="正文内容"/>
    <w:qFormat/>
    <w:uiPriority w:val="0"/>
    <w:pPr>
      <w:wordWrap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69">
    <w:name w:val="表标题 字符"/>
    <w:link w:val="70"/>
    <w:autoRedefine/>
    <w:qFormat/>
    <w:locked/>
    <w:uiPriority w:val="0"/>
    <w:rPr>
      <w:b/>
      <w:sz w:val="24"/>
    </w:rPr>
  </w:style>
  <w:style w:type="paragraph" w:customStyle="1" w:styleId="70">
    <w:name w:val="表标题"/>
    <w:basedOn w:val="1"/>
    <w:next w:val="1"/>
    <w:link w:val="69"/>
    <w:qFormat/>
    <w:uiPriority w:val="0"/>
    <w:pPr>
      <w:adjustRightInd w:val="0"/>
      <w:snapToGrid w:val="0"/>
      <w:jc w:val="center"/>
    </w:pPr>
    <w:rPr>
      <w:b/>
      <w:kern w:val="0"/>
      <w:szCs w:val="20"/>
    </w:rPr>
  </w:style>
  <w:style w:type="character" w:customStyle="1" w:styleId="71">
    <w:name w:val="表内正文 字符"/>
    <w:link w:val="72"/>
    <w:autoRedefine/>
    <w:qFormat/>
    <w:uiPriority w:val="0"/>
    <w:rPr>
      <w:rFonts w:cs="宋体"/>
      <w:kern w:val="2"/>
      <w:sz w:val="21"/>
      <w:szCs w:val="16"/>
    </w:rPr>
  </w:style>
  <w:style w:type="paragraph" w:customStyle="1" w:styleId="72">
    <w:name w:val="表内正文"/>
    <w:basedOn w:val="1"/>
    <w:next w:val="1"/>
    <w:link w:val="71"/>
    <w:qFormat/>
    <w:uiPriority w:val="0"/>
    <w:pPr>
      <w:widowControl/>
      <w:wordWrap w:val="0"/>
      <w:adjustRightInd w:val="0"/>
      <w:snapToGrid w:val="0"/>
      <w:jc w:val="center"/>
    </w:pPr>
    <w:rPr>
      <w:rFonts w:cs="宋体"/>
      <w:szCs w:val="16"/>
    </w:rPr>
  </w:style>
  <w:style w:type="character" w:customStyle="1" w:styleId="73">
    <w:name w:val="font61"/>
    <w:basedOn w:val="19"/>
    <w:qFormat/>
    <w:uiPriority w:val="0"/>
    <w:rPr>
      <w:rFonts w:hint="default" w:ascii="Arial" w:hAnsi="Arial" w:cs="Arial"/>
      <w:color w:val="auto"/>
      <w:sz w:val="22"/>
      <w:szCs w:val="22"/>
      <w:u w:val="none"/>
    </w:rPr>
  </w:style>
  <w:style w:type="character" w:customStyle="1" w:styleId="74">
    <w:name w:val="font51"/>
    <w:basedOn w:val="19"/>
    <w:qFormat/>
    <w:uiPriority w:val="0"/>
    <w:rPr>
      <w:rFonts w:hint="eastAsia" w:ascii="宋体" w:hAnsi="宋体" w:eastAsia="宋体" w:cs="宋体"/>
      <w:color w:val="auto"/>
      <w:sz w:val="22"/>
      <w:szCs w:val="22"/>
      <w:u w:val="none"/>
    </w:rPr>
  </w:style>
  <w:style w:type="paragraph" w:customStyle="1" w:styleId="75">
    <w:name w:val="6表格内文字"/>
    <w:basedOn w:val="1"/>
    <w:link w:val="76"/>
    <w:qFormat/>
    <w:uiPriority w:val="0"/>
    <w:pPr>
      <w:wordWrap w:val="0"/>
      <w:jc w:val="center"/>
      <w:outlineLvl w:val="4"/>
    </w:pPr>
    <w:rPr>
      <w:szCs w:val="21"/>
    </w:rPr>
  </w:style>
  <w:style w:type="character" w:customStyle="1" w:styleId="76">
    <w:name w:val="6表格内文字 字符"/>
    <w:basedOn w:val="19"/>
    <w:link w:val="75"/>
    <w:qFormat/>
    <w:uiPriority w:val="0"/>
    <w:rPr>
      <w:rFonts w:hint="default" w:ascii="Times New Roman" w:hAnsi="Times New Roman" w:cs="Times New Roman"/>
      <w:kern w:val="2"/>
      <w:sz w:val="21"/>
      <w:szCs w:val="21"/>
    </w:rPr>
  </w:style>
  <w:style w:type="paragraph" w:customStyle="1" w:styleId="77">
    <w:name w:val="表格五号"/>
    <w:basedOn w:val="1"/>
    <w:next w:val="1"/>
    <w:qFormat/>
    <w:uiPriority w:val="0"/>
    <w:pPr>
      <w:wordWrap w:val="0"/>
      <w:adjustRightInd w:val="0"/>
      <w:snapToGrid w:val="0"/>
      <w:jc w:val="center"/>
    </w:pPr>
    <w:rPr>
      <w:bCs/>
      <w:color w:val="000000"/>
      <w:kern w:val="0"/>
      <w:szCs w:val="21"/>
    </w:rPr>
  </w:style>
  <w:style w:type="character" w:customStyle="1" w:styleId="78">
    <w:name w:val="font71"/>
    <w:basedOn w:val="19"/>
    <w:qFormat/>
    <w:uiPriority w:val="0"/>
    <w:rPr>
      <w:rFonts w:hint="eastAsia" w:ascii="宋体" w:hAnsi="宋体" w:eastAsia="宋体" w:cs="宋体"/>
      <w:color w:val="000000"/>
      <w:sz w:val="22"/>
      <w:szCs w:val="22"/>
      <w:u w:val="none"/>
    </w:rPr>
  </w:style>
  <w:style w:type="character" w:customStyle="1" w:styleId="79">
    <w:name w:val="font81"/>
    <w:basedOn w:val="19"/>
    <w:qFormat/>
    <w:uiPriority w:val="0"/>
    <w:rPr>
      <w:rFonts w:hint="eastAsia" w:ascii="宋体" w:hAnsi="宋体" w:eastAsia="宋体" w:cs="宋体"/>
      <w:color w:val="000000"/>
      <w:sz w:val="22"/>
      <w:szCs w:val="22"/>
      <w:u w:val="none"/>
    </w:rPr>
  </w:style>
  <w:style w:type="character" w:customStyle="1" w:styleId="80">
    <w:name w:val="font21"/>
    <w:basedOn w:val="19"/>
    <w:qFormat/>
    <w:uiPriority w:val="0"/>
    <w:rPr>
      <w:rFonts w:hint="default" w:ascii="Times New Roman" w:hAnsi="Times New Roman" w:cs="Times New Roman"/>
      <w:color w:val="000000"/>
      <w:sz w:val="21"/>
      <w:szCs w:val="21"/>
      <w:u w:val="none"/>
    </w:rPr>
  </w:style>
  <w:style w:type="character" w:customStyle="1" w:styleId="81">
    <w:name w:val="font11"/>
    <w:basedOn w:val="19"/>
    <w:qFormat/>
    <w:uiPriority w:val="0"/>
    <w:rPr>
      <w:rFonts w:hint="eastAsia" w:ascii="宋体" w:hAnsi="宋体" w:eastAsia="宋体" w:cs="宋体"/>
      <w:color w:val="000000"/>
      <w:sz w:val="21"/>
      <w:szCs w:val="21"/>
      <w:u w:val="none"/>
    </w:rPr>
  </w:style>
  <w:style w:type="character" w:customStyle="1" w:styleId="82">
    <w:name w:val="font31"/>
    <w:basedOn w:val="19"/>
    <w:qFormat/>
    <w:uiPriority w:val="0"/>
    <w:rPr>
      <w:rFonts w:hint="default" w:ascii="Times New Roman" w:hAnsi="Times New Roman" w:cs="Times New Roman"/>
      <w:color w:val="000000"/>
      <w:sz w:val="21"/>
      <w:szCs w:val="21"/>
      <w:u w:val="none"/>
    </w:rPr>
  </w:style>
  <w:style w:type="paragraph" w:customStyle="1" w:styleId="83">
    <w:name w:val="表格文字"/>
    <w:basedOn w:val="1"/>
    <w:qFormat/>
    <w:uiPriority w:val="0"/>
    <w:pPr>
      <w:adjustRightInd w:val="0"/>
      <w:snapToGrid w:val="0"/>
      <w:spacing w:line="240" w:lineRule="auto"/>
      <w:ind w:firstLine="0" w:firstLineChars="0"/>
      <w:jc w:val="center"/>
    </w:pPr>
    <w:rPr>
      <w:rFonts w:hint="eastAsia"/>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7" Type="http://schemas.openxmlformats.org/officeDocument/2006/relationships/fontTable" Target="fontTable.xml"/><Relationship Id="rId56" Type="http://schemas.openxmlformats.org/officeDocument/2006/relationships/customXml" Target="../customXml/item3.xml"/><Relationship Id="rId55" Type="http://schemas.openxmlformats.org/officeDocument/2006/relationships/customXml" Target="../customXml/item2.xml"/><Relationship Id="rId54" Type="http://schemas.openxmlformats.org/officeDocument/2006/relationships/customXml" Target="../customXml/item1.xml"/><Relationship Id="rId53" Type="http://schemas.openxmlformats.org/officeDocument/2006/relationships/image" Target="media/image35.jpe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1.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wmf"/><Relationship Id="rId41" Type="http://schemas.openxmlformats.org/officeDocument/2006/relationships/image" Target="media/image23.wmf"/><Relationship Id="rId40" Type="http://schemas.openxmlformats.org/officeDocument/2006/relationships/oleObject" Target="embeddings/oleObject5.bin"/><Relationship Id="rId4" Type="http://schemas.openxmlformats.org/officeDocument/2006/relationships/endnotes" Target="endnotes.xml"/><Relationship Id="rId39" Type="http://schemas.openxmlformats.org/officeDocument/2006/relationships/image" Target="media/image22.png"/><Relationship Id="rId38" Type="http://schemas.openxmlformats.org/officeDocument/2006/relationships/image" Target="media/image21.emf"/><Relationship Id="rId37" Type="http://schemas.openxmlformats.org/officeDocument/2006/relationships/oleObject" Target="embeddings/oleObject4.bin"/><Relationship Id="rId36" Type="http://schemas.openxmlformats.org/officeDocument/2006/relationships/image" Target="media/image20.pn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jpe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jpe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emf"/><Relationship Id="rId22" Type="http://schemas.openxmlformats.org/officeDocument/2006/relationships/oleObject" Target="embeddings/oleObject3.bin"/><Relationship Id="rId21" Type="http://schemas.openxmlformats.org/officeDocument/2006/relationships/image" Target="media/image6.e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1.bin"/><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09DEEF-9F44-4514-9E1E-BF835280F303}">
  <ds:schemaRefs/>
</ds:datastoreItem>
</file>

<file path=customXml/itemProps3.xml><?xml version="1.0" encoding="utf-8"?>
<ds:datastoreItem xmlns:ds="http://schemas.openxmlformats.org/officeDocument/2006/customXml" ds:itemID="{02154337-933f-4cf3-b922-2ebb0ce7c260}">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135</Pages>
  <Words>87148</Words>
  <Characters>101654</Characters>
  <Lines>774</Lines>
  <Paragraphs>217</Paragraphs>
  <TotalTime>10</TotalTime>
  <ScaleCrop>false</ScaleCrop>
  <LinksUpToDate>false</LinksUpToDate>
  <CharactersWithSpaces>101998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2026-07-02T08:08:00Z</dcterms:created>
  <dc:creator>lhj</dc:creator>
  <cp:lastModifiedBy>01</cp:lastModifiedBy>
  <cp:lastPrinted>2026-07-27T07:52:00Z</cp:lastPrinted>
  <dcterms:modified xsi:type="dcterms:W3CDTF">2026-09-09T01:31:47Z</dcterms:modified>
  <dc:title>附件2</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E99ED29E112E49E7B400592DC9B725C6_13</vt:lpwstr>
  </property>
  <property fmtid="{D5CDD505-2E9C-101B-9397-08002B2CF9AE}" pid="4" name="KSOTemplateDocerSaveRecord">
    <vt:lpwstr>eyJoZGlkIjoiZjZlZjlmZjcwOWNiOGJlODZlMmFlMjRjN2ZkODNmYzQiLCJ1c2VySWQiOiIxNzEyMzMyNjk1In0=</vt:lpwstr>
  </property>
</Properties>
</file>