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eastAsia="仿宋_GB2312"/>
          <w:color w:val="auto"/>
          <w:sz w:val="36"/>
          <w:szCs w:val="36"/>
        </w:rPr>
      </w:pPr>
      <w:bookmarkStart w:id="0" w:name="_Toc2962"/>
      <w:r>
        <w:rPr>
          <w:rFonts w:hint="eastAsia" w:eastAsia="仿宋_GB2312"/>
          <w:color w:val="auto"/>
          <w:sz w:val="36"/>
          <w:szCs w:val="36"/>
        </w:rPr>
        <w:drawing>
          <wp:anchor distT="0" distB="0" distL="114300" distR="114300" simplePos="0" relativeHeight="251664384" behindDoc="0" locked="0" layoutInCell="1" allowOverlap="1">
            <wp:simplePos x="0" y="0"/>
            <wp:positionH relativeFrom="column">
              <wp:posOffset>0</wp:posOffset>
            </wp:positionH>
            <wp:positionV relativeFrom="paragraph">
              <wp:posOffset>0</wp:posOffset>
            </wp:positionV>
            <wp:extent cx="5724525" cy="7712710"/>
            <wp:effectExtent l="0" t="0" r="0" b="0"/>
            <wp:wrapNone/>
            <wp:docPr id="181" name="图片 181" descr="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封面"/>
                    <pic:cNvPicPr>
                      <a:picLocks noChangeAspect="1"/>
                    </pic:cNvPicPr>
                  </pic:nvPicPr>
                  <pic:blipFill>
                    <a:blip r:embed="rId10"/>
                    <a:srcRect b="4782"/>
                    <a:stretch>
                      <a:fillRect/>
                    </a:stretch>
                  </pic:blipFill>
                  <pic:spPr>
                    <a:xfrm>
                      <a:off x="0" y="0"/>
                      <a:ext cx="5724525" cy="7712710"/>
                    </a:xfrm>
                    <a:prstGeom prst="rect">
                      <a:avLst/>
                    </a:prstGeom>
                  </pic:spPr>
                </pic:pic>
              </a:graphicData>
            </a:graphic>
          </wp:anchor>
        </w:drawing>
      </w:r>
    </w:p>
    <w:p>
      <w:pPr>
        <w:jc w:val="center"/>
        <w:rPr>
          <w:rFonts w:eastAsia="仿宋_GB2312"/>
          <w:color w:val="auto"/>
          <w:sz w:val="36"/>
          <w:szCs w:val="36"/>
        </w:rPr>
      </w:pPr>
    </w:p>
    <w:p>
      <w:pPr>
        <w:jc w:val="center"/>
        <w:rPr>
          <w:rFonts w:eastAsia="仿宋_GB2312"/>
          <w:color w:val="auto"/>
          <w:sz w:val="36"/>
          <w:szCs w:val="36"/>
        </w:rPr>
      </w:pPr>
    </w:p>
    <w:p>
      <w:pPr>
        <w:jc w:val="center"/>
        <w:rPr>
          <w:rFonts w:eastAsia="仿宋_GB2312"/>
          <w:color w:val="auto"/>
          <w:sz w:val="36"/>
          <w:szCs w:val="36"/>
        </w:rPr>
      </w:pPr>
    </w:p>
    <w:p>
      <w:pPr>
        <w:adjustRightInd w:val="0"/>
        <w:snapToGrid w:val="0"/>
        <w:jc w:val="center"/>
        <w:outlineLvl w:val="0"/>
        <w:rPr>
          <w:rFonts w:eastAsia="方正小标宋_GBK"/>
          <w:bCs/>
          <w:color w:val="auto"/>
          <w:sz w:val="72"/>
          <w:szCs w:val="72"/>
        </w:rPr>
      </w:pPr>
      <w:r>
        <w:rPr>
          <w:rFonts w:eastAsia="方正小标宋_GBK"/>
          <w:bCs/>
          <w:color w:val="auto"/>
          <w:sz w:val="72"/>
          <w:szCs w:val="72"/>
        </w:rPr>
        <w:t>建设项目环境影响报告表</w:t>
      </w:r>
    </w:p>
    <w:p>
      <w:pPr>
        <w:adjustRightInd w:val="0"/>
        <w:snapToGrid w:val="0"/>
        <w:spacing w:before="192" w:beforeLines="80"/>
        <w:jc w:val="center"/>
        <w:rPr>
          <w:rFonts w:eastAsia="楷体_GB2312"/>
          <w:bCs/>
          <w:color w:val="auto"/>
          <w:sz w:val="48"/>
          <w:szCs w:val="48"/>
        </w:rPr>
      </w:pPr>
      <w:r>
        <w:rPr>
          <w:rFonts w:eastAsia="楷体_GB2312"/>
          <w:bCs/>
          <w:color w:val="auto"/>
          <w:sz w:val="48"/>
          <w:szCs w:val="48"/>
        </w:rPr>
        <w:t>（污染影响类）</w:t>
      </w:r>
    </w:p>
    <w:p>
      <w:pPr>
        <w:jc w:val="center"/>
        <w:rPr>
          <w:rFonts w:eastAsia="仿宋"/>
          <w:color w:val="auto"/>
          <w:sz w:val="52"/>
          <w:szCs w:val="52"/>
        </w:rPr>
      </w:pPr>
    </w:p>
    <w:p>
      <w:pPr>
        <w:ind w:firstLine="1040"/>
        <w:rPr>
          <w:rFonts w:eastAsia="仿宋"/>
          <w:color w:val="auto"/>
          <w:sz w:val="44"/>
          <w:szCs w:val="44"/>
        </w:rPr>
      </w:pPr>
    </w:p>
    <w:p>
      <w:pPr>
        <w:ind w:firstLine="1040"/>
        <w:rPr>
          <w:rFonts w:eastAsia="仿宋"/>
          <w:color w:val="auto"/>
          <w:sz w:val="44"/>
          <w:szCs w:val="44"/>
        </w:rPr>
      </w:pPr>
    </w:p>
    <w:p>
      <w:pPr>
        <w:pStyle w:val="2"/>
        <w:spacing w:before="48"/>
        <w:rPr>
          <w:rFonts w:hint="eastAsia"/>
          <w:color w:val="auto"/>
        </w:rPr>
      </w:pPr>
    </w:p>
    <w:p>
      <w:pPr>
        <w:ind w:firstLine="1040"/>
        <w:rPr>
          <w:rFonts w:eastAsia="仿宋"/>
          <w:color w:val="auto"/>
          <w:sz w:val="44"/>
          <w:szCs w:val="44"/>
        </w:rPr>
      </w:pPr>
    </w:p>
    <w:p>
      <w:pPr>
        <w:adjustRightInd w:val="0"/>
        <w:snapToGrid w:val="0"/>
        <w:spacing w:line="480" w:lineRule="auto"/>
        <w:jc w:val="center"/>
        <w:rPr>
          <w:rFonts w:eastAsia="仿宋_GB2312"/>
          <w:color w:val="auto"/>
          <w:sz w:val="32"/>
          <w:szCs w:val="32"/>
          <w:u w:val="single"/>
        </w:rPr>
      </w:pPr>
      <w:r>
        <w:rPr>
          <w:rFonts w:eastAsia="仿宋_GB2312"/>
          <w:color w:val="auto"/>
          <w:sz w:val="32"/>
          <w:szCs w:val="32"/>
        </w:rPr>
        <w:t>项目名称：</w:t>
      </w:r>
      <w:r>
        <w:rPr>
          <w:rFonts w:hint="eastAsia" w:eastAsia="仿宋_GB2312"/>
          <w:color w:val="auto"/>
          <w:sz w:val="32"/>
          <w:szCs w:val="32"/>
          <w:u w:val="single"/>
        </w:rPr>
        <w:t xml:space="preserve">  福建汇邦包装有限公司年产复合膜600吨</w:t>
      </w:r>
    </w:p>
    <w:p>
      <w:pPr>
        <w:adjustRightInd w:val="0"/>
        <w:snapToGrid w:val="0"/>
        <w:spacing w:line="480" w:lineRule="auto"/>
        <w:ind w:firstLine="2240" w:firstLineChars="700"/>
        <w:rPr>
          <w:rFonts w:eastAsia="仿宋_GB2312"/>
          <w:color w:val="auto"/>
          <w:sz w:val="32"/>
          <w:szCs w:val="32"/>
        </w:rPr>
      </w:pPr>
      <w:r>
        <w:rPr>
          <w:rFonts w:hint="eastAsia" w:eastAsia="仿宋_GB2312"/>
          <w:color w:val="auto"/>
          <w:sz w:val="32"/>
          <w:szCs w:val="32"/>
          <w:u w:val="single"/>
        </w:rPr>
        <w:t xml:space="preserve">         及复合袋600吨生产项目       </w:t>
      </w:r>
    </w:p>
    <w:p>
      <w:pPr>
        <w:adjustRightInd w:val="0"/>
        <w:snapToGrid w:val="0"/>
        <w:spacing w:line="480" w:lineRule="auto"/>
        <w:ind w:firstLine="640" w:firstLineChars="200"/>
        <w:rPr>
          <w:rFonts w:eastAsia="仿宋_GB2312"/>
          <w:color w:val="auto"/>
          <w:sz w:val="32"/>
          <w:szCs w:val="32"/>
          <w:u w:val="single"/>
        </w:rPr>
      </w:pPr>
      <w:r>
        <w:rPr>
          <w:rFonts w:eastAsia="仿宋_GB2312"/>
          <w:color w:val="auto"/>
          <w:sz w:val="32"/>
          <w:szCs w:val="32"/>
        </w:rPr>
        <w:t>建设单位（盖章）：</w:t>
      </w:r>
      <w:r>
        <w:rPr>
          <w:rFonts w:hint="eastAsia" w:eastAsia="仿宋_GB2312"/>
          <w:color w:val="auto"/>
          <w:sz w:val="32"/>
          <w:szCs w:val="32"/>
          <w:u w:val="single"/>
        </w:rPr>
        <w:t xml:space="preserve">      福建汇邦包装有限公司    </w:t>
      </w:r>
    </w:p>
    <w:p>
      <w:pPr>
        <w:adjustRightInd w:val="0"/>
        <w:snapToGrid w:val="0"/>
        <w:spacing w:line="480" w:lineRule="auto"/>
        <w:ind w:firstLine="640" w:firstLineChars="200"/>
        <w:rPr>
          <w:rFonts w:eastAsia="仿宋_GB2312"/>
          <w:color w:val="auto"/>
          <w:sz w:val="36"/>
          <w:szCs w:val="36"/>
          <w:u w:val="single"/>
        </w:rPr>
      </w:pPr>
      <w:r>
        <w:rPr>
          <w:rFonts w:eastAsia="仿宋_GB2312"/>
          <w:color w:val="auto"/>
          <w:sz w:val="32"/>
          <w:szCs w:val="32"/>
        </w:rPr>
        <w:t>编制日期：</w:t>
      </w:r>
      <w:r>
        <w:rPr>
          <w:rFonts w:eastAsia="仿宋_GB2312"/>
          <w:color w:val="auto"/>
          <w:sz w:val="32"/>
          <w:szCs w:val="32"/>
          <w:u w:val="single"/>
        </w:rPr>
        <w:t xml:space="preserve">          </w:t>
      </w:r>
      <w:r>
        <w:rPr>
          <w:rFonts w:hint="eastAsia" w:eastAsia="仿宋_GB2312"/>
          <w:color w:val="auto"/>
          <w:sz w:val="32"/>
          <w:szCs w:val="32"/>
          <w:u w:val="single"/>
        </w:rPr>
        <w:t xml:space="preserve">    </w:t>
      </w:r>
      <w:r>
        <w:rPr>
          <w:rFonts w:eastAsia="仿宋_GB2312"/>
          <w:color w:val="auto"/>
          <w:sz w:val="32"/>
          <w:szCs w:val="32"/>
          <w:u w:val="single"/>
        </w:rPr>
        <w:t xml:space="preserve"> 202</w:t>
      </w:r>
      <w:r>
        <w:rPr>
          <w:rFonts w:hint="eastAsia" w:eastAsia="仿宋_GB2312"/>
          <w:color w:val="auto"/>
          <w:sz w:val="32"/>
          <w:szCs w:val="32"/>
          <w:u w:val="single"/>
        </w:rPr>
        <w:t>5</w:t>
      </w:r>
      <w:r>
        <w:rPr>
          <w:rFonts w:eastAsia="仿宋_GB2312"/>
          <w:color w:val="auto"/>
          <w:sz w:val="32"/>
          <w:szCs w:val="32"/>
          <w:u w:val="single"/>
        </w:rPr>
        <w:t>年</w:t>
      </w:r>
      <w:r>
        <w:rPr>
          <w:rFonts w:hint="eastAsia" w:eastAsia="仿宋_GB2312"/>
          <w:color w:val="auto"/>
          <w:sz w:val="32"/>
          <w:szCs w:val="32"/>
          <w:u w:val="single"/>
        </w:rPr>
        <w:t>10</w:t>
      </w:r>
      <w:r>
        <w:rPr>
          <w:rFonts w:eastAsia="仿宋_GB2312"/>
          <w:color w:val="auto"/>
          <w:sz w:val="32"/>
          <w:szCs w:val="32"/>
          <w:u w:val="single"/>
        </w:rPr>
        <w:t xml:space="preserve">月      </w:t>
      </w:r>
      <w:r>
        <w:rPr>
          <w:rFonts w:hint="eastAsia" w:eastAsia="仿宋_GB2312"/>
          <w:color w:val="auto"/>
          <w:sz w:val="32"/>
          <w:szCs w:val="32"/>
          <w:u w:val="single"/>
        </w:rPr>
        <w:t xml:space="preserve">  </w:t>
      </w:r>
      <w:r>
        <w:rPr>
          <w:rFonts w:eastAsia="仿宋_GB2312"/>
          <w:color w:val="auto"/>
          <w:sz w:val="32"/>
          <w:szCs w:val="32"/>
          <w:u w:val="single"/>
        </w:rPr>
        <w:t xml:space="preserve">   </w:t>
      </w:r>
      <w:r>
        <w:rPr>
          <w:rFonts w:eastAsia="仿宋_GB2312"/>
          <w:color w:val="auto"/>
          <w:sz w:val="36"/>
          <w:szCs w:val="36"/>
          <w:u w:val="single"/>
        </w:rPr>
        <w:t xml:space="preserve"> </w:t>
      </w:r>
      <w:r>
        <w:rPr>
          <w:rFonts w:hint="eastAsia" w:eastAsia="仿宋_GB2312"/>
          <w:color w:val="auto"/>
          <w:sz w:val="36"/>
          <w:szCs w:val="36"/>
          <w:u w:val="single"/>
        </w:rPr>
        <w:t xml:space="preserve"> </w:t>
      </w:r>
    </w:p>
    <w:p>
      <w:pPr>
        <w:adjustRightInd w:val="0"/>
        <w:snapToGrid w:val="0"/>
        <w:spacing w:line="288" w:lineRule="auto"/>
        <w:ind w:firstLine="1040"/>
        <w:rPr>
          <w:rFonts w:eastAsia="仿宋_GB2312"/>
          <w:color w:val="auto"/>
          <w:sz w:val="36"/>
          <w:szCs w:val="36"/>
          <w:u w:val="single"/>
        </w:rPr>
      </w:pPr>
      <w:bookmarkStart w:id="1" w:name="_Hlk57884087"/>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p>
      <w:pPr>
        <w:adjustRightInd w:val="0"/>
        <w:snapToGrid w:val="0"/>
        <w:spacing w:line="288" w:lineRule="auto"/>
        <w:ind w:firstLine="1040"/>
        <w:rPr>
          <w:rFonts w:eastAsia="仿宋_GB2312"/>
          <w:color w:val="auto"/>
          <w:sz w:val="36"/>
          <w:szCs w:val="36"/>
        </w:rPr>
      </w:pPr>
    </w:p>
    <w:bookmarkEnd w:id="1"/>
    <w:p>
      <w:pPr>
        <w:adjustRightInd w:val="0"/>
        <w:snapToGrid w:val="0"/>
        <w:spacing w:line="288" w:lineRule="auto"/>
        <w:jc w:val="center"/>
        <w:rPr>
          <w:rFonts w:eastAsia="楷体_GB2312"/>
          <w:color w:val="auto"/>
          <w:sz w:val="36"/>
          <w:szCs w:val="36"/>
        </w:rPr>
      </w:pPr>
      <w:r>
        <w:rPr>
          <w:rFonts w:eastAsia="楷体_GB2312"/>
          <w:color w:val="auto"/>
          <w:sz w:val="36"/>
          <w:szCs w:val="36"/>
        </w:rPr>
        <w:t>中华人民共和国生态环境部制</w:t>
      </w:r>
    </w:p>
    <w:p>
      <w:pPr>
        <w:pStyle w:val="99"/>
        <w:rPr>
          <w:rFonts w:hint="eastAsia" w:eastAsia="黑体"/>
          <w:color w:val="auto"/>
          <w:lang w:eastAsia="zh-CN"/>
        </w:rPr>
        <w:sectPr>
          <w:footerReference r:id="rId3" w:type="default"/>
          <w:pgSz w:w="11906" w:h="16838"/>
          <w:pgMar w:top="1417" w:right="1417" w:bottom="1417" w:left="1474" w:header="851" w:footer="992" w:gutter="0"/>
          <w:pgNumType w:start="1"/>
          <w:cols w:space="720" w:num="1"/>
          <w:docGrid w:linePitch="312" w:charSpace="0"/>
        </w:sectPr>
      </w:pPr>
    </w:p>
    <w:p>
      <w:pPr>
        <w:pStyle w:val="99"/>
        <w:rPr>
          <w:rFonts w:hint="eastAsia" w:eastAsia="黑体"/>
          <w:color w:val="auto"/>
          <w:lang w:eastAsia="zh-CN"/>
        </w:rPr>
        <w:sectPr>
          <w:footerReference r:id="rId4" w:type="default"/>
          <w:pgSz w:w="11906" w:h="16838"/>
          <w:pgMar w:top="1417" w:right="1417" w:bottom="1417" w:left="1474" w:header="851" w:footer="992" w:gutter="0"/>
          <w:pgNumType w:start="1"/>
          <w:cols w:space="720" w:num="1"/>
          <w:docGrid w:linePitch="312" w:charSpace="0"/>
        </w:sectPr>
      </w:pPr>
      <w:r>
        <w:rPr>
          <w:color w:val="auto"/>
        </w:rPr>
        <w:drawing>
          <wp:inline distT="0" distB="0" distL="114300" distR="114300">
            <wp:extent cx="5721350" cy="7527925"/>
            <wp:effectExtent l="0" t="0" r="8890" b="635"/>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11"/>
                    <a:stretch>
                      <a:fillRect/>
                    </a:stretch>
                  </pic:blipFill>
                  <pic:spPr>
                    <a:xfrm>
                      <a:off x="0" y="0"/>
                      <a:ext cx="5721350" cy="7527925"/>
                    </a:xfrm>
                    <a:prstGeom prst="rect">
                      <a:avLst/>
                    </a:prstGeom>
                    <a:noFill/>
                    <a:ln>
                      <a:noFill/>
                    </a:ln>
                  </pic:spPr>
                </pic:pic>
              </a:graphicData>
            </a:graphic>
          </wp:inline>
        </w:drawing>
      </w:r>
      <w:r>
        <w:rPr>
          <w:rFonts w:hint="eastAsia" w:eastAsia="黑体"/>
          <w:color w:val="auto"/>
          <w:lang w:eastAsia="zh-CN"/>
        </w:rPr>
        <w:drawing>
          <wp:inline distT="0" distB="0" distL="114300" distR="114300">
            <wp:extent cx="5715635" cy="8068310"/>
            <wp:effectExtent l="0" t="0" r="14605" b="8890"/>
            <wp:docPr id="184" name="图片 184" descr="编制情况承诺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编制情况承诺书"/>
                    <pic:cNvPicPr>
                      <a:picLocks noChangeAspect="1"/>
                    </pic:cNvPicPr>
                  </pic:nvPicPr>
                  <pic:blipFill>
                    <a:blip r:embed="rId12"/>
                    <a:stretch>
                      <a:fillRect/>
                    </a:stretch>
                  </pic:blipFill>
                  <pic:spPr>
                    <a:xfrm>
                      <a:off x="0" y="0"/>
                      <a:ext cx="5715635" cy="8068310"/>
                    </a:xfrm>
                    <a:prstGeom prst="rect">
                      <a:avLst/>
                    </a:prstGeom>
                  </pic:spPr>
                </pic:pic>
              </a:graphicData>
            </a:graphic>
          </wp:inline>
        </w:drawing>
      </w:r>
      <w:r>
        <w:rPr>
          <w:rFonts w:hint="eastAsia" w:eastAsia="黑体"/>
          <w:color w:val="auto"/>
          <w:lang w:eastAsia="zh-CN"/>
        </w:rPr>
        <w:drawing>
          <wp:inline distT="0" distB="0" distL="114300" distR="114300">
            <wp:extent cx="5718175" cy="8487410"/>
            <wp:effectExtent l="0" t="0" r="12065" b="1270"/>
            <wp:docPr id="185" name="图片 185" descr="工程师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工程师证"/>
                    <pic:cNvPicPr>
                      <a:picLocks noChangeAspect="1"/>
                    </pic:cNvPicPr>
                  </pic:nvPicPr>
                  <pic:blipFill>
                    <a:blip r:embed="rId13"/>
                    <a:stretch>
                      <a:fillRect/>
                    </a:stretch>
                  </pic:blipFill>
                  <pic:spPr>
                    <a:xfrm rot="10800000">
                      <a:off x="0" y="0"/>
                      <a:ext cx="5718175" cy="8487410"/>
                    </a:xfrm>
                    <a:prstGeom prst="rect">
                      <a:avLst/>
                    </a:prstGeom>
                  </pic:spPr>
                </pic:pic>
              </a:graphicData>
            </a:graphic>
          </wp:inline>
        </w:drawing>
      </w:r>
      <w:r>
        <w:rPr>
          <w:color w:val="auto"/>
        </w:rPr>
        <w:drawing>
          <wp:inline distT="0" distB="0" distL="114300" distR="114300">
            <wp:extent cx="5720080" cy="7404735"/>
            <wp:effectExtent l="0" t="0" r="10160" b="1905"/>
            <wp:docPr id="66" name="图片 66" descr="图片1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图片1副本"/>
                    <pic:cNvPicPr>
                      <a:picLocks noChangeAspect="1"/>
                    </pic:cNvPicPr>
                  </pic:nvPicPr>
                  <pic:blipFill>
                    <a:blip r:embed="rId14"/>
                    <a:stretch>
                      <a:fillRect/>
                    </a:stretch>
                  </pic:blipFill>
                  <pic:spPr>
                    <a:xfrm>
                      <a:off x="0" y="0"/>
                      <a:ext cx="5720080" cy="7404735"/>
                    </a:xfrm>
                    <a:prstGeom prst="rect">
                      <a:avLst/>
                    </a:prstGeom>
                  </pic:spPr>
                </pic:pic>
              </a:graphicData>
            </a:graphic>
          </wp:inline>
        </w:drawing>
      </w:r>
      <w:r>
        <w:rPr>
          <w:rFonts w:hint="eastAsia" w:eastAsia="黑体"/>
          <w:color w:val="auto"/>
          <w:lang w:eastAsia="zh-CN"/>
        </w:rPr>
        <w:drawing>
          <wp:inline distT="0" distB="0" distL="114300" distR="114300">
            <wp:extent cx="5723890" cy="8336280"/>
            <wp:effectExtent l="0" t="0" r="6350" b="0"/>
            <wp:docPr id="187" name="图片 187" descr="图片2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图片2副本"/>
                    <pic:cNvPicPr>
                      <a:picLocks noChangeAspect="1"/>
                    </pic:cNvPicPr>
                  </pic:nvPicPr>
                  <pic:blipFill>
                    <a:blip r:embed="rId15"/>
                    <a:stretch>
                      <a:fillRect/>
                    </a:stretch>
                  </pic:blipFill>
                  <pic:spPr>
                    <a:xfrm>
                      <a:off x="0" y="0"/>
                      <a:ext cx="5723890" cy="8336280"/>
                    </a:xfrm>
                    <a:prstGeom prst="rect">
                      <a:avLst/>
                    </a:prstGeom>
                  </pic:spPr>
                </pic:pic>
              </a:graphicData>
            </a:graphic>
          </wp:inline>
        </w:drawing>
      </w:r>
    </w:p>
    <w:p>
      <w:pPr>
        <w:pStyle w:val="99"/>
        <w:rPr>
          <w:rFonts w:hint="eastAsia"/>
          <w:color w:val="auto"/>
          <w:lang w:eastAsia="zh-CN"/>
        </w:rPr>
        <w:sectPr>
          <w:pgSz w:w="16838" w:h="11906" w:orient="landscape"/>
          <w:pgMar w:top="1474" w:right="1417" w:bottom="1417" w:left="1417" w:header="851" w:footer="992" w:gutter="0"/>
          <w:pgNumType w:start="1"/>
          <w:cols w:space="720" w:num="1"/>
          <w:docGrid w:linePitch="312" w:charSpace="0"/>
        </w:sectPr>
      </w:pPr>
      <w:r>
        <w:rPr>
          <w:rFonts w:hint="eastAsia"/>
          <w:color w:val="auto"/>
          <w:lang w:eastAsia="zh-CN"/>
        </w:rPr>
        <w:drawing>
          <wp:inline distT="0" distB="0" distL="114300" distR="114300">
            <wp:extent cx="5718175" cy="7683500"/>
            <wp:effectExtent l="0" t="0" r="12700" b="12065"/>
            <wp:docPr id="189" name="图片 189" descr="资质单位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资质单位营业执照"/>
                    <pic:cNvPicPr>
                      <a:picLocks noChangeAspect="1"/>
                    </pic:cNvPicPr>
                  </pic:nvPicPr>
                  <pic:blipFill>
                    <a:blip r:embed="rId16"/>
                    <a:stretch>
                      <a:fillRect/>
                    </a:stretch>
                  </pic:blipFill>
                  <pic:spPr>
                    <a:xfrm rot="16200000">
                      <a:off x="0" y="0"/>
                      <a:ext cx="5718175" cy="7683500"/>
                    </a:xfrm>
                    <a:prstGeom prst="rect">
                      <a:avLst/>
                    </a:prstGeom>
                  </pic:spPr>
                </pic:pic>
              </a:graphicData>
            </a:graphic>
          </wp:inline>
        </w:drawing>
      </w:r>
      <w:r>
        <w:rPr>
          <w:rFonts w:hint="eastAsia"/>
          <w:color w:val="auto"/>
          <w:lang w:eastAsia="zh-CN"/>
        </w:rPr>
        <w:drawing>
          <wp:inline distT="0" distB="0" distL="114300" distR="114300">
            <wp:extent cx="5718175" cy="8098790"/>
            <wp:effectExtent l="0" t="0" r="8890" b="12065"/>
            <wp:docPr id="190" name="图片 190" descr="近三个月医社保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近三个月医社保证明"/>
                    <pic:cNvPicPr>
                      <a:picLocks noChangeAspect="1"/>
                    </pic:cNvPicPr>
                  </pic:nvPicPr>
                  <pic:blipFill>
                    <a:blip r:embed="rId17"/>
                    <a:stretch>
                      <a:fillRect/>
                    </a:stretch>
                  </pic:blipFill>
                  <pic:spPr>
                    <a:xfrm rot="16200000">
                      <a:off x="0" y="0"/>
                      <a:ext cx="5718175" cy="8098790"/>
                    </a:xfrm>
                    <a:prstGeom prst="rect">
                      <a:avLst/>
                    </a:prstGeom>
                  </pic:spPr>
                </pic:pic>
              </a:graphicData>
            </a:graphic>
          </wp:inline>
        </w:drawing>
      </w:r>
    </w:p>
    <w:p>
      <w:pPr>
        <w:pStyle w:val="99"/>
        <w:rPr>
          <w:rFonts w:hint="eastAsia"/>
          <w:color w:val="auto"/>
          <w:lang w:eastAsia="zh-CN"/>
        </w:rPr>
        <w:sectPr>
          <w:pgSz w:w="11906" w:h="16838"/>
          <w:pgMar w:top="1417" w:right="1417" w:bottom="1417" w:left="1474" w:header="851" w:footer="992" w:gutter="0"/>
          <w:pgNumType w:start="1"/>
          <w:cols w:space="720" w:num="1"/>
          <w:docGrid w:linePitch="312" w:charSpace="0"/>
        </w:sectPr>
      </w:pPr>
      <w:r>
        <w:rPr>
          <w:color w:val="auto"/>
        </w:rPr>
        <w:drawing>
          <wp:inline distT="0" distB="0" distL="114300" distR="114300">
            <wp:extent cx="5717540" cy="5466080"/>
            <wp:effectExtent l="0" t="0" r="12700" b="5080"/>
            <wp:docPr id="19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
                    <pic:cNvPicPr>
                      <a:picLocks noChangeAspect="1"/>
                    </pic:cNvPicPr>
                  </pic:nvPicPr>
                  <pic:blipFill>
                    <a:blip r:embed="rId18"/>
                    <a:stretch>
                      <a:fillRect/>
                    </a:stretch>
                  </pic:blipFill>
                  <pic:spPr>
                    <a:xfrm>
                      <a:off x="0" y="0"/>
                      <a:ext cx="5717540" cy="5466080"/>
                    </a:xfrm>
                    <a:prstGeom prst="rect">
                      <a:avLst/>
                    </a:prstGeom>
                    <a:noFill/>
                    <a:ln>
                      <a:noFill/>
                    </a:ln>
                  </pic:spPr>
                </pic:pic>
              </a:graphicData>
            </a:graphic>
          </wp:inline>
        </w:drawing>
      </w:r>
      <w:r>
        <w:rPr>
          <w:color w:val="auto"/>
        </w:rPr>
        <w:drawing>
          <wp:inline distT="0" distB="0" distL="114300" distR="114300">
            <wp:extent cx="5691505" cy="1988185"/>
            <wp:effectExtent l="0" t="0" r="0" b="0"/>
            <wp:docPr id="19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6"/>
                    <pic:cNvPicPr>
                      <a:picLocks noChangeAspect="1"/>
                    </pic:cNvPicPr>
                  </pic:nvPicPr>
                  <pic:blipFill>
                    <a:blip r:embed="rId19"/>
                    <a:srcRect b="24372"/>
                    <a:stretch>
                      <a:fillRect/>
                    </a:stretch>
                  </pic:blipFill>
                  <pic:spPr>
                    <a:xfrm>
                      <a:off x="0" y="0"/>
                      <a:ext cx="5691505" cy="1988185"/>
                    </a:xfrm>
                    <a:prstGeom prst="rect">
                      <a:avLst/>
                    </a:prstGeom>
                    <a:noFill/>
                    <a:ln>
                      <a:noFill/>
                    </a:ln>
                  </pic:spPr>
                </pic:pic>
              </a:graphicData>
            </a:graphic>
          </wp:inline>
        </w:drawing>
      </w:r>
    </w:p>
    <w:bookmarkEnd w:id="0"/>
    <w:p>
      <w:pPr>
        <w:pStyle w:val="99"/>
        <w:rPr>
          <w:rFonts w:hint="eastAsia"/>
          <w:color w:val="auto"/>
        </w:rPr>
      </w:pPr>
      <w:bookmarkStart w:id="2" w:name="_Toc25398"/>
      <w:r>
        <w:rPr>
          <w:rFonts w:hint="eastAsia"/>
          <w:color w:val="auto"/>
        </w:rPr>
        <w:t>一、</w:t>
      </w:r>
      <w:r>
        <w:rPr>
          <w:color w:val="auto"/>
        </w:rPr>
        <w:t>建设项目基本情况</w:t>
      </w:r>
    </w:p>
    <w:tbl>
      <w:tblPr>
        <w:tblStyle w:val="36"/>
        <w:tblW w:w="904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38"/>
        <w:gridCol w:w="92"/>
        <w:gridCol w:w="2075"/>
        <w:gridCol w:w="1947"/>
        <w:gridCol w:w="328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建设项目名称</w:t>
            </w:r>
          </w:p>
        </w:tc>
        <w:tc>
          <w:tcPr>
            <w:tcW w:w="7311" w:type="dxa"/>
            <w:gridSpan w:val="3"/>
            <w:vAlign w:val="center"/>
          </w:tcPr>
          <w:p>
            <w:pPr>
              <w:jc w:val="center"/>
              <w:rPr>
                <w:color w:val="auto"/>
                <w:sz w:val="24"/>
                <w:szCs w:val="21"/>
              </w:rPr>
            </w:pPr>
            <w:r>
              <w:rPr>
                <w:rFonts w:hint="eastAsia"/>
                <w:color w:val="auto"/>
                <w:sz w:val="24"/>
                <w:szCs w:val="21"/>
              </w:rPr>
              <w:t>福建汇邦包装有限公司年产复合膜600吨及复合袋600吨生产项目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项目代码</w:t>
            </w:r>
          </w:p>
        </w:tc>
        <w:tc>
          <w:tcPr>
            <w:tcW w:w="7311" w:type="dxa"/>
            <w:gridSpan w:val="3"/>
            <w:vAlign w:val="center"/>
          </w:tcPr>
          <w:p>
            <w:pPr>
              <w:jc w:val="center"/>
              <w:rPr>
                <w:color w:val="auto"/>
                <w:sz w:val="24"/>
                <w:szCs w:val="21"/>
              </w:rPr>
            </w:pPr>
            <w:r>
              <w:rPr>
                <w:rFonts w:hint="eastAsia"/>
                <w:color w:val="auto"/>
                <w:sz w:val="24"/>
                <w:szCs w:val="21"/>
              </w:rPr>
              <w:t>2501-350112-07-01-178016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建设单位联系人</w:t>
            </w:r>
          </w:p>
        </w:tc>
        <w:tc>
          <w:tcPr>
            <w:tcW w:w="2075" w:type="dxa"/>
            <w:vAlign w:val="center"/>
          </w:tcPr>
          <w:p>
            <w:pPr>
              <w:jc w:val="center"/>
              <w:rPr>
                <w:rFonts w:hint="default" w:eastAsia="宋体"/>
                <w:color w:val="auto"/>
                <w:sz w:val="24"/>
                <w:szCs w:val="21"/>
                <w:lang w:val="en-US" w:eastAsia="zh-CN"/>
              </w:rPr>
            </w:pPr>
            <w:r>
              <w:rPr>
                <w:rFonts w:hint="eastAsia"/>
                <w:color w:val="auto"/>
                <w:sz w:val="24"/>
                <w:szCs w:val="21"/>
                <w:lang w:val="en-US" w:eastAsia="zh-CN"/>
              </w:rPr>
              <w:t>XXXX</w:t>
            </w:r>
          </w:p>
        </w:tc>
        <w:tc>
          <w:tcPr>
            <w:tcW w:w="1947" w:type="dxa"/>
            <w:vAlign w:val="center"/>
          </w:tcPr>
          <w:p>
            <w:pPr>
              <w:jc w:val="center"/>
              <w:rPr>
                <w:color w:val="auto"/>
                <w:sz w:val="24"/>
                <w:szCs w:val="21"/>
              </w:rPr>
            </w:pPr>
            <w:r>
              <w:rPr>
                <w:color w:val="auto"/>
                <w:sz w:val="24"/>
                <w:szCs w:val="21"/>
              </w:rPr>
              <w:t>联系方式</w:t>
            </w:r>
          </w:p>
        </w:tc>
        <w:tc>
          <w:tcPr>
            <w:tcW w:w="3289" w:type="dxa"/>
            <w:vAlign w:val="center"/>
          </w:tcPr>
          <w:p>
            <w:pPr>
              <w:jc w:val="center"/>
              <w:rPr>
                <w:color w:val="auto"/>
                <w:sz w:val="24"/>
                <w:szCs w:val="21"/>
              </w:rPr>
            </w:pPr>
            <w:r>
              <w:rPr>
                <w:rFonts w:hint="eastAsia"/>
                <w:color w:val="auto"/>
                <w:sz w:val="24"/>
                <w:szCs w:val="21"/>
                <w:lang w:val="en-US" w:eastAsia="zh-CN"/>
              </w:rPr>
              <w:t>XXXX</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建设地点</w:t>
            </w:r>
          </w:p>
        </w:tc>
        <w:tc>
          <w:tcPr>
            <w:tcW w:w="7311" w:type="dxa"/>
            <w:gridSpan w:val="3"/>
            <w:vAlign w:val="center"/>
          </w:tcPr>
          <w:p>
            <w:pPr>
              <w:jc w:val="center"/>
              <w:rPr>
                <w:color w:val="auto"/>
                <w:sz w:val="24"/>
                <w:szCs w:val="21"/>
              </w:rPr>
            </w:pPr>
            <w:r>
              <w:rPr>
                <w:color w:val="auto"/>
                <w:sz w:val="24"/>
                <w:szCs w:val="21"/>
              </w:rPr>
              <w:t>福建省</w:t>
            </w:r>
            <w:r>
              <w:rPr>
                <w:rFonts w:hint="eastAsia"/>
                <w:color w:val="auto"/>
                <w:sz w:val="24"/>
                <w:szCs w:val="21"/>
              </w:rPr>
              <w:t>福州</w:t>
            </w:r>
            <w:r>
              <w:rPr>
                <w:color w:val="auto"/>
                <w:sz w:val="24"/>
                <w:szCs w:val="21"/>
              </w:rPr>
              <w:t>市</w:t>
            </w:r>
            <w:r>
              <w:rPr>
                <w:rFonts w:hint="eastAsia"/>
                <w:color w:val="auto"/>
                <w:sz w:val="24"/>
                <w:szCs w:val="21"/>
              </w:rPr>
              <w:t>长乐区漳港街道渡桥村</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地理坐标</w:t>
            </w:r>
          </w:p>
        </w:tc>
        <w:tc>
          <w:tcPr>
            <w:tcW w:w="7311" w:type="dxa"/>
            <w:gridSpan w:val="3"/>
            <w:vAlign w:val="center"/>
          </w:tcPr>
          <w:p>
            <w:pPr>
              <w:jc w:val="center"/>
              <w:rPr>
                <w:color w:val="auto"/>
                <w:sz w:val="24"/>
                <w:szCs w:val="21"/>
              </w:rPr>
            </w:pPr>
            <w:r>
              <w:rPr>
                <w:color w:val="auto"/>
                <w:sz w:val="24"/>
                <w:szCs w:val="21"/>
              </w:rPr>
              <w:t>（</w:t>
            </w:r>
            <w:r>
              <w:rPr>
                <w:color w:val="auto"/>
                <w:sz w:val="24"/>
                <w:szCs w:val="21"/>
                <w:u w:val="single"/>
              </w:rPr>
              <w:t>11</w:t>
            </w:r>
            <w:r>
              <w:rPr>
                <w:rFonts w:hint="eastAsia"/>
                <w:color w:val="auto"/>
                <w:sz w:val="24"/>
                <w:szCs w:val="21"/>
                <w:u w:val="single"/>
              </w:rPr>
              <w:t>9</w:t>
            </w:r>
            <w:r>
              <w:rPr>
                <w:color w:val="auto"/>
                <w:sz w:val="24"/>
                <w:szCs w:val="21"/>
              </w:rPr>
              <w:t>度</w:t>
            </w:r>
            <w:r>
              <w:rPr>
                <w:rFonts w:hint="eastAsia"/>
                <w:color w:val="auto"/>
                <w:sz w:val="24"/>
                <w:szCs w:val="21"/>
                <w:u w:val="single"/>
              </w:rPr>
              <w:t>35</w:t>
            </w:r>
            <w:r>
              <w:rPr>
                <w:color w:val="auto"/>
                <w:sz w:val="24"/>
                <w:szCs w:val="21"/>
              </w:rPr>
              <w:t>分</w:t>
            </w:r>
            <w:r>
              <w:rPr>
                <w:rFonts w:hint="eastAsia"/>
                <w:color w:val="auto"/>
                <w:sz w:val="24"/>
                <w:szCs w:val="21"/>
                <w:u w:val="single"/>
              </w:rPr>
              <w:t>54.377</w:t>
            </w:r>
            <w:r>
              <w:rPr>
                <w:color w:val="auto"/>
                <w:sz w:val="24"/>
                <w:szCs w:val="21"/>
              </w:rPr>
              <w:t>秒，</w:t>
            </w:r>
            <w:r>
              <w:rPr>
                <w:color w:val="auto"/>
                <w:sz w:val="24"/>
                <w:szCs w:val="21"/>
                <w:u w:val="single"/>
              </w:rPr>
              <w:t>2</w:t>
            </w:r>
            <w:r>
              <w:rPr>
                <w:rFonts w:hint="eastAsia"/>
                <w:color w:val="auto"/>
                <w:sz w:val="24"/>
                <w:szCs w:val="21"/>
                <w:u w:val="single"/>
              </w:rPr>
              <w:t>5</w:t>
            </w:r>
            <w:r>
              <w:rPr>
                <w:color w:val="auto"/>
                <w:sz w:val="24"/>
                <w:szCs w:val="21"/>
              </w:rPr>
              <w:t>度</w:t>
            </w:r>
            <w:r>
              <w:rPr>
                <w:rFonts w:hint="eastAsia"/>
                <w:color w:val="auto"/>
                <w:sz w:val="24"/>
                <w:szCs w:val="21"/>
                <w:u w:val="single"/>
              </w:rPr>
              <w:t>57</w:t>
            </w:r>
            <w:r>
              <w:rPr>
                <w:color w:val="auto"/>
                <w:sz w:val="24"/>
                <w:szCs w:val="21"/>
              </w:rPr>
              <w:t>分</w:t>
            </w:r>
            <w:r>
              <w:rPr>
                <w:rFonts w:hint="eastAsia"/>
                <w:color w:val="auto"/>
                <w:sz w:val="24"/>
                <w:szCs w:val="21"/>
                <w:u w:val="single"/>
              </w:rPr>
              <w:t>23.036</w:t>
            </w:r>
            <w:r>
              <w:rPr>
                <w:color w:val="auto"/>
                <w:sz w:val="24"/>
                <w:szCs w:val="21"/>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国民经济</w:t>
            </w:r>
          </w:p>
          <w:p>
            <w:pPr>
              <w:jc w:val="center"/>
              <w:rPr>
                <w:color w:val="auto"/>
                <w:sz w:val="24"/>
                <w:szCs w:val="21"/>
              </w:rPr>
            </w:pPr>
            <w:r>
              <w:rPr>
                <w:color w:val="auto"/>
                <w:sz w:val="24"/>
                <w:szCs w:val="21"/>
              </w:rPr>
              <w:t>行业类别</w:t>
            </w:r>
          </w:p>
        </w:tc>
        <w:tc>
          <w:tcPr>
            <w:tcW w:w="2075" w:type="dxa"/>
            <w:vAlign w:val="center"/>
          </w:tcPr>
          <w:p>
            <w:pPr>
              <w:rPr>
                <w:color w:val="auto"/>
                <w:sz w:val="24"/>
                <w:szCs w:val="21"/>
              </w:rPr>
            </w:pPr>
            <w:r>
              <w:rPr>
                <w:rFonts w:hint="eastAsia"/>
                <w:color w:val="auto"/>
                <w:sz w:val="24"/>
                <w:szCs w:val="21"/>
              </w:rPr>
              <w:t>C2319包装装潢及其他印刷</w:t>
            </w:r>
          </w:p>
        </w:tc>
        <w:tc>
          <w:tcPr>
            <w:tcW w:w="1947" w:type="dxa"/>
            <w:vAlign w:val="center"/>
          </w:tcPr>
          <w:p>
            <w:pPr>
              <w:jc w:val="center"/>
              <w:rPr>
                <w:color w:val="auto"/>
                <w:sz w:val="24"/>
                <w:szCs w:val="21"/>
              </w:rPr>
            </w:pPr>
            <w:bookmarkStart w:id="3" w:name="_Hlk49843745"/>
            <w:r>
              <w:rPr>
                <w:color w:val="auto"/>
                <w:sz w:val="24"/>
                <w:szCs w:val="21"/>
              </w:rPr>
              <w:t>建设项目</w:t>
            </w:r>
          </w:p>
          <w:p>
            <w:pPr>
              <w:jc w:val="center"/>
              <w:rPr>
                <w:color w:val="auto"/>
                <w:sz w:val="24"/>
                <w:szCs w:val="21"/>
              </w:rPr>
            </w:pPr>
            <w:r>
              <w:rPr>
                <w:color w:val="auto"/>
                <w:sz w:val="24"/>
                <w:szCs w:val="21"/>
              </w:rPr>
              <w:t>行业类别</w:t>
            </w:r>
            <w:bookmarkEnd w:id="3"/>
          </w:p>
        </w:tc>
        <w:tc>
          <w:tcPr>
            <w:tcW w:w="3289" w:type="dxa"/>
            <w:vAlign w:val="center"/>
          </w:tcPr>
          <w:p>
            <w:pPr>
              <w:autoSpaceDE w:val="0"/>
              <w:autoSpaceDN w:val="0"/>
              <w:jc w:val="left"/>
              <w:rPr>
                <w:color w:val="auto"/>
                <w:sz w:val="24"/>
                <w:szCs w:val="21"/>
              </w:rPr>
            </w:pPr>
            <w:r>
              <w:rPr>
                <w:color w:val="auto"/>
                <w:sz w:val="24"/>
                <w:szCs w:val="21"/>
              </w:rPr>
              <w:t>二十、印刷和记录媒介复制业</w:t>
            </w:r>
            <w:r>
              <w:rPr>
                <w:rFonts w:hint="eastAsia"/>
                <w:color w:val="auto"/>
                <w:sz w:val="24"/>
                <w:szCs w:val="21"/>
              </w:rPr>
              <w:t>23：</w:t>
            </w:r>
            <w:r>
              <w:rPr>
                <w:color w:val="auto"/>
                <w:sz w:val="24"/>
                <w:szCs w:val="21"/>
              </w:rPr>
              <w:t>39</w:t>
            </w:r>
            <w:r>
              <w:rPr>
                <w:rFonts w:hint="eastAsia"/>
                <w:color w:val="auto"/>
                <w:sz w:val="24"/>
                <w:szCs w:val="21"/>
              </w:rPr>
              <w:t>、</w:t>
            </w:r>
            <w:r>
              <w:rPr>
                <w:color w:val="auto"/>
                <w:sz w:val="24"/>
                <w:szCs w:val="21"/>
              </w:rPr>
              <w:t>印刷231*</w:t>
            </w:r>
            <w:r>
              <w:rPr>
                <w:rFonts w:hint="eastAsia"/>
                <w:color w:val="auto"/>
                <w:sz w:val="24"/>
                <w:szCs w:val="21"/>
              </w:rPr>
              <w:t>——</w:t>
            </w:r>
            <w:r>
              <w:rPr>
                <w:color w:val="auto"/>
                <w:sz w:val="24"/>
                <w:szCs w:val="21"/>
              </w:rPr>
              <w:t>其他（激光印刷除外；年用低VOCs含量油墨10吨以下的印刷除外）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建设性质</w:t>
            </w:r>
          </w:p>
        </w:tc>
        <w:tc>
          <w:tcPr>
            <w:tcW w:w="2075" w:type="dxa"/>
            <w:vAlign w:val="center"/>
          </w:tcPr>
          <w:p>
            <w:pPr>
              <w:jc w:val="left"/>
              <w:rPr>
                <w:color w:val="auto"/>
                <w:sz w:val="24"/>
                <w:szCs w:val="21"/>
              </w:rPr>
            </w:pPr>
            <w:r>
              <w:rPr>
                <w:rFonts w:hint="eastAsia"/>
                <w:color w:val="auto"/>
                <w:sz w:val="24"/>
                <w:szCs w:val="21"/>
              </w:rPr>
              <w:t>□</w:t>
            </w:r>
            <w:r>
              <w:rPr>
                <w:color w:val="auto"/>
                <w:sz w:val="24"/>
                <w:szCs w:val="21"/>
              </w:rPr>
              <w:t>新建（迁建）</w:t>
            </w:r>
          </w:p>
          <w:p>
            <w:pPr>
              <w:jc w:val="left"/>
              <w:rPr>
                <w:color w:val="auto"/>
                <w:sz w:val="24"/>
                <w:szCs w:val="21"/>
              </w:rPr>
            </w:pPr>
            <w:r>
              <w:rPr>
                <w:rFonts w:hint="eastAsia"/>
                <w:color w:val="auto"/>
                <w:sz w:val="24"/>
                <w:szCs w:val="21"/>
              </w:rPr>
              <w:t>□</w:t>
            </w:r>
            <w:r>
              <w:rPr>
                <w:color w:val="auto"/>
                <w:sz w:val="24"/>
                <w:szCs w:val="21"/>
              </w:rPr>
              <w:t>改建</w:t>
            </w:r>
          </w:p>
          <w:p>
            <w:pPr>
              <w:jc w:val="left"/>
              <w:rPr>
                <w:color w:val="auto"/>
                <w:sz w:val="24"/>
                <w:szCs w:val="21"/>
              </w:rPr>
            </w:pPr>
            <w:r>
              <w:rPr>
                <w:rFonts w:hint="eastAsia"/>
                <w:color w:val="auto"/>
                <w:sz w:val="24"/>
                <w:szCs w:val="21"/>
              </w:rPr>
              <w:t>☑</w:t>
            </w:r>
            <w:r>
              <w:rPr>
                <w:color w:val="auto"/>
                <w:sz w:val="24"/>
                <w:szCs w:val="21"/>
              </w:rPr>
              <w:t>扩建</w:t>
            </w:r>
          </w:p>
          <w:p>
            <w:pPr>
              <w:jc w:val="left"/>
              <w:rPr>
                <w:color w:val="auto"/>
                <w:sz w:val="24"/>
                <w:szCs w:val="21"/>
              </w:rPr>
            </w:pPr>
            <w:r>
              <w:rPr>
                <w:rFonts w:hint="eastAsia"/>
                <w:color w:val="auto"/>
                <w:sz w:val="24"/>
                <w:szCs w:val="21"/>
              </w:rPr>
              <w:t>□</w:t>
            </w:r>
            <w:r>
              <w:rPr>
                <w:color w:val="auto"/>
                <w:sz w:val="24"/>
                <w:szCs w:val="21"/>
              </w:rPr>
              <w:t>技术改造</w:t>
            </w:r>
          </w:p>
        </w:tc>
        <w:tc>
          <w:tcPr>
            <w:tcW w:w="1947" w:type="dxa"/>
            <w:vAlign w:val="center"/>
          </w:tcPr>
          <w:p>
            <w:pPr>
              <w:jc w:val="center"/>
              <w:rPr>
                <w:color w:val="auto"/>
                <w:sz w:val="24"/>
                <w:szCs w:val="21"/>
              </w:rPr>
            </w:pPr>
            <w:r>
              <w:rPr>
                <w:color w:val="auto"/>
                <w:sz w:val="24"/>
                <w:szCs w:val="21"/>
              </w:rPr>
              <w:t>建设项目</w:t>
            </w:r>
          </w:p>
          <w:p>
            <w:pPr>
              <w:jc w:val="center"/>
              <w:rPr>
                <w:color w:val="auto"/>
                <w:sz w:val="24"/>
                <w:szCs w:val="21"/>
              </w:rPr>
            </w:pPr>
            <w:r>
              <w:rPr>
                <w:color w:val="auto"/>
                <w:sz w:val="24"/>
                <w:szCs w:val="21"/>
              </w:rPr>
              <w:t>申报情形</w:t>
            </w:r>
          </w:p>
        </w:tc>
        <w:tc>
          <w:tcPr>
            <w:tcW w:w="3289" w:type="dxa"/>
            <w:vAlign w:val="center"/>
          </w:tcPr>
          <w:p>
            <w:pPr>
              <w:jc w:val="left"/>
              <w:rPr>
                <w:color w:val="auto"/>
                <w:sz w:val="24"/>
                <w:szCs w:val="21"/>
              </w:rPr>
            </w:pPr>
            <w:r>
              <w:rPr>
                <w:color w:val="auto"/>
                <w:sz w:val="24"/>
                <w:szCs w:val="21"/>
              </w:rPr>
              <w:t>√首次申报项目</w:t>
            </w:r>
          </w:p>
          <w:p>
            <w:pPr>
              <w:jc w:val="left"/>
              <w:rPr>
                <w:color w:val="auto"/>
                <w:sz w:val="24"/>
                <w:szCs w:val="21"/>
              </w:rPr>
            </w:pPr>
            <w:r>
              <w:rPr>
                <w:rFonts w:hint="eastAsia"/>
                <w:color w:val="auto"/>
                <w:sz w:val="24"/>
                <w:szCs w:val="21"/>
              </w:rPr>
              <w:t>□</w:t>
            </w:r>
            <w:r>
              <w:rPr>
                <w:color w:val="auto"/>
                <w:sz w:val="24"/>
                <w:szCs w:val="21"/>
              </w:rPr>
              <w:t>不予批准后再次申报项目</w:t>
            </w:r>
          </w:p>
          <w:p>
            <w:pPr>
              <w:jc w:val="left"/>
              <w:rPr>
                <w:color w:val="auto"/>
                <w:sz w:val="24"/>
                <w:szCs w:val="21"/>
              </w:rPr>
            </w:pPr>
            <w:r>
              <w:rPr>
                <w:rFonts w:hint="eastAsia"/>
                <w:color w:val="auto"/>
                <w:sz w:val="24"/>
                <w:szCs w:val="21"/>
              </w:rPr>
              <w:t>□</w:t>
            </w:r>
            <w:r>
              <w:rPr>
                <w:color w:val="auto"/>
                <w:sz w:val="24"/>
                <w:szCs w:val="21"/>
              </w:rPr>
              <w:t>超五年重新审核项目</w:t>
            </w:r>
          </w:p>
          <w:p>
            <w:pPr>
              <w:jc w:val="left"/>
              <w:rPr>
                <w:color w:val="auto"/>
                <w:sz w:val="24"/>
                <w:szCs w:val="21"/>
              </w:rPr>
            </w:pPr>
            <w:r>
              <w:rPr>
                <w:rFonts w:hint="eastAsia"/>
                <w:color w:val="auto"/>
                <w:sz w:val="24"/>
                <w:szCs w:val="21"/>
              </w:rPr>
              <w:t>□</w:t>
            </w:r>
            <w:r>
              <w:rPr>
                <w:color w:val="auto"/>
                <w:sz w:val="24"/>
                <w:szCs w:val="21"/>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项目审批（核准/</w:t>
            </w:r>
          </w:p>
          <w:p>
            <w:pPr>
              <w:jc w:val="center"/>
              <w:rPr>
                <w:color w:val="auto"/>
                <w:sz w:val="24"/>
                <w:szCs w:val="21"/>
              </w:rPr>
            </w:pPr>
            <w:r>
              <w:rPr>
                <w:color w:val="auto"/>
                <w:sz w:val="24"/>
                <w:szCs w:val="21"/>
              </w:rPr>
              <w:t>备案）部门</w:t>
            </w:r>
          </w:p>
          <w:p>
            <w:pPr>
              <w:jc w:val="center"/>
              <w:rPr>
                <w:color w:val="auto"/>
                <w:sz w:val="24"/>
                <w:szCs w:val="21"/>
              </w:rPr>
            </w:pPr>
            <w:r>
              <w:rPr>
                <w:color w:val="auto"/>
                <w:sz w:val="24"/>
                <w:szCs w:val="21"/>
              </w:rPr>
              <w:t>（选填）</w:t>
            </w:r>
          </w:p>
        </w:tc>
        <w:tc>
          <w:tcPr>
            <w:tcW w:w="2075" w:type="dxa"/>
            <w:vAlign w:val="center"/>
          </w:tcPr>
          <w:p>
            <w:pPr>
              <w:jc w:val="center"/>
              <w:rPr>
                <w:color w:val="auto"/>
                <w:sz w:val="24"/>
                <w:szCs w:val="21"/>
              </w:rPr>
            </w:pPr>
            <w:r>
              <w:rPr>
                <w:rFonts w:hint="eastAsia"/>
                <w:color w:val="auto"/>
                <w:sz w:val="24"/>
                <w:szCs w:val="21"/>
              </w:rPr>
              <w:t>福州市长乐区工业和信息化局</w:t>
            </w:r>
          </w:p>
        </w:tc>
        <w:tc>
          <w:tcPr>
            <w:tcW w:w="1947" w:type="dxa"/>
            <w:vAlign w:val="center"/>
          </w:tcPr>
          <w:p>
            <w:pPr>
              <w:jc w:val="center"/>
              <w:rPr>
                <w:color w:val="auto"/>
                <w:sz w:val="24"/>
                <w:szCs w:val="21"/>
              </w:rPr>
            </w:pPr>
            <w:r>
              <w:rPr>
                <w:color w:val="auto"/>
                <w:sz w:val="24"/>
                <w:szCs w:val="21"/>
              </w:rPr>
              <w:t>项目审批（核准/</w:t>
            </w:r>
          </w:p>
          <w:p>
            <w:pPr>
              <w:jc w:val="center"/>
              <w:rPr>
                <w:color w:val="auto"/>
                <w:sz w:val="24"/>
                <w:szCs w:val="21"/>
              </w:rPr>
            </w:pPr>
            <w:r>
              <w:rPr>
                <w:color w:val="auto"/>
                <w:sz w:val="24"/>
                <w:szCs w:val="21"/>
              </w:rPr>
              <w:t>备案）文号（选填）</w:t>
            </w:r>
          </w:p>
        </w:tc>
        <w:tc>
          <w:tcPr>
            <w:tcW w:w="3289" w:type="dxa"/>
            <w:vAlign w:val="center"/>
          </w:tcPr>
          <w:p>
            <w:pPr>
              <w:jc w:val="center"/>
              <w:rPr>
                <w:color w:val="auto"/>
                <w:sz w:val="24"/>
                <w:szCs w:val="21"/>
              </w:rPr>
            </w:pPr>
            <w:r>
              <w:rPr>
                <w:rFonts w:hint="eastAsia"/>
                <w:color w:val="auto"/>
                <w:sz w:val="24"/>
                <w:szCs w:val="21"/>
              </w:rPr>
              <w:t>闽工信备</w:t>
            </w:r>
            <w:r>
              <w:rPr>
                <w:rFonts w:hint="eastAsia"/>
                <w:color w:val="auto"/>
                <w:sz w:val="24"/>
                <w:szCs w:val="21"/>
                <w:lang w:eastAsia="zh-CN"/>
              </w:rPr>
              <w:t>〔2025〕6号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总投资（万元）</w:t>
            </w:r>
          </w:p>
        </w:tc>
        <w:tc>
          <w:tcPr>
            <w:tcW w:w="2075" w:type="dxa"/>
            <w:vAlign w:val="center"/>
          </w:tcPr>
          <w:p>
            <w:pPr>
              <w:jc w:val="center"/>
              <w:rPr>
                <w:color w:val="auto"/>
                <w:sz w:val="24"/>
                <w:szCs w:val="21"/>
              </w:rPr>
            </w:pPr>
            <w:r>
              <w:rPr>
                <w:rFonts w:hint="eastAsia"/>
                <w:color w:val="auto"/>
                <w:sz w:val="24"/>
                <w:szCs w:val="21"/>
              </w:rPr>
              <w:t>200</w:t>
            </w:r>
            <w:r>
              <w:rPr>
                <w:color w:val="auto"/>
                <w:sz w:val="24"/>
                <w:szCs w:val="21"/>
              </w:rPr>
              <w:t>0</w:t>
            </w:r>
          </w:p>
        </w:tc>
        <w:tc>
          <w:tcPr>
            <w:tcW w:w="1947" w:type="dxa"/>
            <w:tcMar>
              <w:top w:w="16" w:type="dxa"/>
              <w:left w:w="16" w:type="dxa"/>
              <w:right w:w="16" w:type="dxa"/>
            </w:tcMar>
            <w:vAlign w:val="center"/>
          </w:tcPr>
          <w:p>
            <w:pPr>
              <w:jc w:val="center"/>
              <w:rPr>
                <w:color w:val="auto"/>
                <w:sz w:val="24"/>
                <w:szCs w:val="21"/>
              </w:rPr>
            </w:pPr>
            <w:r>
              <w:rPr>
                <w:color w:val="auto"/>
                <w:sz w:val="24"/>
                <w:szCs w:val="21"/>
              </w:rPr>
              <w:t>环保投资（万元）</w:t>
            </w:r>
          </w:p>
        </w:tc>
        <w:tc>
          <w:tcPr>
            <w:tcW w:w="3289" w:type="dxa"/>
          </w:tcPr>
          <w:p>
            <w:pPr>
              <w:spacing w:before="195" w:line="188" w:lineRule="auto"/>
              <w:jc w:val="center"/>
              <w:rPr>
                <w:color w:val="auto"/>
                <w:sz w:val="24"/>
                <w:szCs w:val="21"/>
              </w:rPr>
            </w:pPr>
            <w:r>
              <w:rPr>
                <w:rFonts w:hint="eastAsia"/>
                <w:color w:val="auto"/>
                <w:spacing w:val="-10"/>
                <w:sz w:val="24"/>
              </w:rPr>
              <w:t>60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环保投资占比（%）</w:t>
            </w:r>
          </w:p>
        </w:tc>
        <w:tc>
          <w:tcPr>
            <w:tcW w:w="2075" w:type="dxa"/>
            <w:vAlign w:val="center"/>
          </w:tcPr>
          <w:p>
            <w:pPr>
              <w:jc w:val="center"/>
              <w:rPr>
                <w:color w:val="auto"/>
                <w:sz w:val="24"/>
                <w:szCs w:val="21"/>
              </w:rPr>
            </w:pPr>
            <w:r>
              <w:rPr>
                <w:rFonts w:hint="eastAsia"/>
                <w:color w:val="auto"/>
                <w:sz w:val="24"/>
                <w:szCs w:val="21"/>
              </w:rPr>
              <w:t>3</w:t>
            </w:r>
          </w:p>
        </w:tc>
        <w:tc>
          <w:tcPr>
            <w:tcW w:w="1947" w:type="dxa"/>
            <w:tcMar>
              <w:top w:w="16" w:type="dxa"/>
              <w:left w:w="16" w:type="dxa"/>
              <w:right w:w="16" w:type="dxa"/>
            </w:tcMar>
            <w:vAlign w:val="center"/>
          </w:tcPr>
          <w:p>
            <w:pPr>
              <w:jc w:val="center"/>
              <w:rPr>
                <w:color w:val="auto"/>
                <w:sz w:val="24"/>
                <w:szCs w:val="21"/>
              </w:rPr>
            </w:pPr>
            <w:r>
              <w:rPr>
                <w:color w:val="auto"/>
                <w:sz w:val="24"/>
                <w:szCs w:val="21"/>
              </w:rPr>
              <w:t>施工工期</w:t>
            </w:r>
          </w:p>
        </w:tc>
        <w:tc>
          <w:tcPr>
            <w:tcW w:w="3289" w:type="dxa"/>
          </w:tcPr>
          <w:p>
            <w:pPr>
              <w:spacing w:before="195" w:line="188" w:lineRule="auto"/>
              <w:jc w:val="center"/>
              <w:rPr>
                <w:color w:val="auto"/>
                <w:sz w:val="24"/>
                <w:szCs w:val="21"/>
              </w:rPr>
            </w:pPr>
            <w:r>
              <w:rPr>
                <w:rFonts w:hint="eastAsia"/>
                <w:color w:val="auto"/>
                <w:spacing w:val="-10"/>
                <w:sz w:val="24"/>
              </w:rPr>
              <w:t>1</w:t>
            </w:r>
            <w:r>
              <w:rPr>
                <w:rFonts w:eastAsia="Times New Roman"/>
                <w:color w:val="auto"/>
                <w:spacing w:val="-10"/>
                <w:sz w:val="24"/>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10" w:hRule="atLeast"/>
          <w:jc w:val="center"/>
        </w:trPr>
        <w:tc>
          <w:tcPr>
            <w:tcW w:w="1730" w:type="dxa"/>
            <w:gridSpan w:val="2"/>
            <w:tcMar>
              <w:top w:w="16" w:type="dxa"/>
              <w:left w:w="16" w:type="dxa"/>
              <w:right w:w="16" w:type="dxa"/>
            </w:tcMar>
            <w:vAlign w:val="center"/>
          </w:tcPr>
          <w:p>
            <w:pPr>
              <w:jc w:val="center"/>
              <w:rPr>
                <w:color w:val="auto"/>
                <w:sz w:val="24"/>
                <w:szCs w:val="21"/>
              </w:rPr>
            </w:pPr>
            <w:r>
              <w:rPr>
                <w:color w:val="auto"/>
                <w:sz w:val="24"/>
                <w:szCs w:val="21"/>
              </w:rPr>
              <w:t>是否开工建设</w:t>
            </w:r>
          </w:p>
        </w:tc>
        <w:tc>
          <w:tcPr>
            <w:tcW w:w="2075" w:type="dxa"/>
            <w:vAlign w:val="center"/>
          </w:tcPr>
          <w:p>
            <w:pPr>
              <w:rPr>
                <w:color w:val="auto"/>
                <w:sz w:val="24"/>
                <w:szCs w:val="21"/>
              </w:rPr>
            </w:pPr>
            <w:r>
              <w:rPr>
                <w:color w:val="auto"/>
                <w:sz w:val="24"/>
                <w:szCs w:val="21"/>
              </w:rPr>
              <w:t>√否</w:t>
            </w:r>
          </w:p>
          <w:p>
            <w:pPr>
              <w:rPr>
                <w:color w:val="auto"/>
                <w:sz w:val="24"/>
                <w:szCs w:val="21"/>
                <w:u w:val="single"/>
              </w:rPr>
            </w:pPr>
            <w:r>
              <w:rPr>
                <w:rFonts w:hint="eastAsia"/>
                <w:color w:val="auto"/>
                <w:sz w:val="24"/>
                <w:szCs w:val="21"/>
              </w:rPr>
              <w:t>□</w:t>
            </w:r>
            <w:r>
              <w:rPr>
                <w:color w:val="auto"/>
                <w:sz w:val="24"/>
                <w:szCs w:val="21"/>
              </w:rPr>
              <w:t>是</w:t>
            </w:r>
            <w:r>
              <w:rPr>
                <w:color w:val="auto"/>
                <w:sz w:val="24"/>
                <w:szCs w:val="21"/>
                <w:u w:val="single"/>
              </w:rPr>
              <w:t xml:space="preserve">    </w:t>
            </w:r>
          </w:p>
        </w:tc>
        <w:tc>
          <w:tcPr>
            <w:tcW w:w="1947" w:type="dxa"/>
            <w:tcMar>
              <w:top w:w="16" w:type="dxa"/>
              <w:left w:w="16" w:type="dxa"/>
              <w:right w:w="16" w:type="dxa"/>
            </w:tcMar>
            <w:vAlign w:val="center"/>
          </w:tcPr>
          <w:p>
            <w:pPr>
              <w:jc w:val="center"/>
              <w:rPr>
                <w:color w:val="auto"/>
                <w:spacing w:val="-6"/>
                <w:sz w:val="24"/>
                <w:szCs w:val="21"/>
              </w:rPr>
            </w:pPr>
            <w:r>
              <w:rPr>
                <w:color w:val="auto"/>
                <w:spacing w:val="-6"/>
                <w:sz w:val="24"/>
                <w:szCs w:val="21"/>
              </w:rPr>
              <w:t>用地（用海）</w:t>
            </w:r>
          </w:p>
          <w:p>
            <w:pPr>
              <w:jc w:val="center"/>
              <w:rPr>
                <w:color w:val="auto"/>
                <w:sz w:val="24"/>
                <w:szCs w:val="21"/>
              </w:rPr>
            </w:pPr>
            <w:r>
              <w:rPr>
                <w:color w:val="auto"/>
                <w:spacing w:val="-6"/>
                <w:sz w:val="24"/>
                <w:szCs w:val="21"/>
              </w:rPr>
              <w:t>面积（m</w:t>
            </w:r>
            <w:r>
              <w:rPr>
                <w:color w:val="auto"/>
                <w:spacing w:val="-6"/>
                <w:sz w:val="24"/>
                <w:szCs w:val="21"/>
                <w:vertAlign w:val="superscript"/>
              </w:rPr>
              <w:t>2</w:t>
            </w:r>
            <w:r>
              <w:rPr>
                <w:color w:val="auto"/>
                <w:spacing w:val="-6"/>
                <w:sz w:val="24"/>
                <w:szCs w:val="21"/>
              </w:rPr>
              <w:t>）</w:t>
            </w:r>
          </w:p>
        </w:tc>
        <w:tc>
          <w:tcPr>
            <w:tcW w:w="3289" w:type="dxa"/>
          </w:tcPr>
          <w:p>
            <w:pPr>
              <w:spacing w:before="234" w:line="209" w:lineRule="auto"/>
              <w:jc w:val="center"/>
              <w:rPr>
                <w:color w:val="auto"/>
                <w:sz w:val="24"/>
                <w:szCs w:val="21"/>
              </w:rPr>
            </w:pPr>
            <w:r>
              <w:rPr>
                <w:rFonts w:hint="eastAsia"/>
                <w:color w:val="auto"/>
                <w:spacing w:val="-4"/>
                <w:sz w:val="24"/>
              </w:rPr>
              <w:t>10000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730" w:type="dxa"/>
            <w:gridSpan w:val="2"/>
            <w:vAlign w:val="center"/>
          </w:tcPr>
          <w:p>
            <w:pPr>
              <w:jc w:val="center"/>
              <w:rPr>
                <w:color w:val="auto"/>
                <w:sz w:val="24"/>
                <w:szCs w:val="21"/>
              </w:rPr>
            </w:pPr>
            <w:r>
              <w:rPr>
                <w:color w:val="auto"/>
                <w:sz w:val="24"/>
                <w:szCs w:val="21"/>
              </w:rPr>
              <w:t>专项评价设置情况</w:t>
            </w:r>
          </w:p>
        </w:tc>
        <w:tc>
          <w:tcPr>
            <w:tcW w:w="7311" w:type="dxa"/>
            <w:gridSpan w:val="3"/>
            <w:vAlign w:val="center"/>
          </w:tcPr>
          <w:p>
            <w:pPr>
              <w:adjustRightInd w:val="0"/>
              <w:snapToGrid w:val="0"/>
              <w:spacing w:line="360" w:lineRule="auto"/>
              <w:ind w:firstLine="480" w:firstLineChars="200"/>
              <w:rPr>
                <w:color w:val="auto"/>
                <w:sz w:val="24"/>
              </w:rPr>
            </w:pPr>
            <w:r>
              <w:rPr>
                <w:color w:val="auto"/>
                <w:sz w:val="24"/>
              </w:rPr>
              <w:t>对照《建设项目环境影响报告表编制</w:t>
            </w:r>
            <w:r>
              <w:rPr>
                <w:rFonts w:hint="eastAsia"/>
                <w:color w:val="auto"/>
                <w:sz w:val="24"/>
              </w:rPr>
              <w:t>技术</w:t>
            </w:r>
            <w:r>
              <w:rPr>
                <w:color w:val="auto"/>
                <w:sz w:val="24"/>
              </w:rPr>
              <w:t>指南——污染影响类</w:t>
            </w:r>
            <w:r>
              <w:rPr>
                <w:rFonts w:hint="eastAsia"/>
                <w:color w:val="auto"/>
                <w:sz w:val="24"/>
              </w:rPr>
              <w:t>（试行）</w:t>
            </w:r>
            <w:r>
              <w:rPr>
                <w:color w:val="auto"/>
                <w:sz w:val="24"/>
              </w:rPr>
              <w:t>》专题评价设置原则表，本项目专题评价设置情况判定如下：</w:t>
            </w:r>
          </w:p>
          <w:p>
            <w:pPr>
              <w:pStyle w:val="45"/>
              <w:widowControl w:val="0"/>
              <w:numPr>
                <w:ilvl w:val="7"/>
                <w:numId w:val="0"/>
              </w:numPr>
              <w:spacing w:line="240" w:lineRule="auto"/>
              <w:ind w:left="1440" w:hanging="1440"/>
              <w:outlineLvl w:val="9"/>
              <w:rPr>
                <w:rFonts w:cs="宋体"/>
                <w:color w:val="auto"/>
                <w:kern w:val="2"/>
              </w:rPr>
            </w:pPr>
            <w:r>
              <w:rPr>
                <w:rFonts w:hint="eastAsia" w:cs="宋体"/>
                <w:color w:val="auto"/>
                <w:kern w:val="2"/>
              </w:rPr>
              <w:t>表1.1-1  专项评价设置原则表</w:t>
            </w:r>
          </w:p>
          <w:tbl>
            <w:tblPr>
              <w:tblStyle w:val="36"/>
              <w:tblW w:w="72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7"/>
              <w:gridCol w:w="2999"/>
              <w:gridCol w:w="2496"/>
              <w:gridCol w:w="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47" w:type="dxa"/>
                  <w:tcBorders>
                    <w:tl2br w:val="nil"/>
                    <w:tr2bl w:val="nil"/>
                  </w:tcBorders>
                  <w:vAlign w:val="center"/>
                </w:tcPr>
                <w:p>
                  <w:pPr>
                    <w:pStyle w:val="169"/>
                    <w:rPr>
                      <w:color w:val="auto"/>
                    </w:rPr>
                  </w:pPr>
                  <w:r>
                    <w:rPr>
                      <w:color w:val="auto"/>
                    </w:rPr>
                    <w:t>专项评价类别</w:t>
                  </w:r>
                </w:p>
              </w:tc>
              <w:tc>
                <w:tcPr>
                  <w:tcW w:w="2999" w:type="dxa"/>
                  <w:tcBorders>
                    <w:tl2br w:val="nil"/>
                    <w:tr2bl w:val="nil"/>
                  </w:tcBorders>
                  <w:vAlign w:val="center"/>
                </w:tcPr>
                <w:p>
                  <w:pPr>
                    <w:pStyle w:val="169"/>
                    <w:rPr>
                      <w:color w:val="auto"/>
                    </w:rPr>
                  </w:pPr>
                  <w:r>
                    <w:rPr>
                      <w:color w:val="auto"/>
                    </w:rPr>
                    <w:t>设置原则</w:t>
                  </w:r>
                </w:p>
              </w:tc>
              <w:tc>
                <w:tcPr>
                  <w:tcW w:w="2496" w:type="dxa"/>
                  <w:tcBorders>
                    <w:tl2br w:val="nil"/>
                    <w:tr2bl w:val="nil"/>
                  </w:tcBorders>
                  <w:vAlign w:val="center"/>
                </w:tcPr>
                <w:p>
                  <w:pPr>
                    <w:pStyle w:val="169"/>
                    <w:rPr>
                      <w:color w:val="auto"/>
                    </w:rPr>
                  </w:pPr>
                  <w:r>
                    <w:rPr>
                      <w:color w:val="auto"/>
                    </w:rPr>
                    <w:t>项目情况</w:t>
                  </w:r>
                </w:p>
              </w:tc>
              <w:tc>
                <w:tcPr>
                  <w:tcW w:w="858" w:type="dxa"/>
                  <w:tcBorders>
                    <w:tl2br w:val="nil"/>
                    <w:tr2bl w:val="nil"/>
                  </w:tcBorders>
                  <w:vAlign w:val="center"/>
                </w:tcPr>
                <w:p>
                  <w:pPr>
                    <w:pStyle w:val="169"/>
                    <w:rPr>
                      <w:color w:val="auto"/>
                    </w:rPr>
                  </w:pPr>
                  <w:r>
                    <w:rPr>
                      <w:rFonts w:hint="eastAsia"/>
                      <w:color w:val="auto"/>
                    </w:rPr>
                    <w:t>是否设置专项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47" w:type="dxa"/>
                  <w:tcBorders>
                    <w:tl2br w:val="nil"/>
                    <w:tr2bl w:val="nil"/>
                  </w:tcBorders>
                  <w:vAlign w:val="center"/>
                </w:tcPr>
                <w:p>
                  <w:pPr>
                    <w:pStyle w:val="169"/>
                    <w:rPr>
                      <w:color w:val="auto"/>
                    </w:rPr>
                  </w:pPr>
                  <w:r>
                    <w:rPr>
                      <w:color w:val="auto"/>
                    </w:rPr>
                    <w:t>大气</w:t>
                  </w:r>
                </w:p>
              </w:tc>
              <w:tc>
                <w:tcPr>
                  <w:tcW w:w="2999" w:type="dxa"/>
                  <w:tcBorders>
                    <w:tl2br w:val="nil"/>
                    <w:tr2bl w:val="nil"/>
                  </w:tcBorders>
                  <w:vAlign w:val="center"/>
                </w:tcPr>
                <w:p>
                  <w:pPr>
                    <w:pStyle w:val="169"/>
                    <w:rPr>
                      <w:color w:val="auto"/>
                    </w:rPr>
                  </w:pPr>
                  <w:r>
                    <w:rPr>
                      <w:color w:val="auto"/>
                    </w:rPr>
                    <w:t>排放废气含有毒有害污染物</w:t>
                  </w:r>
                  <w:r>
                    <w:rPr>
                      <w:rFonts w:hint="eastAsia"/>
                      <w:color w:val="auto"/>
                      <w:vertAlign w:val="superscript"/>
                    </w:rPr>
                    <w:t>1</w:t>
                  </w:r>
                  <w:r>
                    <w:rPr>
                      <w:color w:val="auto"/>
                    </w:rPr>
                    <w:t>、二噁英、苯并芘、氰化物、氯气，且厂界外500米范围内有环境空气保护目标</w:t>
                  </w:r>
                  <w:r>
                    <w:rPr>
                      <w:rFonts w:hint="eastAsia"/>
                      <w:color w:val="auto"/>
                      <w:vertAlign w:val="superscript"/>
                    </w:rPr>
                    <w:t>2</w:t>
                  </w:r>
                  <w:r>
                    <w:rPr>
                      <w:color w:val="auto"/>
                    </w:rPr>
                    <w:t>的项目</w:t>
                  </w:r>
                </w:p>
              </w:tc>
              <w:tc>
                <w:tcPr>
                  <w:tcW w:w="2496" w:type="dxa"/>
                  <w:tcBorders>
                    <w:tl2br w:val="nil"/>
                    <w:tr2bl w:val="nil"/>
                  </w:tcBorders>
                  <w:vAlign w:val="center"/>
                </w:tcPr>
                <w:p>
                  <w:pPr>
                    <w:pStyle w:val="169"/>
                    <w:rPr>
                      <w:color w:val="auto"/>
                    </w:rPr>
                  </w:pPr>
                  <w:r>
                    <w:rPr>
                      <w:color w:val="auto"/>
                    </w:rPr>
                    <w:t>项目排放废气</w:t>
                  </w:r>
                  <w:r>
                    <w:rPr>
                      <w:rFonts w:hint="eastAsia"/>
                      <w:color w:val="auto"/>
                    </w:rPr>
                    <w:t>主要为非甲烷总烃，不涉及</w:t>
                  </w:r>
                  <w:r>
                    <w:rPr>
                      <w:color w:val="auto"/>
                    </w:rPr>
                    <w:t>有毒有害污染物、二噁英、苯并芘、氰化物、氯气</w:t>
                  </w:r>
                  <w:r>
                    <w:rPr>
                      <w:rFonts w:hint="eastAsia"/>
                      <w:color w:val="auto"/>
                    </w:rPr>
                    <w:t>。</w:t>
                  </w:r>
                </w:p>
              </w:tc>
              <w:tc>
                <w:tcPr>
                  <w:tcW w:w="858" w:type="dxa"/>
                  <w:tcBorders>
                    <w:tl2br w:val="nil"/>
                    <w:tr2bl w:val="nil"/>
                  </w:tcBorders>
                  <w:vAlign w:val="center"/>
                </w:tcPr>
                <w:p>
                  <w:pPr>
                    <w:pStyle w:val="169"/>
                    <w:rPr>
                      <w:color w:val="auto"/>
                    </w:rPr>
                  </w:pPr>
                  <w:r>
                    <w:rPr>
                      <w:rFonts w:hint="eastAsia"/>
                      <w:color w:val="auto"/>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47" w:type="dxa"/>
                  <w:tcBorders>
                    <w:tl2br w:val="nil"/>
                    <w:tr2bl w:val="nil"/>
                  </w:tcBorders>
                  <w:vAlign w:val="center"/>
                </w:tcPr>
                <w:p>
                  <w:pPr>
                    <w:pStyle w:val="169"/>
                    <w:rPr>
                      <w:color w:val="auto"/>
                    </w:rPr>
                  </w:pPr>
                  <w:r>
                    <w:rPr>
                      <w:color w:val="auto"/>
                    </w:rPr>
                    <w:t>地表水</w:t>
                  </w:r>
                </w:p>
              </w:tc>
              <w:tc>
                <w:tcPr>
                  <w:tcW w:w="2999" w:type="dxa"/>
                  <w:tcBorders>
                    <w:tl2br w:val="nil"/>
                    <w:tr2bl w:val="nil"/>
                  </w:tcBorders>
                  <w:vAlign w:val="center"/>
                </w:tcPr>
                <w:p>
                  <w:pPr>
                    <w:pStyle w:val="169"/>
                    <w:rPr>
                      <w:color w:val="auto"/>
                    </w:rPr>
                  </w:pPr>
                  <w:r>
                    <w:rPr>
                      <w:color w:val="auto"/>
                    </w:rPr>
                    <w:t>新增工业废水直排建设项目（槽罐车外送污水处理厂的除外），新增废水直排的污水集中处理厂</w:t>
                  </w:r>
                </w:p>
              </w:tc>
              <w:tc>
                <w:tcPr>
                  <w:tcW w:w="2496" w:type="dxa"/>
                  <w:tcBorders>
                    <w:tl2br w:val="nil"/>
                    <w:tr2bl w:val="nil"/>
                  </w:tcBorders>
                  <w:vAlign w:val="center"/>
                </w:tcPr>
                <w:p>
                  <w:pPr>
                    <w:pStyle w:val="169"/>
                    <w:rPr>
                      <w:color w:val="auto"/>
                    </w:rPr>
                  </w:pPr>
                  <w:r>
                    <w:rPr>
                      <w:color w:val="auto"/>
                    </w:rPr>
                    <w:t>项目</w:t>
                  </w:r>
                  <w:r>
                    <w:rPr>
                      <w:rFonts w:hint="eastAsia"/>
                      <w:color w:val="auto"/>
                    </w:rPr>
                    <w:t>无生产废水产生，生活污水经化粪池处理后排入长乐区</w:t>
                  </w:r>
                  <w:r>
                    <w:rPr>
                      <w:rFonts w:hint="eastAsia"/>
                      <w:color w:val="auto"/>
                      <w:lang w:val="en-US" w:eastAsia="zh-CN"/>
                    </w:rPr>
                    <w:t>滨海</w:t>
                  </w:r>
                  <w:r>
                    <w:rPr>
                      <w:rFonts w:hint="eastAsia"/>
                      <w:color w:val="auto"/>
                    </w:rPr>
                    <w:t>污水处理厂处理。</w:t>
                  </w:r>
                </w:p>
              </w:tc>
              <w:tc>
                <w:tcPr>
                  <w:tcW w:w="858" w:type="dxa"/>
                  <w:tcBorders>
                    <w:tl2br w:val="nil"/>
                    <w:tr2bl w:val="nil"/>
                  </w:tcBorders>
                  <w:vAlign w:val="center"/>
                </w:tcPr>
                <w:p>
                  <w:pPr>
                    <w:pStyle w:val="169"/>
                    <w:rPr>
                      <w:color w:val="auto"/>
                    </w:rPr>
                  </w:pPr>
                  <w:r>
                    <w:rPr>
                      <w:rFonts w:hint="eastAsia"/>
                      <w:color w:val="auto"/>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47" w:type="dxa"/>
                  <w:tcBorders>
                    <w:tl2br w:val="nil"/>
                    <w:tr2bl w:val="nil"/>
                  </w:tcBorders>
                  <w:vAlign w:val="center"/>
                </w:tcPr>
                <w:p>
                  <w:pPr>
                    <w:pStyle w:val="169"/>
                    <w:rPr>
                      <w:color w:val="auto"/>
                    </w:rPr>
                  </w:pPr>
                  <w:r>
                    <w:rPr>
                      <w:color w:val="auto"/>
                    </w:rPr>
                    <w:t>环境</w:t>
                  </w:r>
                </w:p>
                <w:p>
                  <w:pPr>
                    <w:pStyle w:val="169"/>
                    <w:rPr>
                      <w:color w:val="auto"/>
                    </w:rPr>
                  </w:pPr>
                  <w:r>
                    <w:rPr>
                      <w:color w:val="auto"/>
                    </w:rPr>
                    <w:t>风险</w:t>
                  </w:r>
                </w:p>
              </w:tc>
              <w:tc>
                <w:tcPr>
                  <w:tcW w:w="2999" w:type="dxa"/>
                  <w:tcBorders>
                    <w:tl2br w:val="nil"/>
                    <w:tr2bl w:val="nil"/>
                  </w:tcBorders>
                  <w:vAlign w:val="center"/>
                </w:tcPr>
                <w:p>
                  <w:pPr>
                    <w:pStyle w:val="169"/>
                    <w:rPr>
                      <w:color w:val="auto"/>
                    </w:rPr>
                  </w:pPr>
                  <w:r>
                    <w:rPr>
                      <w:color w:val="auto"/>
                    </w:rPr>
                    <w:t>有毒有害和易燃易爆危险物质存储量超过临界量</w:t>
                  </w:r>
                  <w:r>
                    <w:rPr>
                      <w:rFonts w:hint="eastAsia"/>
                      <w:color w:val="auto"/>
                      <w:vertAlign w:val="superscript"/>
                    </w:rPr>
                    <w:t>3</w:t>
                  </w:r>
                  <w:r>
                    <w:rPr>
                      <w:color w:val="auto"/>
                    </w:rPr>
                    <w:t>建设项目</w:t>
                  </w:r>
                </w:p>
              </w:tc>
              <w:tc>
                <w:tcPr>
                  <w:tcW w:w="2496" w:type="dxa"/>
                  <w:tcBorders>
                    <w:tl2br w:val="nil"/>
                    <w:tr2bl w:val="nil"/>
                  </w:tcBorders>
                  <w:vAlign w:val="center"/>
                </w:tcPr>
                <w:p>
                  <w:pPr>
                    <w:pStyle w:val="169"/>
                    <w:rPr>
                      <w:color w:val="auto"/>
                    </w:rPr>
                  </w:pPr>
                  <w:r>
                    <w:rPr>
                      <w:rFonts w:hint="eastAsia"/>
                      <w:color w:val="auto"/>
                    </w:rPr>
                    <w:t>扩建</w:t>
                  </w:r>
                  <w:r>
                    <w:rPr>
                      <w:color w:val="auto"/>
                    </w:rPr>
                    <w:t>项目</w:t>
                  </w:r>
                  <w:r>
                    <w:rPr>
                      <w:rFonts w:hint="eastAsia"/>
                      <w:color w:val="auto"/>
                    </w:rPr>
                    <w:t>涉及的</w:t>
                  </w:r>
                  <w:r>
                    <w:rPr>
                      <w:color w:val="auto"/>
                    </w:rPr>
                    <w:t>有毒有害</w:t>
                  </w:r>
                  <w:r>
                    <w:rPr>
                      <w:rFonts w:hint="eastAsia"/>
                      <w:color w:val="auto"/>
                    </w:rPr>
                    <w:t>和易燃易爆危险物质存储量不超过临界量。</w:t>
                  </w:r>
                </w:p>
              </w:tc>
              <w:tc>
                <w:tcPr>
                  <w:tcW w:w="858" w:type="dxa"/>
                  <w:tcBorders>
                    <w:tl2br w:val="nil"/>
                    <w:tr2bl w:val="nil"/>
                  </w:tcBorders>
                  <w:vAlign w:val="center"/>
                </w:tcPr>
                <w:p>
                  <w:pPr>
                    <w:pStyle w:val="169"/>
                    <w:rPr>
                      <w:color w:val="auto"/>
                    </w:rPr>
                  </w:pPr>
                  <w:r>
                    <w:rPr>
                      <w:rFonts w:hint="eastAsia"/>
                      <w:color w:val="auto"/>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47" w:type="dxa"/>
                  <w:tcBorders>
                    <w:tl2br w:val="nil"/>
                    <w:tr2bl w:val="nil"/>
                  </w:tcBorders>
                  <w:vAlign w:val="center"/>
                </w:tcPr>
                <w:p>
                  <w:pPr>
                    <w:pStyle w:val="169"/>
                    <w:rPr>
                      <w:color w:val="auto"/>
                    </w:rPr>
                  </w:pPr>
                  <w:r>
                    <w:rPr>
                      <w:color w:val="auto"/>
                    </w:rPr>
                    <w:t>生态</w:t>
                  </w:r>
                </w:p>
              </w:tc>
              <w:tc>
                <w:tcPr>
                  <w:tcW w:w="2999" w:type="dxa"/>
                  <w:tcBorders>
                    <w:tl2br w:val="nil"/>
                    <w:tr2bl w:val="nil"/>
                  </w:tcBorders>
                  <w:vAlign w:val="center"/>
                </w:tcPr>
                <w:p>
                  <w:pPr>
                    <w:pStyle w:val="169"/>
                    <w:rPr>
                      <w:color w:val="auto"/>
                    </w:rPr>
                  </w:pPr>
                  <w:r>
                    <w:rPr>
                      <w:color w:val="auto"/>
                    </w:rPr>
                    <w:t>取水口下游500米范围内有重要水生生物的自然产卵场、索饵场、越冬场和洄游通道的新增河道取水的污染类建设项目</w:t>
                  </w:r>
                </w:p>
              </w:tc>
              <w:tc>
                <w:tcPr>
                  <w:tcW w:w="2496" w:type="dxa"/>
                  <w:tcBorders>
                    <w:tl2br w:val="nil"/>
                    <w:tr2bl w:val="nil"/>
                  </w:tcBorders>
                  <w:vAlign w:val="center"/>
                </w:tcPr>
                <w:p>
                  <w:pPr>
                    <w:pStyle w:val="169"/>
                    <w:rPr>
                      <w:color w:val="auto"/>
                    </w:rPr>
                  </w:pPr>
                  <w:r>
                    <w:rPr>
                      <w:color w:val="auto"/>
                    </w:rPr>
                    <w:t>本项目用水由市政给水管供给，不设置取水口</w:t>
                  </w:r>
                  <w:r>
                    <w:rPr>
                      <w:rFonts w:hint="eastAsia"/>
                      <w:color w:val="auto"/>
                    </w:rPr>
                    <w:t>。</w:t>
                  </w:r>
                </w:p>
              </w:tc>
              <w:tc>
                <w:tcPr>
                  <w:tcW w:w="858" w:type="dxa"/>
                  <w:tcBorders>
                    <w:tl2br w:val="nil"/>
                    <w:tr2bl w:val="nil"/>
                  </w:tcBorders>
                  <w:vAlign w:val="center"/>
                </w:tcPr>
                <w:p>
                  <w:pPr>
                    <w:pStyle w:val="169"/>
                    <w:rPr>
                      <w:color w:val="auto"/>
                    </w:rPr>
                  </w:pPr>
                  <w:r>
                    <w:rPr>
                      <w:rFonts w:hint="eastAsia"/>
                      <w:color w:val="auto"/>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847" w:type="dxa"/>
                  <w:tcBorders>
                    <w:tl2br w:val="nil"/>
                    <w:tr2bl w:val="nil"/>
                  </w:tcBorders>
                  <w:vAlign w:val="center"/>
                </w:tcPr>
                <w:p>
                  <w:pPr>
                    <w:pStyle w:val="169"/>
                    <w:rPr>
                      <w:color w:val="auto"/>
                    </w:rPr>
                  </w:pPr>
                  <w:r>
                    <w:rPr>
                      <w:color w:val="auto"/>
                    </w:rPr>
                    <w:t>海洋</w:t>
                  </w:r>
                </w:p>
              </w:tc>
              <w:tc>
                <w:tcPr>
                  <w:tcW w:w="2999" w:type="dxa"/>
                  <w:tcBorders>
                    <w:tl2br w:val="nil"/>
                    <w:tr2bl w:val="nil"/>
                  </w:tcBorders>
                  <w:vAlign w:val="center"/>
                </w:tcPr>
                <w:p>
                  <w:pPr>
                    <w:pStyle w:val="169"/>
                    <w:rPr>
                      <w:color w:val="auto"/>
                    </w:rPr>
                  </w:pPr>
                  <w:r>
                    <w:rPr>
                      <w:color w:val="auto"/>
                    </w:rPr>
                    <w:t>直接向海排放污染物的海洋工程建设项目</w:t>
                  </w:r>
                </w:p>
              </w:tc>
              <w:tc>
                <w:tcPr>
                  <w:tcW w:w="2496" w:type="dxa"/>
                  <w:tcBorders>
                    <w:tl2br w:val="nil"/>
                    <w:tr2bl w:val="nil"/>
                  </w:tcBorders>
                  <w:vAlign w:val="center"/>
                </w:tcPr>
                <w:p>
                  <w:pPr>
                    <w:pStyle w:val="169"/>
                    <w:rPr>
                      <w:color w:val="auto"/>
                    </w:rPr>
                  </w:pPr>
                  <w:r>
                    <w:rPr>
                      <w:color w:val="auto"/>
                    </w:rPr>
                    <w:t>本项目不属于海洋工程建设项目</w:t>
                  </w:r>
                  <w:r>
                    <w:rPr>
                      <w:rFonts w:hint="eastAsia"/>
                      <w:color w:val="auto"/>
                    </w:rPr>
                    <w:t>。</w:t>
                  </w:r>
                </w:p>
              </w:tc>
              <w:tc>
                <w:tcPr>
                  <w:tcW w:w="858" w:type="dxa"/>
                  <w:tcBorders>
                    <w:tl2br w:val="nil"/>
                    <w:tr2bl w:val="nil"/>
                  </w:tcBorders>
                  <w:vAlign w:val="center"/>
                </w:tcPr>
                <w:p>
                  <w:pPr>
                    <w:pStyle w:val="169"/>
                    <w:rPr>
                      <w:color w:val="auto"/>
                    </w:rPr>
                  </w:pPr>
                  <w:r>
                    <w:rPr>
                      <w:rFonts w:hint="eastAsia"/>
                      <w:color w:val="auto"/>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7200" w:type="dxa"/>
                  <w:gridSpan w:val="4"/>
                  <w:tcBorders>
                    <w:tl2br w:val="nil"/>
                    <w:tr2bl w:val="nil"/>
                  </w:tcBorders>
                  <w:vAlign w:val="center"/>
                </w:tcPr>
                <w:p>
                  <w:pPr>
                    <w:pStyle w:val="169"/>
                    <w:jc w:val="both"/>
                    <w:rPr>
                      <w:color w:val="auto"/>
                    </w:rPr>
                  </w:pPr>
                  <w:r>
                    <w:rPr>
                      <w:rFonts w:hint="eastAsia"/>
                      <w:color w:val="auto"/>
                    </w:rPr>
                    <w:t>注：1.废气中有毒有害污染物指纳入《有毒有害大气污染物名录》的污染物（不包括无排放标准的污染物）。</w:t>
                  </w:r>
                </w:p>
                <w:p>
                  <w:pPr>
                    <w:pStyle w:val="169"/>
                    <w:ind w:firstLine="420" w:firstLineChars="200"/>
                    <w:jc w:val="both"/>
                    <w:rPr>
                      <w:color w:val="auto"/>
                    </w:rPr>
                  </w:pPr>
                  <w:r>
                    <w:rPr>
                      <w:rFonts w:hint="eastAsia"/>
                      <w:color w:val="auto"/>
                    </w:rPr>
                    <w:t>2.环境空气保护目标指自然保护区、风景名胜区、居住区、文化区和农村地区中人群较集中的区域。</w:t>
                  </w:r>
                </w:p>
                <w:p>
                  <w:pPr>
                    <w:pStyle w:val="169"/>
                    <w:ind w:firstLine="420" w:firstLineChars="200"/>
                    <w:jc w:val="both"/>
                    <w:rPr>
                      <w:color w:val="auto"/>
                    </w:rPr>
                  </w:pPr>
                  <w:r>
                    <w:rPr>
                      <w:rFonts w:hint="eastAsia"/>
                      <w:color w:val="auto"/>
                    </w:rPr>
                    <w:t>3.临界量及其计算方法可参考《建设项目环境风险评价技术导则》（HJ169）附录B、附录C。</w:t>
                  </w:r>
                </w:p>
              </w:tc>
            </w:tr>
          </w:tbl>
          <w:p>
            <w:pPr>
              <w:ind w:firstLine="480" w:firstLineChars="200"/>
              <w:rPr>
                <w:color w:val="auto"/>
                <w:sz w:val="24"/>
                <w:szCs w:val="21"/>
              </w:rPr>
            </w:pPr>
            <w:r>
              <w:rPr>
                <w:color w:val="auto"/>
                <w:sz w:val="24"/>
              </w:rPr>
              <w:t>经判定，本项目</w:t>
            </w:r>
            <w:r>
              <w:rPr>
                <w:rFonts w:hint="eastAsia"/>
                <w:color w:val="auto"/>
                <w:sz w:val="24"/>
              </w:rPr>
              <w:t>无须设置</w:t>
            </w:r>
            <w:r>
              <w:rPr>
                <w:color w:val="auto"/>
                <w:sz w:val="24"/>
              </w:rPr>
              <w:t>专项评价。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25" w:hRule="atLeast"/>
          <w:jc w:val="center"/>
        </w:trPr>
        <w:tc>
          <w:tcPr>
            <w:tcW w:w="1730" w:type="dxa"/>
            <w:gridSpan w:val="2"/>
            <w:vAlign w:val="center"/>
          </w:tcPr>
          <w:p>
            <w:pPr>
              <w:autoSpaceDE w:val="0"/>
              <w:autoSpaceDN w:val="0"/>
              <w:spacing w:line="360" w:lineRule="auto"/>
              <w:jc w:val="center"/>
              <w:rPr>
                <w:color w:val="auto"/>
                <w:kern w:val="0"/>
                <w:sz w:val="24"/>
                <w:szCs w:val="21"/>
              </w:rPr>
            </w:pPr>
            <w:r>
              <w:rPr>
                <w:color w:val="auto"/>
                <w:sz w:val="24"/>
                <w:szCs w:val="21"/>
              </w:rPr>
              <w:t>规划情况</w:t>
            </w:r>
          </w:p>
        </w:tc>
        <w:tc>
          <w:tcPr>
            <w:tcW w:w="7311" w:type="dxa"/>
            <w:gridSpan w:val="3"/>
            <w:vAlign w:val="center"/>
          </w:tcPr>
          <w:p>
            <w:pPr>
              <w:widowControl/>
              <w:spacing w:line="360" w:lineRule="auto"/>
              <w:ind w:firstLine="480" w:firstLineChars="200"/>
              <w:jc w:val="left"/>
              <w:rPr>
                <w:color w:val="auto"/>
                <w:kern w:val="0"/>
                <w:sz w:val="24"/>
                <w:lang w:bidi="ar"/>
              </w:rPr>
            </w:pPr>
            <w:r>
              <w:rPr>
                <w:color w:val="auto"/>
                <w:kern w:val="0"/>
                <w:sz w:val="24"/>
                <w:lang w:bidi="ar"/>
              </w:rPr>
              <w:t>规划名称：《福州临空经济区产业布局规划（2021-2025年）》</w:t>
            </w:r>
            <w:r>
              <w:rPr>
                <w:rFonts w:hint="eastAsia"/>
                <w:color w:val="auto"/>
                <w:kern w:val="0"/>
                <w:sz w:val="24"/>
                <w:lang w:bidi="ar"/>
              </w:rPr>
              <w:t>(</w:t>
            </w:r>
            <w:r>
              <w:rPr>
                <w:color w:val="auto"/>
                <w:kern w:val="0"/>
                <w:sz w:val="24"/>
                <w:lang w:bidi="ar"/>
              </w:rPr>
              <w:t>修编</w:t>
            </w:r>
            <w:r>
              <w:rPr>
                <w:rFonts w:hint="eastAsia"/>
                <w:color w:val="auto"/>
                <w:kern w:val="0"/>
                <w:sz w:val="24"/>
                <w:lang w:bidi="ar"/>
              </w:rPr>
              <w:t>)</w:t>
            </w:r>
          </w:p>
          <w:p>
            <w:pPr>
              <w:widowControl/>
              <w:spacing w:line="360" w:lineRule="auto"/>
              <w:ind w:firstLine="480" w:firstLineChars="200"/>
              <w:jc w:val="left"/>
              <w:rPr>
                <w:color w:val="auto"/>
                <w:kern w:val="0"/>
                <w:sz w:val="24"/>
                <w:lang w:bidi="ar"/>
              </w:rPr>
            </w:pPr>
            <w:r>
              <w:rPr>
                <w:color w:val="auto"/>
                <w:kern w:val="0"/>
                <w:sz w:val="24"/>
                <w:lang w:bidi="ar"/>
              </w:rPr>
              <w:t>审批机关：福州市人民政府</w:t>
            </w:r>
          </w:p>
          <w:p>
            <w:pPr>
              <w:widowControl/>
              <w:spacing w:line="360" w:lineRule="auto"/>
              <w:ind w:firstLine="480" w:firstLineChars="200"/>
              <w:jc w:val="left"/>
              <w:rPr>
                <w:color w:val="auto"/>
                <w:kern w:val="0"/>
                <w:sz w:val="24"/>
              </w:rPr>
            </w:pPr>
            <w:r>
              <w:rPr>
                <w:color w:val="auto"/>
                <w:kern w:val="0"/>
                <w:sz w:val="24"/>
                <w:lang w:bidi="ar"/>
              </w:rPr>
              <w:t>审批文件名称及文号：无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730" w:type="dxa"/>
            <w:gridSpan w:val="2"/>
            <w:vAlign w:val="center"/>
          </w:tcPr>
          <w:p>
            <w:pPr>
              <w:spacing w:line="360" w:lineRule="auto"/>
              <w:jc w:val="center"/>
              <w:rPr>
                <w:color w:val="auto"/>
                <w:kern w:val="0"/>
                <w:sz w:val="24"/>
                <w:szCs w:val="21"/>
              </w:rPr>
            </w:pPr>
            <w:r>
              <w:rPr>
                <w:color w:val="auto"/>
                <w:sz w:val="24"/>
                <w:szCs w:val="21"/>
              </w:rPr>
              <w:t>规划环境影响评价情况</w:t>
            </w:r>
          </w:p>
        </w:tc>
        <w:tc>
          <w:tcPr>
            <w:tcW w:w="7311" w:type="dxa"/>
            <w:gridSpan w:val="3"/>
            <w:vAlign w:val="center"/>
          </w:tcPr>
          <w:p>
            <w:pPr>
              <w:widowControl/>
              <w:spacing w:line="360" w:lineRule="auto"/>
              <w:ind w:firstLine="480" w:firstLineChars="200"/>
              <w:jc w:val="left"/>
              <w:rPr>
                <w:color w:val="auto"/>
                <w:kern w:val="0"/>
                <w:sz w:val="24"/>
                <w:lang w:bidi="ar"/>
              </w:rPr>
            </w:pPr>
            <w:r>
              <w:rPr>
                <w:color w:val="auto"/>
                <w:kern w:val="0"/>
                <w:sz w:val="24"/>
                <w:lang w:bidi="ar"/>
              </w:rPr>
              <w:t>规划环评名称：《福州临空经济区产业布局规划（2021-2025年）</w:t>
            </w:r>
            <w:r>
              <w:rPr>
                <w:rFonts w:hint="eastAsia"/>
                <w:color w:val="auto"/>
                <w:kern w:val="0"/>
                <w:sz w:val="24"/>
                <w:lang w:eastAsia="zh-CN" w:bidi="ar"/>
              </w:rPr>
              <w:t>（</w:t>
            </w:r>
            <w:r>
              <w:rPr>
                <w:color w:val="auto"/>
                <w:kern w:val="0"/>
                <w:sz w:val="24"/>
                <w:lang w:bidi="ar"/>
              </w:rPr>
              <w:t>修编</w:t>
            </w:r>
            <w:r>
              <w:rPr>
                <w:rFonts w:hint="eastAsia"/>
                <w:color w:val="auto"/>
                <w:kern w:val="0"/>
                <w:sz w:val="24"/>
                <w:lang w:eastAsia="zh-CN" w:bidi="ar"/>
              </w:rPr>
              <w:t>）</w:t>
            </w:r>
            <w:r>
              <w:rPr>
                <w:color w:val="auto"/>
                <w:kern w:val="0"/>
                <w:sz w:val="24"/>
                <w:lang w:bidi="ar"/>
              </w:rPr>
              <w:t>环境影响报告书》</w:t>
            </w:r>
          </w:p>
          <w:p>
            <w:pPr>
              <w:widowControl/>
              <w:spacing w:line="360" w:lineRule="auto"/>
              <w:ind w:firstLine="480" w:firstLineChars="200"/>
              <w:jc w:val="left"/>
              <w:rPr>
                <w:color w:val="auto"/>
                <w:kern w:val="0"/>
                <w:sz w:val="24"/>
                <w:lang w:bidi="ar"/>
              </w:rPr>
            </w:pPr>
            <w:r>
              <w:rPr>
                <w:color w:val="auto"/>
                <w:kern w:val="0"/>
                <w:sz w:val="24"/>
                <w:lang w:bidi="ar"/>
              </w:rPr>
              <w:t>审批机关：福州市生态环境局</w:t>
            </w:r>
          </w:p>
          <w:p>
            <w:pPr>
              <w:widowControl/>
              <w:spacing w:line="360" w:lineRule="auto"/>
              <w:ind w:firstLine="480" w:firstLineChars="200"/>
              <w:jc w:val="left"/>
              <w:rPr>
                <w:color w:val="auto"/>
                <w:kern w:val="0"/>
                <w:sz w:val="24"/>
              </w:rPr>
            </w:pPr>
            <w:r>
              <w:rPr>
                <w:color w:val="auto"/>
                <w:kern w:val="0"/>
                <w:sz w:val="24"/>
                <w:lang w:bidi="ar"/>
              </w:rPr>
              <w:t>审批文件名称及文号：福州市生态环境局关于印发《福州临空经济区产业布局规划（2021-2025年）（修编）环境影响报告书》审查小组意见的通知（榕环评〔2022〕18号）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 w:hRule="atLeast"/>
          <w:jc w:val="center"/>
        </w:trPr>
        <w:tc>
          <w:tcPr>
            <w:tcW w:w="1730" w:type="dxa"/>
            <w:gridSpan w:val="2"/>
            <w:vAlign w:val="center"/>
          </w:tcPr>
          <w:p>
            <w:pPr>
              <w:pStyle w:val="68"/>
              <w:rPr>
                <w:color w:val="auto"/>
                <w:sz w:val="24"/>
                <w:szCs w:val="21"/>
              </w:rPr>
            </w:pPr>
            <w:r>
              <w:rPr>
                <w:color w:val="auto"/>
                <w:sz w:val="24"/>
                <w:szCs w:val="21"/>
              </w:rPr>
              <w:t>规划及规划环境影响评价符合性</w:t>
            </w:r>
          </w:p>
          <w:p>
            <w:pPr>
              <w:pStyle w:val="68"/>
              <w:rPr>
                <w:b/>
                <w:color w:val="auto"/>
                <w:sz w:val="24"/>
              </w:rPr>
            </w:pPr>
            <w:r>
              <w:rPr>
                <w:color w:val="auto"/>
                <w:sz w:val="24"/>
                <w:szCs w:val="21"/>
              </w:rPr>
              <w:t>分析</w:t>
            </w:r>
          </w:p>
        </w:tc>
        <w:tc>
          <w:tcPr>
            <w:tcW w:w="7311" w:type="dxa"/>
            <w:gridSpan w:val="3"/>
            <w:vAlign w:val="center"/>
          </w:tcPr>
          <w:p>
            <w:pPr>
              <w:pStyle w:val="68"/>
              <w:adjustRightInd/>
              <w:snapToGrid/>
              <w:spacing w:line="360" w:lineRule="auto"/>
              <w:jc w:val="both"/>
              <w:rPr>
                <w:b/>
                <w:color w:val="auto"/>
                <w:sz w:val="24"/>
              </w:rPr>
            </w:pPr>
            <w:r>
              <w:rPr>
                <w:rFonts w:hint="eastAsia"/>
                <w:b/>
                <w:color w:val="auto"/>
                <w:sz w:val="24"/>
              </w:rPr>
              <w:t>1、与《福州临空经济区产业布局规划》符合性分析</w:t>
            </w:r>
          </w:p>
          <w:p>
            <w:pPr>
              <w:pStyle w:val="68"/>
              <w:adjustRightInd/>
              <w:snapToGrid/>
              <w:spacing w:line="360" w:lineRule="auto"/>
              <w:ind w:firstLine="480" w:firstLineChars="200"/>
              <w:jc w:val="both"/>
              <w:rPr>
                <w:rFonts w:hint="default" w:eastAsia="宋体"/>
                <w:color w:val="auto"/>
                <w:sz w:val="24"/>
                <w:lang w:val="en-US" w:eastAsia="zh-CN"/>
              </w:rPr>
            </w:pPr>
            <w:r>
              <w:rPr>
                <w:color w:val="auto"/>
                <w:sz w:val="24"/>
              </w:rPr>
              <w:t>根据《福州临空经济区产业布局规划（2021-2025年）（修编）》，福州临空经济区产业布局规划范围：东、北面两面临海，西至东绕城高速，南至机场高速，规划范围约174.5平方公里。包括长乐区梅花镇、文岭镇、湖南镇、金峰镇、潭头镇大部、鹤上镇东北部和漳港街道北部。本次规划重点修编范围为“一核一带</w:t>
            </w:r>
            <w:r>
              <w:rPr>
                <w:rFonts w:hint="eastAsia"/>
                <w:color w:val="auto"/>
                <w:sz w:val="24"/>
                <w:lang w:val="en-US" w:eastAsia="zh-CN"/>
              </w:rPr>
              <w:t>三</w:t>
            </w:r>
            <w:r>
              <w:rPr>
                <w:color w:val="auto"/>
                <w:sz w:val="24"/>
              </w:rPr>
              <w:t>片区”共约</w:t>
            </w:r>
            <w:r>
              <w:rPr>
                <w:rFonts w:hint="eastAsia"/>
                <w:color w:val="auto"/>
                <w:sz w:val="24"/>
                <w:lang w:val="en-US" w:eastAsia="zh-CN"/>
              </w:rPr>
              <w:t>76.93</w:t>
            </w:r>
            <w:r>
              <w:rPr>
                <w:color w:val="auto"/>
                <w:sz w:val="24"/>
              </w:rPr>
              <w:t>平方公里范围。规划以2021年为基准年，规划至2025年。</w:t>
            </w:r>
          </w:p>
          <w:p>
            <w:pPr>
              <w:pStyle w:val="68"/>
              <w:adjustRightInd/>
              <w:snapToGrid/>
              <w:spacing w:line="360" w:lineRule="auto"/>
              <w:ind w:firstLine="482" w:firstLineChars="200"/>
              <w:jc w:val="both"/>
              <w:rPr>
                <w:color w:val="auto"/>
                <w:sz w:val="24"/>
              </w:rPr>
            </w:pPr>
            <w:r>
              <w:rPr>
                <w:rFonts w:hint="eastAsia"/>
                <w:b/>
                <w:bCs/>
                <w:color w:val="auto"/>
                <w:sz w:val="24"/>
                <w:lang w:val="en-US" w:eastAsia="zh-CN"/>
              </w:rPr>
              <w:t>空间布局：</w:t>
            </w:r>
            <w:r>
              <w:rPr>
                <w:color w:val="auto"/>
                <w:sz w:val="24"/>
              </w:rPr>
              <w:t>“一核”</w:t>
            </w:r>
            <w:r>
              <w:rPr>
                <w:rFonts w:hint="eastAsia"/>
                <w:color w:val="auto"/>
                <w:sz w:val="24"/>
                <w:lang w:val="en-US" w:eastAsia="zh-CN"/>
              </w:rPr>
              <w:t>规划修编范围21.65平方公里，其中长乐国际机场规划用地20.86平方公里，二类物流用地0.79平方公里，规划主要产业为：现代物流业（航空物流、保税物流、跨境电子商务、时鲜冷链、现代仓储）。</w:t>
            </w:r>
            <w:r>
              <w:rPr>
                <w:color w:val="auto"/>
                <w:sz w:val="24"/>
              </w:rPr>
              <w:t>“一带”</w:t>
            </w:r>
            <w:r>
              <w:rPr>
                <w:rFonts w:hint="eastAsia"/>
                <w:color w:val="auto"/>
                <w:sz w:val="24"/>
              </w:rPr>
              <w:t>规划修编范围29.64平方公里，即以文松路东侧，机场西、北侧为产业聚集带</w:t>
            </w:r>
            <w:r>
              <w:rPr>
                <w:rFonts w:hint="eastAsia"/>
                <w:color w:val="auto"/>
                <w:sz w:val="24"/>
                <w:lang w:eastAsia="zh-CN"/>
              </w:rPr>
              <w:t>，</w:t>
            </w:r>
            <w:r>
              <w:rPr>
                <w:rFonts w:hint="eastAsia"/>
                <w:color w:val="auto"/>
                <w:sz w:val="24"/>
              </w:rPr>
              <w:t>规划主要产业为：1、高端装备制造业（航空制造及零部件、新能源汽车零部件、高端纺织装备、人工智能装备、轨道交通装备等）；2、先进制造业（高端纺织产业、功能性新材料产业、绿色建筑产业和贵金属提纯加工及制品产业）；3、现代物流产业（航空物流、保税物流、跨境电子商务、时鲜冷链、现代仓储）；4、光电产业（光学晶体材料、光学镜头、激光器件、新型显示终端、智能终端等）；5、数字融合产业（智能化基础设施、工业互联网、数字产业生态）。“三片区”即以鹤上片区、潭头片区和梅花片区为产业辐射区，鹤上片区规划修编范围3.45平方公里，主要规划布局高端纺织业等先进制造业和数字融合产业；潭头片区规划修编范围20.59平方公里，主要规划布局先进制造业和高端装备制造业；梅花片区规划修编范围1.60平方公里，主要规划布局现代物流产业和先进制造业。</w:t>
            </w:r>
          </w:p>
          <w:p>
            <w:pPr>
              <w:pStyle w:val="68"/>
              <w:adjustRightInd/>
              <w:snapToGrid/>
              <w:spacing w:line="360" w:lineRule="auto"/>
              <w:ind w:firstLine="482" w:firstLineChars="200"/>
              <w:jc w:val="both"/>
              <w:rPr>
                <w:rFonts w:hint="eastAsia"/>
                <w:color w:val="auto"/>
                <w:sz w:val="24"/>
              </w:rPr>
            </w:pPr>
            <w:r>
              <w:rPr>
                <w:rFonts w:hint="eastAsia"/>
                <w:b/>
                <w:bCs/>
                <w:color w:val="auto"/>
                <w:sz w:val="24"/>
                <w:lang w:val="en-US" w:eastAsia="zh-CN"/>
              </w:rPr>
              <w:t>产业定位：</w:t>
            </w:r>
            <w:r>
              <w:rPr>
                <w:rFonts w:hint="eastAsia"/>
                <w:color w:val="auto"/>
                <w:sz w:val="24"/>
              </w:rPr>
              <w:t>临空经济区规划产业定位紧紧抓住国家推动全国范围内各临空经济区建设发展，以及福州大力支持福州新区发展和加快海丝门户枢纽机场建设的契机，利用空港得天独厚的区位优势，加速形成综合枢纽引致、主导产业引领、龙头企业带动、重点项目依托、专业园区承载、产业生态平衡的国际化、数字化、高端化现代产业集群，</w:t>
            </w:r>
            <w:r>
              <w:rPr>
                <w:rFonts w:hint="eastAsia"/>
                <w:b w:val="0"/>
                <w:bCs w:val="0"/>
                <w:color w:val="auto"/>
                <w:sz w:val="24"/>
              </w:rPr>
              <w:t>加快形成以高端装备产业、先进制造产业、现代物流产业为主导，光电产业</w:t>
            </w:r>
            <w:r>
              <w:rPr>
                <w:rFonts w:hint="eastAsia"/>
                <w:b w:val="0"/>
                <w:bCs w:val="0"/>
                <w:color w:val="auto"/>
                <w:sz w:val="24"/>
                <w:lang w:eastAsia="zh-CN"/>
              </w:rPr>
              <w:t>、</w:t>
            </w:r>
            <w:r>
              <w:rPr>
                <w:rFonts w:hint="eastAsia"/>
                <w:b w:val="0"/>
                <w:bCs w:val="0"/>
                <w:color w:val="auto"/>
                <w:sz w:val="24"/>
              </w:rPr>
              <w:t>数字融合产业为区域产业新增长极的临空产业体系</w:t>
            </w:r>
            <w:r>
              <w:rPr>
                <w:rFonts w:hint="eastAsia"/>
                <w:color w:val="auto"/>
                <w:sz w:val="24"/>
              </w:rPr>
              <w:t>。临空经济区的主导产业为：高端装备产业、先进制造产业、现代物流产业、光电产业和数字融合产业，主导产业体系如</w:t>
            </w:r>
            <w:r>
              <w:rPr>
                <w:rFonts w:hint="eastAsia"/>
                <w:b/>
                <w:bCs/>
                <w:color w:val="auto"/>
                <w:sz w:val="24"/>
              </w:rPr>
              <w:t>图1.1-1</w:t>
            </w:r>
            <w:r>
              <w:rPr>
                <w:rFonts w:hint="eastAsia"/>
                <w:color w:val="auto"/>
                <w:sz w:val="24"/>
              </w:rPr>
              <w:t>所示。</w:t>
            </w:r>
          </w:p>
          <w:p>
            <w:pPr>
              <w:pStyle w:val="68"/>
              <w:adjustRightInd/>
              <w:snapToGrid/>
              <w:spacing w:line="360" w:lineRule="auto"/>
              <w:jc w:val="center"/>
              <w:rPr>
                <w:rFonts w:hint="eastAsia" w:eastAsia="宋体"/>
                <w:color w:val="auto"/>
                <w:sz w:val="24"/>
                <w:lang w:eastAsia="zh-CN"/>
              </w:rPr>
            </w:pPr>
            <w:r>
              <w:rPr>
                <w:color w:val="auto"/>
              </w:rPr>
              <w:drawing>
                <wp:inline distT="0" distB="0" distL="114300" distR="114300">
                  <wp:extent cx="4540885" cy="4066540"/>
                  <wp:effectExtent l="0" t="0" r="635" b="2540"/>
                  <wp:docPr id="2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
                          <pic:cNvPicPr>
                            <a:picLocks noChangeAspect="1"/>
                          </pic:cNvPicPr>
                        </pic:nvPicPr>
                        <pic:blipFill>
                          <a:blip r:embed="rId20"/>
                          <a:stretch>
                            <a:fillRect/>
                          </a:stretch>
                        </pic:blipFill>
                        <pic:spPr>
                          <a:xfrm>
                            <a:off x="0" y="0"/>
                            <a:ext cx="4540885" cy="4066540"/>
                          </a:xfrm>
                          <a:prstGeom prst="rect">
                            <a:avLst/>
                          </a:prstGeom>
                          <a:noFill/>
                          <a:ln>
                            <a:noFill/>
                          </a:ln>
                        </pic:spPr>
                      </pic:pic>
                    </a:graphicData>
                  </a:graphic>
                </wp:inline>
              </w:drawing>
            </w:r>
          </w:p>
          <w:p>
            <w:pPr>
              <w:pStyle w:val="159"/>
              <w:spacing w:line="360" w:lineRule="auto"/>
              <w:jc w:val="center"/>
              <w:rPr>
                <w:rFonts w:hint="default"/>
                <w:color w:val="auto"/>
                <w:lang w:val="en-US" w:eastAsia="zh-CN"/>
              </w:rPr>
            </w:pPr>
            <w:r>
              <w:rPr>
                <w:rFonts w:hint="eastAsia" w:ascii="Times New Roman" w:hAnsi="Times New Roman" w:cs="Times New Roman"/>
                <w:b/>
                <w:snapToGrid w:val="0"/>
                <w:color w:val="auto"/>
                <w:kern w:val="0"/>
                <w:szCs w:val="21"/>
                <w:lang w:val="en-US" w:eastAsia="zh-CN"/>
              </w:rPr>
              <w:t>图1.1-1</w:t>
            </w:r>
            <w:r>
              <w:rPr>
                <w:rFonts w:hint="eastAsia" w:ascii="Times New Roman" w:hAnsi="Times New Roman" w:cs="Times New Roman"/>
                <w:b/>
                <w:snapToGrid w:val="0"/>
                <w:color w:val="auto"/>
                <w:kern w:val="0"/>
                <w:szCs w:val="21"/>
                <w:lang w:eastAsia="zh-CN"/>
              </w:rPr>
              <w:t xml:space="preserve">  临空经济区</w:t>
            </w:r>
            <w:r>
              <w:rPr>
                <w:rFonts w:hint="eastAsia" w:ascii="Times New Roman" w:hAnsi="Times New Roman" w:cs="Times New Roman"/>
                <w:b/>
                <w:snapToGrid w:val="0"/>
                <w:color w:val="auto"/>
                <w:kern w:val="0"/>
                <w:szCs w:val="21"/>
                <w:lang w:val="en-US" w:eastAsia="zh-CN"/>
              </w:rPr>
              <w:t>产业体系图</w:t>
            </w:r>
          </w:p>
          <w:p>
            <w:pPr>
              <w:pStyle w:val="68"/>
              <w:adjustRightInd/>
              <w:snapToGrid/>
              <w:spacing w:line="360" w:lineRule="auto"/>
              <w:ind w:firstLine="482" w:firstLineChars="200"/>
              <w:jc w:val="both"/>
              <w:rPr>
                <w:color w:val="auto"/>
                <w:sz w:val="24"/>
              </w:rPr>
            </w:pPr>
            <w:r>
              <w:rPr>
                <w:rFonts w:hint="default" w:ascii="Times New Roman" w:hAnsi="Times New Roman" w:cs="Times New Roman"/>
                <w:b/>
                <w:bCs/>
                <w:color w:val="auto"/>
                <w:sz w:val="24"/>
              </w:rPr>
              <w:t>符合性分析：</w:t>
            </w:r>
            <w:r>
              <w:rPr>
                <w:rFonts w:hint="default" w:ascii="Times New Roman" w:hAnsi="Times New Roman" w:cs="Times New Roman"/>
                <w:color w:val="auto"/>
                <w:sz w:val="24"/>
              </w:rPr>
              <w:t>扩建项目位于</w:t>
            </w:r>
            <w:r>
              <w:rPr>
                <w:rFonts w:hint="default" w:ascii="Times New Roman" w:hAnsi="Times New Roman" w:cs="Times New Roman"/>
                <w:color w:val="auto"/>
                <w:sz w:val="24"/>
                <w:szCs w:val="21"/>
              </w:rPr>
              <w:t>福建省福州市长乐区漳港街道渡桥村</w:t>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属于临空经济区</w:t>
            </w:r>
            <w:r>
              <w:rPr>
                <w:rFonts w:hint="eastAsia" w:cs="Times New Roman"/>
                <w:color w:val="auto"/>
                <w:sz w:val="24"/>
                <w:lang w:val="en-US" w:eastAsia="zh-CN"/>
              </w:rPr>
              <w:t>潭头片区</w:t>
            </w:r>
            <w:r>
              <w:rPr>
                <w:rFonts w:hint="default" w:ascii="Times New Roman" w:hAnsi="Times New Roman" w:cs="Times New Roman"/>
                <w:color w:val="auto"/>
                <w:sz w:val="24"/>
                <w:lang w:val="en-US" w:eastAsia="zh-CN"/>
              </w:rPr>
              <w:t>内，</w:t>
            </w:r>
            <w:r>
              <w:rPr>
                <w:rFonts w:hint="default" w:ascii="Times New Roman" w:hAnsi="Times New Roman" w:cs="Times New Roman"/>
                <w:color w:val="auto"/>
                <w:sz w:val="24"/>
              </w:rPr>
              <w:t>主要从事复合膜和复合袋的生产，</w:t>
            </w:r>
            <w:r>
              <w:rPr>
                <w:rFonts w:hint="eastAsia" w:cs="Times New Roman"/>
                <w:color w:val="auto"/>
                <w:sz w:val="24"/>
                <w:lang w:val="en-US" w:eastAsia="zh-CN"/>
              </w:rPr>
              <w:t>属于包装行业，</w:t>
            </w:r>
            <w:r>
              <w:rPr>
                <w:rFonts w:hint="default" w:ascii="Times New Roman" w:hAnsi="Times New Roman" w:cs="Times New Roman"/>
                <w:color w:val="auto"/>
                <w:sz w:val="24"/>
              </w:rPr>
              <w:t>不属于主导产业，</w:t>
            </w:r>
            <w:r>
              <w:rPr>
                <w:rFonts w:hint="eastAsia" w:cs="Times New Roman"/>
                <w:color w:val="auto"/>
                <w:sz w:val="24"/>
                <w:lang w:val="en-US" w:eastAsia="zh-CN"/>
              </w:rPr>
              <w:t>但属于主导产业的相关延伸，</w:t>
            </w:r>
            <w:r>
              <w:rPr>
                <w:rFonts w:hint="default" w:ascii="Times New Roman" w:hAnsi="Times New Roman" w:cs="Times New Roman"/>
                <w:color w:val="auto"/>
                <w:sz w:val="24"/>
              </w:rPr>
              <w:t>也不属于禁止、限制项目，</w:t>
            </w:r>
            <w:r>
              <w:rPr>
                <w:rFonts w:hint="eastAsia" w:cs="Times New Roman"/>
                <w:color w:val="auto"/>
                <w:sz w:val="24"/>
                <w:lang w:val="en-US" w:eastAsia="zh-CN"/>
              </w:rPr>
              <w:t>与产业布局规划不冲突，</w:t>
            </w:r>
            <w:r>
              <w:rPr>
                <w:rFonts w:hint="default" w:ascii="Times New Roman" w:hAnsi="Times New Roman" w:cs="Times New Roman"/>
                <w:color w:val="auto"/>
                <w:sz w:val="24"/>
                <w:lang w:val="en-US" w:eastAsia="zh-CN"/>
              </w:rPr>
              <w:t>符合临空经济区“</w:t>
            </w:r>
            <w:r>
              <w:rPr>
                <w:rFonts w:hint="eastAsia" w:cs="Times New Roman"/>
                <w:color w:val="auto"/>
                <w:sz w:val="24"/>
                <w:lang w:val="en-US" w:eastAsia="zh-CN"/>
              </w:rPr>
              <w:t>产业辐射区</w:t>
            </w:r>
            <w:r>
              <w:rPr>
                <w:rFonts w:hint="default" w:ascii="Times New Roman" w:hAnsi="Times New Roman" w:cs="Times New Roman"/>
                <w:color w:val="auto"/>
                <w:sz w:val="24"/>
                <w:lang w:val="en-US" w:eastAsia="zh-CN"/>
              </w:rPr>
              <w:t>”的产业规划。</w:t>
            </w:r>
            <w:r>
              <w:rPr>
                <w:rFonts w:hint="eastAsia"/>
                <w:color w:val="auto"/>
                <w:sz w:val="24"/>
              </w:rPr>
              <w:t>建设单位于2025年2月25日取得了福州市长乐区漳港街道人民政府和福州（长乐）国际航空城管委会同意入驻项目的说明（见</w:t>
            </w:r>
            <w:r>
              <w:rPr>
                <w:rFonts w:hint="eastAsia"/>
                <w:b/>
                <w:bCs/>
                <w:color w:val="auto"/>
                <w:sz w:val="24"/>
              </w:rPr>
              <w:t>附件8</w:t>
            </w:r>
            <w:r>
              <w:rPr>
                <w:rFonts w:hint="eastAsia"/>
                <w:color w:val="auto"/>
                <w:sz w:val="24"/>
              </w:rPr>
              <w:t>），则扩建项目入驻</w:t>
            </w:r>
            <w:r>
              <w:rPr>
                <w:rFonts w:hint="eastAsia"/>
                <w:color w:val="auto"/>
                <w:sz w:val="24"/>
                <w:lang w:val="en-US" w:eastAsia="zh-CN"/>
              </w:rPr>
              <w:t>符合</w:t>
            </w:r>
            <w:r>
              <w:rPr>
                <w:rFonts w:hint="eastAsia"/>
                <w:color w:val="auto"/>
                <w:sz w:val="24"/>
              </w:rPr>
              <w:t>《福州临空经济区产业布局规划（2021-2025年）（修编）》的总体规划和功能定位</w:t>
            </w:r>
            <w:r>
              <w:rPr>
                <w:rFonts w:hint="eastAsia"/>
                <w:color w:val="auto"/>
                <w:sz w:val="24"/>
                <w:lang w:val="en-US" w:eastAsia="zh-CN"/>
              </w:rPr>
              <w:t>要求</w:t>
            </w:r>
            <w:r>
              <w:rPr>
                <w:rFonts w:hint="eastAsia"/>
                <w:color w:val="auto"/>
                <w:sz w:val="24"/>
              </w:rPr>
              <w:t>。</w:t>
            </w:r>
          </w:p>
          <w:p>
            <w:pPr>
              <w:pStyle w:val="68"/>
              <w:numPr>
                <w:ilvl w:val="0"/>
                <w:numId w:val="3"/>
              </w:numPr>
              <w:adjustRightInd/>
              <w:snapToGrid/>
              <w:spacing w:line="360" w:lineRule="auto"/>
              <w:jc w:val="both"/>
              <w:rPr>
                <w:rFonts w:hint="eastAsia"/>
                <w:b/>
                <w:color w:val="auto"/>
                <w:sz w:val="24"/>
              </w:rPr>
            </w:pPr>
            <w:r>
              <w:rPr>
                <w:rFonts w:hint="eastAsia"/>
                <w:b/>
                <w:color w:val="auto"/>
                <w:sz w:val="24"/>
              </w:rPr>
              <w:t>与《福州临空经济区产业布局规划</w:t>
            </w:r>
            <w:r>
              <w:rPr>
                <w:rFonts w:hint="eastAsia"/>
                <w:b/>
                <w:color w:val="auto"/>
                <w:sz w:val="24"/>
                <w:lang w:eastAsia="zh-CN"/>
              </w:rPr>
              <w:t>（</w:t>
            </w:r>
            <w:r>
              <w:rPr>
                <w:rFonts w:hint="eastAsia"/>
                <w:b/>
                <w:color w:val="auto"/>
                <w:sz w:val="24"/>
                <w:lang w:val="en-US" w:eastAsia="zh-CN"/>
              </w:rPr>
              <w:t>2021-2025年</w:t>
            </w:r>
            <w:r>
              <w:rPr>
                <w:rFonts w:hint="eastAsia"/>
                <w:b/>
                <w:color w:val="auto"/>
                <w:sz w:val="24"/>
                <w:lang w:eastAsia="zh-CN"/>
              </w:rPr>
              <w:t>）（</w:t>
            </w:r>
            <w:r>
              <w:rPr>
                <w:rFonts w:hint="eastAsia"/>
                <w:b/>
                <w:color w:val="auto"/>
                <w:sz w:val="24"/>
                <w:lang w:val="en-US" w:eastAsia="zh-CN"/>
              </w:rPr>
              <w:t>修编</w:t>
            </w:r>
            <w:r>
              <w:rPr>
                <w:rFonts w:hint="eastAsia"/>
                <w:b/>
                <w:color w:val="auto"/>
                <w:sz w:val="24"/>
                <w:lang w:eastAsia="zh-CN"/>
              </w:rPr>
              <w:t>）</w:t>
            </w:r>
            <w:r>
              <w:rPr>
                <w:rFonts w:hint="eastAsia"/>
                <w:b/>
                <w:color w:val="auto"/>
                <w:sz w:val="24"/>
              </w:rPr>
              <w:t>环境影响报告书》</w:t>
            </w:r>
            <w:r>
              <w:rPr>
                <w:rFonts w:hint="eastAsia"/>
                <w:b/>
                <w:color w:val="auto"/>
                <w:sz w:val="24"/>
                <w:lang w:val="en-US" w:eastAsia="zh-CN"/>
              </w:rPr>
              <w:t>的符合性分析</w:t>
            </w:r>
          </w:p>
          <w:p>
            <w:pPr>
              <w:pStyle w:val="159"/>
              <w:spacing w:line="359" w:lineRule="auto"/>
              <w:ind w:right="103" w:firstLine="476" w:firstLineChars="200"/>
              <w:rPr>
                <w:rFonts w:hint="eastAsia" w:ascii="Times New Roman" w:hAnsi="Times New Roman" w:cs="Times New Roman"/>
                <w:color w:val="auto"/>
                <w:spacing w:val="-1"/>
                <w:lang w:eastAsia="zh-CN"/>
              </w:rPr>
            </w:pPr>
            <w:r>
              <w:rPr>
                <w:rFonts w:hint="eastAsia" w:ascii="Times New Roman" w:hAnsi="Times New Roman" w:cs="Times New Roman"/>
                <w:color w:val="auto"/>
                <w:spacing w:val="-1"/>
                <w:lang w:val="en-US" w:eastAsia="zh-CN"/>
              </w:rPr>
              <w:t>扩建项目位于临空经济区潭头片区，扩建</w:t>
            </w:r>
            <w:r>
              <w:rPr>
                <w:rFonts w:hint="eastAsia" w:ascii="Times New Roman" w:hAnsi="Times New Roman" w:cs="Times New Roman"/>
                <w:color w:val="auto"/>
                <w:spacing w:val="-1"/>
                <w:lang w:eastAsia="zh-CN"/>
              </w:rPr>
              <w:t>项目与《福州临空经济区产业布局规划（2021-2025年）（修编）环境影响报告书》符合分析如下</w:t>
            </w:r>
            <w:r>
              <w:rPr>
                <w:rFonts w:hint="eastAsia" w:ascii="Times New Roman" w:hAnsi="Times New Roman" w:cs="Times New Roman"/>
                <w:b/>
                <w:bCs/>
                <w:color w:val="auto"/>
                <w:spacing w:val="-1"/>
                <w:lang w:eastAsia="zh-CN"/>
              </w:rPr>
              <w:t>表1.</w:t>
            </w:r>
            <w:r>
              <w:rPr>
                <w:rFonts w:hint="eastAsia" w:ascii="Times New Roman" w:hAnsi="Times New Roman" w:cs="Times New Roman"/>
                <w:b/>
                <w:bCs/>
                <w:color w:val="auto"/>
                <w:spacing w:val="-1"/>
                <w:lang w:val="en-US" w:eastAsia="zh-CN"/>
              </w:rPr>
              <w:t>1</w:t>
            </w:r>
            <w:r>
              <w:rPr>
                <w:rFonts w:hint="eastAsia" w:ascii="Times New Roman" w:hAnsi="Times New Roman" w:cs="Times New Roman"/>
                <w:b/>
                <w:bCs/>
                <w:color w:val="auto"/>
                <w:spacing w:val="-1"/>
                <w:lang w:eastAsia="zh-CN"/>
              </w:rPr>
              <w:t>-</w:t>
            </w:r>
            <w:r>
              <w:rPr>
                <w:rFonts w:hint="eastAsia" w:ascii="Times New Roman" w:hAnsi="Times New Roman" w:cs="Times New Roman"/>
                <w:b/>
                <w:bCs/>
                <w:color w:val="auto"/>
                <w:spacing w:val="-1"/>
                <w:lang w:val="en-US" w:eastAsia="zh-CN"/>
              </w:rPr>
              <w:t>2</w:t>
            </w:r>
            <w:r>
              <w:rPr>
                <w:rFonts w:hint="eastAsia" w:ascii="Times New Roman" w:hAnsi="Times New Roman" w:cs="Times New Roman"/>
                <w:color w:val="auto"/>
                <w:spacing w:val="-1"/>
                <w:lang w:eastAsia="zh-CN"/>
              </w:rPr>
              <w:t>。</w:t>
            </w:r>
          </w:p>
          <w:p>
            <w:pPr>
              <w:pStyle w:val="159"/>
              <w:spacing w:line="240" w:lineRule="auto"/>
              <w:jc w:val="center"/>
              <w:rPr>
                <w:rFonts w:hint="eastAsia"/>
                <w:color w:val="auto"/>
                <w:lang w:eastAsia="zh-CN"/>
              </w:rPr>
            </w:pPr>
            <w:r>
              <w:rPr>
                <w:rFonts w:hint="eastAsia" w:ascii="Times New Roman" w:hAnsi="Times New Roman" w:cs="Times New Roman"/>
                <w:b/>
                <w:snapToGrid w:val="0"/>
                <w:color w:val="auto"/>
                <w:kern w:val="0"/>
                <w:szCs w:val="21"/>
                <w:lang w:eastAsia="zh-CN"/>
              </w:rPr>
              <w:t>表1.1-</w:t>
            </w:r>
            <w:r>
              <w:rPr>
                <w:rFonts w:hint="eastAsia" w:ascii="Times New Roman" w:hAnsi="Times New Roman" w:cs="Times New Roman"/>
                <w:b/>
                <w:snapToGrid w:val="0"/>
                <w:color w:val="auto"/>
                <w:kern w:val="0"/>
                <w:szCs w:val="21"/>
                <w:lang w:val="en-US" w:eastAsia="zh-CN"/>
              </w:rPr>
              <w:t>2</w:t>
            </w:r>
            <w:r>
              <w:rPr>
                <w:rFonts w:hint="eastAsia" w:ascii="Times New Roman" w:hAnsi="Times New Roman" w:cs="Times New Roman"/>
                <w:b/>
                <w:snapToGrid w:val="0"/>
                <w:color w:val="auto"/>
                <w:kern w:val="0"/>
                <w:szCs w:val="21"/>
                <w:lang w:eastAsia="zh-CN"/>
              </w:rPr>
              <w:t xml:space="preserve">  扩建项目与《福州临空经济区产业布局规划（2021-2025年）（修编）环境影响报告书》</w:t>
            </w:r>
            <w:r>
              <w:rPr>
                <w:rFonts w:hint="eastAsia" w:ascii="Times New Roman" w:hAnsi="Times New Roman" w:cs="Times New Roman"/>
                <w:b/>
                <w:snapToGrid w:val="0"/>
                <w:color w:val="auto"/>
                <w:kern w:val="0"/>
                <w:szCs w:val="21"/>
                <w:lang w:val="en-US" w:eastAsia="zh-CN"/>
              </w:rPr>
              <w:t>的</w:t>
            </w:r>
            <w:r>
              <w:rPr>
                <w:rFonts w:hint="eastAsia" w:ascii="Times New Roman" w:hAnsi="Times New Roman" w:cs="Times New Roman"/>
                <w:b/>
                <w:snapToGrid w:val="0"/>
                <w:color w:val="auto"/>
                <w:kern w:val="0"/>
                <w:szCs w:val="21"/>
                <w:lang w:eastAsia="zh-CN"/>
              </w:rPr>
              <w:t>符合</w:t>
            </w:r>
            <w:r>
              <w:rPr>
                <w:rFonts w:hint="eastAsia" w:ascii="Times New Roman" w:hAnsi="Times New Roman" w:cs="Times New Roman"/>
                <w:b/>
                <w:snapToGrid w:val="0"/>
                <w:color w:val="auto"/>
                <w:kern w:val="0"/>
                <w:szCs w:val="21"/>
                <w:lang w:val="en-US" w:eastAsia="zh-CN"/>
              </w:rPr>
              <w:t>性</w:t>
            </w:r>
            <w:r>
              <w:rPr>
                <w:rFonts w:hint="eastAsia" w:ascii="Times New Roman" w:hAnsi="Times New Roman" w:cs="Times New Roman"/>
                <w:b/>
                <w:snapToGrid w:val="0"/>
                <w:color w:val="auto"/>
                <w:kern w:val="0"/>
                <w:szCs w:val="21"/>
                <w:lang w:eastAsia="zh-CN"/>
              </w:rPr>
              <w:t>分析</w:t>
            </w:r>
          </w:p>
          <w:tbl>
            <w:tblPr>
              <w:tblStyle w:val="179"/>
              <w:tblW w:w="7200"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456"/>
              <w:gridCol w:w="925"/>
              <w:gridCol w:w="1370"/>
              <w:gridCol w:w="2410"/>
              <w:gridCol w:w="2039"/>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161" w:type="dxa"/>
                  <w:gridSpan w:val="4"/>
                  <w:tcBorders>
                    <w:tl2br w:val="nil"/>
                    <w:tr2bl w:val="nil"/>
                  </w:tcBorders>
                  <w:vAlign w:val="center"/>
                </w:tcPr>
                <w:p>
                  <w:pPr>
                    <w:jc w:val="center"/>
                    <w:rPr>
                      <w:rStyle w:val="180"/>
                      <w:rFonts w:hint="default" w:ascii="Times New Roman" w:hAnsi="Times New Roman"/>
                      <w:color w:val="auto"/>
                      <w:sz w:val="21"/>
                      <w:szCs w:val="21"/>
                      <w:highlight w:val="none"/>
                    </w:rPr>
                  </w:pPr>
                  <w:r>
                    <w:rPr>
                      <w:rStyle w:val="180"/>
                      <w:rFonts w:hint="default" w:ascii="Times New Roman" w:hAnsi="Times New Roman"/>
                      <w:color w:val="auto"/>
                      <w:sz w:val="21"/>
                      <w:szCs w:val="21"/>
                      <w:highlight w:val="none"/>
                    </w:rPr>
                    <w:t>规划环评</w:t>
                  </w:r>
                  <w:r>
                    <w:rPr>
                      <w:rStyle w:val="180"/>
                      <w:rFonts w:hint="eastAsia"/>
                      <w:color w:val="auto"/>
                      <w:sz w:val="21"/>
                      <w:szCs w:val="21"/>
                      <w:highlight w:val="none"/>
                      <w:lang w:val="en-US" w:eastAsia="zh-CN"/>
                    </w:rPr>
                    <w:t>报告书要求</w:t>
                  </w:r>
                </w:p>
              </w:tc>
              <w:tc>
                <w:tcPr>
                  <w:tcW w:w="2039" w:type="dxa"/>
                  <w:vMerge w:val="restart"/>
                  <w:tcBorders>
                    <w:tl2br w:val="nil"/>
                    <w:tr2bl w:val="nil"/>
                  </w:tcBorders>
                  <w:vAlign w:val="center"/>
                </w:tcPr>
                <w:p>
                  <w:pPr>
                    <w:jc w:val="center"/>
                    <w:rPr>
                      <w:rStyle w:val="180"/>
                      <w:rFonts w:hint="default" w:ascii="Times New Roman" w:hAnsi="Times New Roman"/>
                      <w:color w:val="auto"/>
                      <w:sz w:val="21"/>
                      <w:szCs w:val="21"/>
                      <w:highlight w:val="none"/>
                    </w:rPr>
                  </w:pPr>
                  <w:r>
                    <w:rPr>
                      <w:rStyle w:val="180"/>
                      <w:rFonts w:hint="default" w:ascii="Times New Roman" w:hAnsi="Times New Roman"/>
                      <w:color w:val="auto"/>
                      <w:sz w:val="21"/>
                      <w:szCs w:val="21"/>
                      <w:highlight w:val="none"/>
                    </w:rPr>
                    <w:t>本项目符合性</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56" w:type="dxa"/>
                  <w:vMerge w:val="restart"/>
                  <w:tcBorders>
                    <w:tl2br w:val="nil"/>
                    <w:tr2bl w:val="nil"/>
                  </w:tcBorders>
                  <w:vAlign w:val="center"/>
                </w:tcPr>
                <w:p>
                  <w:pPr>
                    <w:jc w:val="center"/>
                    <w:rPr>
                      <w:rStyle w:val="180"/>
                      <w:rFonts w:hint="default"/>
                      <w:color w:val="auto"/>
                      <w:sz w:val="21"/>
                      <w:szCs w:val="21"/>
                      <w:highlight w:val="none"/>
                      <w:lang w:val="en-US" w:eastAsia="zh-CN"/>
                    </w:rPr>
                  </w:pPr>
                  <w:r>
                    <w:rPr>
                      <w:rStyle w:val="180"/>
                      <w:rFonts w:hint="eastAsia"/>
                      <w:color w:val="auto"/>
                      <w:sz w:val="21"/>
                      <w:szCs w:val="21"/>
                      <w:highlight w:val="none"/>
                      <w:lang w:val="en-US" w:eastAsia="zh-CN"/>
                    </w:rPr>
                    <w:t>临空经济区重点产业区域的环境准入</w:t>
                  </w:r>
                </w:p>
              </w:tc>
              <w:tc>
                <w:tcPr>
                  <w:tcW w:w="925" w:type="dxa"/>
                  <w:tcBorders>
                    <w:tl2br w:val="nil"/>
                    <w:tr2bl w:val="nil"/>
                  </w:tcBorders>
                  <w:shd w:val="clear" w:color="auto" w:fill="auto"/>
                  <w:vAlign w:val="center"/>
                </w:tcPr>
                <w:p>
                  <w:pPr>
                    <w:jc w:val="center"/>
                    <w:rPr>
                      <w:rFonts w:hint="eastAsia" w:ascii="宋体" w:hAnsi="宋体" w:eastAsia="宋体" w:cs="Times New Roman"/>
                      <w:color w:val="auto"/>
                      <w:kern w:val="2"/>
                      <w:sz w:val="21"/>
                      <w:szCs w:val="21"/>
                      <w:highlight w:val="none"/>
                      <w:lang w:val="en-US" w:eastAsia="zh-CN" w:bidi="ar-SA"/>
                    </w:rPr>
                  </w:pPr>
                  <w:r>
                    <w:rPr>
                      <w:rStyle w:val="180"/>
                      <w:rFonts w:hint="eastAsia"/>
                      <w:color w:val="auto"/>
                      <w:sz w:val="21"/>
                      <w:szCs w:val="21"/>
                      <w:highlight w:val="none"/>
                      <w:lang w:val="en-US" w:eastAsia="zh-CN"/>
                    </w:rPr>
                    <w:t>环境管控单元</w:t>
                  </w:r>
                </w:p>
              </w:tc>
              <w:tc>
                <w:tcPr>
                  <w:tcW w:w="1370" w:type="dxa"/>
                  <w:tcBorders>
                    <w:tl2br w:val="nil"/>
                    <w:tr2bl w:val="nil"/>
                  </w:tcBorders>
                  <w:vAlign w:val="center"/>
                </w:tcPr>
                <w:p>
                  <w:pPr>
                    <w:jc w:val="center"/>
                    <w:rPr>
                      <w:rStyle w:val="180"/>
                      <w:rFonts w:hint="default"/>
                      <w:color w:val="auto"/>
                      <w:sz w:val="21"/>
                      <w:szCs w:val="21"/>
                      <w:highlight w:val="none"/>
                      <w:lang w:val="en-US" w:eastAsia="zh-CN"/>
                    </w:rPr>
                  </w:pPr>
                  <w:r>
                    <w:rPr>
                      <w:rStyle w:val="180"/>
                      <w:rFonts w:hint="eastAsia"/>
                      <w:color w:val="auto"/>
                      <w:sz w:val="21"/>
                      <w:szCs w:val="21"/>
                      <w:highlight w:val="none"/>
                      <w:lang w:val="en-US" w:eastAsia="zh-CN"/>
                    </w:rPr>
                    <w:t>产业规划</w:t>
                  </w:r>
                </w:p>
              </w:tc>
              <w:tc>
                <w:tcPr>
                  <w:tcW w:w="2410" w:type="dxa"/>
                  <w:tcBorders>
                    <w:tl2br w:val="nil"/>
                    <w:tr2bl w:val="nil"/>
                  </w:tcBorders>
                  <w:vAlign w:val="center"/>
                </w:tcPr>
                <w:p>
                  <w:pPr>
                    <w:jc w:val="center"/>
                    <w:rPr>
                      <w:rStyle w:val="180"/>
                      <w:rFonts w:hint="default" w:ascii="Times New Roman" w:hAnsi="Times New Roman" w:eastAsia="宋体"/>
                      <w:color w:val="auto"/>
                      <w:sz w:val="21"/>
                      <w:szCs w:val="21"/>
                      <w:highlight w:val="none"/>
                      <w:lang w:val="en-US" w:eastAsia="zh-CN"/>
                    </w:rPr>
                  </w:pPr>
                  <w:r>
                    <w:rPr>
                      <w:rStyle w:val="180"/>
                      <w:rFonts w:hint="eastAsia"/>
                      <w:color w:val="auto"/>
                      <w:sz w:val="21"/>
                      <w:szCs w:val="21"/>
                      <w:highlight w:val="none"/>
                      <w:lang w:val="en-US" w:eastAsia="zh-CN"/>
                    </w:rPr>
                    <w:t>要求</w:t>
                  </w:r>
                </w:p>
              </w:tc>
              <w:tc>
                <w:tcPr>
                  <w:tcW w:w="2039" w:type="dxa"/>
                  <w:vMerge w:val="continue"/>
                  <w:tcBorders>
                    <w:tl2br w:val="nil"/>
                    <w:tr2bl w:val="nil"/>
                  </w:tcBorders>
                  <w:vAlign w:val="center"/>
                </w:tcPr>
                <w:p>
                  <w:pPr>
                    <w:rPr>
                      <w:rStyle w:val="180"/>
                      <w:rFonts w:hint="default" w:ascii="Times New Roman" w:hAnsi="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56" w:type="dxa"/>
                  <w:vMerge w:val="continue"/>
                  <w:tcBorders>
                    <w:tl2br w:val="nil"/>
                    <w:tr2bl w:val="nil"/>
                  </w:tcBorders>
                  <w:vAlign w:val="center"/>
                </w:tcPr>
                <w:p>
                  <w:pPr>
                    <w:jc w:val="center"/>
                    <w:rPr>
                      <w:rStyle w:val="180"/>
                      <w:rFonts w:hint="default" w:ascii="Times New Roman" w:hAnsi="Times New Roman" w:eastAsia="宋体"/>
                      <w:color w:val="auto"/>
                      <w:sz w:val="21"/>
                      <w:szCs w:val="21"/>
                      <w:highlight w:val="none"/>
                      <w:lang w:val="en-US" w:eastAsia="zh-CN"/>
                    </w:rPr>
                  </w:pPr>
                </w:p>
              </w:tc>
              <w:tc>
                <w:tcPr>
                  <w:tcW w:w="925" w:type="dxa"/>
                  <w:tcBorders>
                    <w:tl2br w:val="nil"/>
                    <w:tr2bl w:val="nil"/>
                  </w:tcBorders>
                  <w:shd w:val="clear" w:color="auto" w:fill="auto"/>
                  <w:vAlign w:val="center"/>
                </w:tcPr>
                <w:p>
                  <w:pPr>
                    <w:jc w:val="center"/>
                    <w:rPr>
                      <w:rFonts w:hint="eastAsia" w:ascii="Times New Roman" w:hAnsi="Times New Roman" w:eastAsia="宋体" w:cs="Times New Roman"/>
                      <w:color w:val="auto"/>
                      <w:kern w:val="2"/>
                      <w:sz w:val="21"/>
                      <w:szCs w:val="21"/>
                      <w:highlight w:val="none"/>
                      <w:lang w:val="en-US" w:eastAsia="zh-CN" w:bidi="ar-SA"/>
                    </w:rPr>
                  </w:pPr>
                  <w:r>
                    <w:rPr>
                      <w:rStyle w:val="180"/>
                      <w:rFonts w:hint="eastAsia"/>
                      <w:color w:val="auto"/>
                      <w:sz w:val="21"/>
                      <w:szCs w:val="21"/>
                      <w:highlight w:val="none"/>
                      <w:lang w:val="en-US" w:eastAsia="zh-CN"/>
                    </w:rPr>
                    <w:t>潭头片区</w:t>
                  </w:r>
                </w:p>
              </w:tc>
              <w:tc>
                <w:tcPr>
                  <w:tcW w:w="1370" w:type="dxa"/>
                  <w:tcBorders>
                    <w:tl2br w:val="nil"/>
                    <w:tr2bl w:val="nil"/>
                  </w:tcBorders>
                  <w:vAlign w:val="center"/>
                </w:tcPr>
                <w:p>
                  <w:pPr>
                    <w:jc w:val="center"/>
                    <w:rPr>
                      <w:rStyle w:val="180"/>
                      <w:rFonts w:hint="default"/>
                      <w:color w:val="auto"/>
                      <w:sz w:val="21"/>
                      <w:szCs w:val="21"/>
                      <w:highlight w:val="none"/>
                      <w:lang w:val="en-US" w:eastAsia="zh-CN"/>
                    </w:rPr>
                  </w:pPr>
                  <w:r>
                    <w:rPr>
                      <w:rStyle w:val="180"/>
                      <w:rFonts w:hint="eastAsia"/>
                      <w:color w:val="auto"/>
                      <w:sz w:val="21"/>
                      <w:szCs w:val="21"/>
                      <w:highlight w:val="none"/>
                      <w:lang w:val="en-US" w:eastAsia="zh-CN"/>
                    </w:rPr>
                    <w:t>现区域内暂无工业产业布局，区域规划重组潭头镇、金峰镇和文岭镇产业布局，吸引现有产业向片区集聚，重点发展先进制造业和高端装备产业，加速区域产业技术提升，实现产业规模化、高端化发展</w:t>
                  </w:r>
                </w:p>
              </w:tc>
              <w:tc>
                <w:tcPr>
                  <w:tcW w:w="2410" w:type="dxa"/>
                  <w:tcBorders>
                    <w:tl2br w:val="nil"/>
                    <w:tr2bl w:val="nil"/>
                  </w:tcBorders>
                  <w:vAlign w:val="center"/>
                </w:tcPr>
                <w:p>
                  <w:pPr>
                    <w:rPr>
                      <w:rStyle w:val="180"/>
                      <w:rFonts w:hint="default" w:ascii="Times New Roman" w:hAnsi="Times New Roman"/>
                      <w:color w:val="auto"/>
                      <w:sz w:val="21"/>
                      <w:szCs w:val="21"/>
                      <w:highlight w:val="none"/>
                    </w:rPr>
                  </w:pPr>
                  <w:r>
                    <w:rPr>
                      <w:rStyle w:val="180"/>
                      <w:rFonts w:hint="default" w:ascii="Times New Roman" w:hAnsi="Times New Roman"/>
                      <w:color w:val="auto"/>
                      <w:sz w:val="21"/>
                      <w:szCs w:val="21"/>
                      <w:highlight w:val="none"/>
                    </w:rPr>
                    <w:t>1.准入与片区规划产业一致的低能耗、低水耗、低污染、低风险的高新技术产业项目或国家鼓励类产业项目。</w:t>
                  </w:r>
                </w:p>
                <w:p>
                  <w:pPr>
                    <w:rPr>
                      <w:rStyle w:val="180"/>
                      <w:rFonts w:hint="default" w:ascii="Times New Roman" w:hAnsi="Times New Roman"/>
                      <w:color w:val="auto"/>
                      <w:sz w:val="21"/>
                      <w:szCs w:val="21"/>
                      <w:highlight w:val="none"/>
                    </w:rPr>
                  </w:pPr>
                  <w:r>
                    <w:rPr>
                      <w:rStyle w:val="180"/>
                      <w:rFonts w:hint="default" w:ascii="Times New Roman" w:hAnsi="Times New Roman"/>
                      <w:color w:val="auto"/>
                      <w:sz w:val="21"/>
                      <w:szCs w:val="21"/>
                      <w:highlight w:val="none"/>
                    </w:rPr>
                    <w:t>2.禁止新建电镀、石化、化工项目。</w:t>
                  </w:r>
                </w:p>
                <w:p>
                  <w:pPr>
                    <w:rPr>
                      <w:rStyle w:val="180"/>
                      <w:rFonts w:hint="eastAsia" w:ascii="Times New Roman" w:hAnsi="Times New Roman" w:eastAsia="宋体"/>
                      <w:color w:val="auto"/>
                      <w:sz w:val="21"/>
                      <w:szCs w:val="21"/>
                      <w:highlight w:val="none"/>
                      <w:lang w:eastAsia="zh-CN"/>
                    </w:rPr>
                  </w:pPr>
                  <w:r>
                    <w:rPr>
                      <w:rStyle w:val="180"/>
                      <w:rFonts w:hint="default" w:ascii="Times New Roman" w:hAnsi="Times New Roman"/>
                      <w:color w:val="auto"/>
                      <w:sz w:val="21"/>
                      <w:szCs w:val="21"/>
                      <w:highlight w:val="none"/>
                    </w:rPr>
                    <w:t>3.禁止冶炼项目</w:t>
                  </w:r>
                  <w:r>
                    <w:rPr>
                      <w:rStyle w:val="180"/>
                      <w:rFonts w:hint="eastAsia"/>
                      <w:color w:val="auto"/>
                      <w:sz w:val="21"/>
                      <w:szCs w:val="21"/>
                      <w:highlight w:val="none"/>
                      <w:lang w:eastAsia="zh-CN"/>
                    </w:rPr>
                    <w:t>。</w:t>
                  </w:r>
                </w:p>
                <w:p>
                  <w:pPr>
                    <w:rPr>
                      <w:rStyle w:val="180"/>
                      <w:rFonts w:hint="default" w:ascii="Times New Roman" w:hAnsi="Times New Roman"/>
                      <w:color w:val="auto"/>
                      <w:sz w:val="21"/>
                      <w:szCs w:val="21"/>
                      <w:highlight w:val="none"/>
                    </w:rPr>
                  </w:pPr>
                  <w:r>
                    <w:rPr>
                      <w:rStyle w:val="180"/>
                      <w:rFonts w:hint="default" w:ascii="Times New Roman" w:hAnsi="Times New Roman"/>
                      <w:color w:val="auto"/>
                      <w:sz w:val="21"/>
                      <w:szCs w:val="21"/>
                      <w:highlight w:val="none"/>
                    </w:rPr>
                    <w:t>4.一般建设项目不得占用永久基本农田，重大建设项目选址确实难以避让永久基本农田的，立必须依法依规办理。在土地性质调整及占补措施落实前暂缓开发。</w:t>
                  </w:r>
                </w:p>
              </w:tc>
              <w:tc>
                <w:tcPr>
                  <w:tcW w:w="2039" w:type="dxa"/>
                  <w:tcBorders>
                    <w:tl2br w:val="nil"/>
                    <w:tr2bl w:val="nil"/>
                  </w:tcBorders>
                  <w:vAlign w:val="center"/>
                </w:tcPr>
                <w:p>
                  <w:pPr>
                    <w:rPr>
                      <w:rStyle w:val="180"/>
                      <w:rFonts w:hint="default" w:ascii="Times New Roman" w:hAnsi="Times New Roman" w:eastAsia="宋体"/>
                      <w:color w:val="auto"/>
                      <w:sz w:val="21"/>
                      <w:szCs w:val="21"/>
                      <w:highlight w:val="none"/>
                      <w:lang w:val="en-US" w:eastAsia="zh-CN"/>
                    </w:rPr>
                  </w:pPr>
                  <w:r>
                    <w:rPr>
                      <w:rStyle w:val="180"/>
                      <w:rFonts w:hint="default" w:ascii="Times New Roman" w:hAnsi="Times New Roman"/>
                      <w:color w:val="auto"/>
                      <w:sz w:val="21"/>
                      <w:szCs w:val="21"/>
                      <w:highlight w:val="none"/>
                    </w:rPr>
                    <w:t>符合。扩建项目</w:t>
                  </w:r>
                  <w:r>
                    <w:rPr>
                      <w:rStyle w:val="180"/>
                      <w:rFonts w:hint="eastAsia"/>
                      <w:color w:val="auto"/>
                      <w:sz w:val="21"/>
                      <w:szCs w:val="21"/>
                      <w:highlight w:val="none"/>
                      <w:lang w:val="en-US" w:eastAsia="zh-CN"/>
                    </w:rPr>
                    <w:t>属于临空经济区潭头片区，厂区用地属于工业用地，</w:t>
                  </w:r>
                  <w:r>
                    <w:rPr>
                      <w:rStyle w:val="180"/>
                      <w:rFonts w:hint="default" w:ascii="Times New Roman" w:hAnsi="Times New Roman"/>
                      <w:color w:val="auto"/>
                      <w:sz w:val="21"/>
                      <w:szCs w:val="21"/>
                      <w:highlight w:val="none"/>
                    </w:rPr>
                    <w:t>主要从事复合膜和复合袋生产，</w:t>
                  </w:r>
                  <w:r>
                    <w:rPr>
                      <w:rStyle w:val="180"/>
                      <w:rFonts w:hint="eastAsia"/>
                      <w:color w:val="auto"/>
                      <w:sz w:val="21"/>
                      <w:szCs w:val="21"/>
                      <w:highlight w:val="none"/>
                      <w:lang w:val="en-US" w:eastAsia="zh-CN"/>
                    </w:rPr>
                    <w:t>与临空经济区产业发展定位不冲突</w:t>
                  </w:r>
                  <w:r>
                    <w:rPr>
                      <w:rStyle w:val="180"/>
                      <w:rFonts w:hint="default" w:ascii="Times New Roman" w:hAnsi="Times New Roman"/>
                      <w:color w:val="auto"/>
                      <w:sz w:val="21"/>
                      <w:szCs w:val="21"/>
                      <w:highlight w:val="none"/>
                    </w:rPr>
                    <w:t>，</w:t>
                  </w:r>
                  <w:r>
                    <w:rPr>
                      <w:rStyle w:val="180"/>
                      <w:rFonts w:hint="eastAsia"/>
                      <w:color w:val="auto"/>
                      <w:sz w:val="21"/>
                      <w:szCs w:val="21"/>
                      <w:highlight w:val="none"/>
                      <w:lang w:val="en-US" w:eastAsia="zh-CN"/>
                    </w:rPr>
                    <w:t>属于低能耗、低水耗、低污染、低风险的项目，不属于</w:t>
                  </w:r>
                  <w:r>
                    <w:rPr>
                      <w:rStyle w:val="180"/>
                      <w:rFonts w:hint="default" w:ascii="Times New Roman" w:hAnsi="Times New Roman"/>
                      <w:color w:val="auto"/>
                      <w:sz w:val="21"/>
                      <w:szCs w:val="21"/>
                      <w:highlight w:val="none"/>
                    </w:rPr>
                    <w:t>电镀、石化、化工</w:t>
                  </w:r>
                  <w:r>
                    <w:rPr>
                      <w:rStyle w:val="180"/>
                      <w:rFonts w:hint="eastAsia"/>
                      <w:color w:val="auto"/>
                      <w:sz w:val="21"/>
                      <w:szCs w:val="21"/>
                      <w:highlight w:val="none"/>
                      <w:lang w:eastAsia="zh-CN"/>
                    </w:rPr>
                    <w:t>、</w:t>
                  </w:r>
                  <w:r>
                    <w:rPr>
                      <w:rStyle w:val="180"/>
                      <w:rFonts w:hint="eastAsia"/>
                      <w:color w:val="auto"/>
                      <w:sz w:val="21"/>
                      <w:szCs w:val="21"/>
                      <w:highlight w:val="none"/>
                      <w:lang w:val="en-US" w:eastAsia="zh-CN"/>
                    </w:rPr>
                    <w:t>冶炼项目。</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2751" w:type="dxa"/>
                  <w:gridSpan w:val="3"/>
                  <w:tcBorders>
                    <w:tl2br w:val="nil"/>
                    <w:tr2bl w:val="nil"/>
                  </w:tcBorders>
                  <w:vAlign w:val="center"/>
                </w:tcPr>
                <w:p>
                  <w:pPr>
                    <w:jc w:val="center"/>
                    <w:rPr>
                      <w:rStyle w:val="180"/>
                      <w:rFonts w:hint="eastAsia" w:ascii="Times New Roman" w:hAnsi="Times New Roman" w:eastAsia="宋体"/>
                      <w:color w:val="auto"/>
                      <w:sz w:val="21"/>
                      <w:szCs w:val="21"/>
                      <w:highlight w:val="none"/>
                      <w:lang w:eastAsia="zh-CN"/>
                    </w:rPr>
                  </w:pPr>
                  <w:r>
                    <w:rPr>
                      <w:rStyle w:val="180"/>
                      <w:rFonts w:hint="eastAsia"/>
                      <w:color w:val="auto"/>
                      <w:sz w:val="21"/>
                      <w:szCs w:val="21"/>
                      <w:highlight w:val="none"/>
                      <w:lang w:val="en-US" w:eastAsia="zh-CN"/>
                    </w:rPr>
                    <w:t>环境准入与负面清单要求</w:t>
                  </w:r>
                </w:p>
              </w:tc>
              <w:tc>
                <w:tcPr>
                  <w:tcW w:w="2410" w:type="dxa"/>
                  <w:tcBorders>
                    <w:tl2br w:val="nil"/>
                    <w:tr2bl w:val="nil"/>
                  </w:tcBorders>
                  <w:vAlign w:val="center"/>
                </w:tcPr>
                <w:p>
                  <w:pPr>
                    <w:rPr>
                      <w:rStyle w:val="180"/>
                      <w:rFonts w:hint="eastAsia"/>
                      <w:color w:val="auto"/>
                      <w:sz w:val="21"/>
                      <w:szCs w:val="21"/>
                      <w:highlight w:val="none"/>
                      <w:lang w:eastAsia="zh-CN"/>
                    </w:rPr>
                  </w:pPr>
                  <w:r>
                    <w:rPr>
                      <w:rStyle w:val="180"/>
                      <w:rFonts w:hint="eastAsia"/>
                      <w:color w:val="auto"/>
                      <w:sz w:val="21"/>
                      <w:szCs w:val="21"/>
                      <w:highlight w:val="none"/>
                      <w:lang w:val="en-US" w:eastAsia="zh-CN"/>
                    </w:rPr>
                    <w:t>1.</w:t>
                  </w:r>
                  <w:r>
                    <w:rPr>
                      <w:rStyle w:val="180"/>
                      <w:rFonts w:hint="default" w:ascii="Times New Roman" w:hAnsi="Times New Roman"/>
                      <w:color w:val="auto"/>
                      <w:sz w:val="21"/>
                      <w:szCs w:val="21"/>
                      <w:highlight w:val="none"/>
                    </w:rPr>
                    <w:t>不属于</w:t>
                  </w:r>
                  <w:r>
                    <w:rPr>
                      <w:rStyle w:val="180"/>
                      <w:rFonts w:hint="eastAsia"/>
                      <w:color w:val="auto"/>
                      <w:sz w:val="21"/>
                      <w:szCs w:val="21"/>
                      <w:highlight w:val="none"/>
                      <w:lang w:eastAsia="zh-CN"/>
                    </w:rPr>
                    <w:t>《</w:t>
                  </w:r>
                  <w:r>
                    <w:rPr>
                      <w:rStyle w:val="180"/>
                      <w:rFonts w:hint="default" w:ascii="Times New Roman" w:hAnsi="Times New Roman"/>
                      <w:color w:val="auto"/>
                      <w:sz w:val="21"/>
                      <w:szCs w:val="21"/>
                      <w:highlight w:val="none"/>
                    </w:rPr>
                    <w:t>产业结构调整指导目录</w:t>
                  </w:r>
                  <w:r>
                    <w:rPr>
                      <w:rStyle w:val="180"/>
                      <w:rFonts w:hint="eastAsia"/>
                      <w:color w:val="auto"/>
                      <w:sz w:val="21"/>
                      <w:szCs w:val="21"/>
                      <w:highlight w:val="none"/>
                      <w:lang w:eastAsia="zh-CN"/>
                    </w:rPr>
                    <w:t>》</w:t>
                  </w:r>
                  <w:r>
                    <w:rPr>
                      <w:rStyle w:val="180"/>
                      <w:rFonts w:hint="default" w:ascii="Times New Roman" w:hAnsi="Times New Roman"/>
                      <w:color w:val="auto"/>
                      <w:sz w:val="21"/>
                      <w:szCs w:val="21"/>
                      <w:highlight w:val="none"/>
                    </w:rPr>
                    <w:t>(2019年本)中淘汰类、限制类</w:t>
                  </w:r>
                  <w:r>
                    <w:rPr>
                      <w:rStyle w:val="180"/>
                      <w:rFonts w:hint="eastAsia"/>
                      <w:color w:val="auto"/>
                      <w:sz w:val="21"/>
                      <w:szCs w:val="21"/>
                      <w:highlight w:val="none"/>
                      <w:lang w:eastAsia="zh-CN"/>
                    </w:rPr>
                    <w:t>。</w:t>
                  </w:r>
                </w:p>
                <w:p>
                  <w:pPr>
                    <w:rPr>
                      <w:rStyle w:val="180"/>
                      <w:rFonts w:hint="eastAsia"/>
                      <w:color w:val="auto"/>
                      <w:sz w:val="21"/>
                      <w:szCs w:val="21"/>
                      <w:highlight w:val="none"/>
                      <w:lang w:eastAsia="zh-CN"/>
                    </w:rPr>
                  </w:pPr>
                  <w:r>
                    <w:rPr>
                      <w:rStyle w:val="180"/>
                      <w:rFonts w:hint="default" w:ascii="Times New Roman" w:hAnsi="Times New Roman"/>
                      <w:color w:val="auto"/>
                      <w:sz w:val="21"/>
                      <w:szCs w:val="21"/>
                      <w:highlight w:val="none"/>
                    </w:rPr>
                    <w:t>2</w:t>
                  </w:r>
                  <w:r>
                    <w:rPr>
                      <w:rStyle w:val="180"/>
                      <w:rFonts w:hint="eastAsia"/>
                      <w:color w:val="auto"/>
                      <w:sz w:val="21"/>
                      <w:szCs w:val="21"/>
                      <w:highlight w:val="none"/>
                      <w:lang w:eastAsia="zh-CN"/>
                    </w:rPr>
                    <w:t>.</w:t>
                  </w:r>
                  <w:r>
                    <w:rPr>
                      <w:rStyle w:val="180"/>
                      <w:rFonts w:hint="default" w:ascii="Times New Roman" w:hAnsi="Times New Roman"/>
                      <w:color w:val="auto"/>
                      <w:sz w:val="21"/>
                      <w:szCs w:val="21"/>
                      <w:highlight w:val="none"/>
                    </w:rPr>
                    <w:t>满足</w:t>
                  </w:r>
                  <w:r>
                    <w:rPr>
                      <w:rStyle w:val="180"/>
                      <w:rFonts w:hint="eastAsia"/>
                      <w:color w:val="auto"/>
                      <w:sz w:val="21"/>
                      <w:szCs w:val="21"/>
                      <w:highlight w:val="none"/>
                      <w:lang w:eastAsia="zh-CN"/>
                    </w:rPr>
                    <w:t>《</w:t>
                  </w:r>
                  <w:r>
                    <w:rPr>
                      <w:rStyle w:val="180"/>
                      <w:rFonts w:hint="default" w:ascii="Times New Roman" w:hAnsi="Times New Roman"/>
                      <w:color w:val="auto"/>
                      <w:sz w:val="21"/>
                      <w:szCs w:val="21"/>
                      <w:highlight w:val="none"/>
                    </w:rPr>
                    <w:t>市场准入负面清单(2022年版)</w:t>
                  </w:r>
                  <w:r>
                    <w:rPr>
                      <w:rStyle w:val="180"/>
                      <w:rFonts w:hint="eastAsia"/>
                      <w:color w:val="auto"/>
                      <w:sz w:val="21"/>
                      <w:szCs w:val="21"/>
                      <w:highlight w:val="none"/>
                      <w:lang w:eastAsia="zh-CN"/>
                    </w:rPr>
                    <w:t>》。</w:t>
                  </w:r>
                </w:p>
                <w:p>
                  <w:pPr>
                    <w:rPr>
                      <w:rStyle w:val="180"/>
                      <w:rFonts w:hint="eastAsia"/>
                      <w:color w:val="auto"/>
                      <w:sz w:val="21"/>
                      <w:szCs w:val="21"/>
                      <w:highlight w:val="none"/>
                      <w:lang w:eastAsia="zh-CN"/>
                    </w:rPr>
                  </w:pPr>
                  <w:r>
                    <w:rPr>
                      <w:rStyle w:val="180"/>
                      <w:rFonts w:hint="default" w:ascii="Times New Roman" w:hAnsi="Times New Roman"/>
                      <w:color w:val="auto"/>
                      <w:sz w:val="21"/>
                      <w:szCs w:val="21"/>
                      <w:highlight w:val="none"/>
                    </w:rPr>
                    <w:t>3</w:t>
                  </w:r>
                  <w:r>
                    <w:rPr>
                      <w:rStyle w:val="180"/>
                      <w:rFonts w:hint="eastAsia"/>
                      <w:color w:val="auto"/>
                      <w:sz w:val="21"/>
                      <w:szCs w:val="21"/>
                      <w:highlight w:val="none"/>
                      <w:lang w:eastAsia="zh-CN"/>
                    </w:rPr>
                    <w:t>.</w:t>
                  </w:r>
                  <w:r>
                    <w:rPr>
                      <w:rStyle w:val="180"/>
                      <w:rFonts w:hint="default" w:ascii="Times New Roman" w:hAnsi="Times New Roman"/>
                      <w:color w:val="auto"/>
                      <w:sz w:val="21"/>
                      <w:szCs w:val="21"/>
                      <w:highlight w:val="none"/>
                    </w:rPr>
                    <w:t>不属于</w:t>
                  </w:r>
                  <w:r>
                    <w:rPr>
                      <w:rStyle w:val="180"/>
                      <w:rFonts w:hint="eastAsia"/>
                      <w:color w:val="auto"/>
                      <w:sz w:val="21"/>
                      <w:szCs w:val="21"/>
                      <w:highlight w:val="none"/>
                      <w:lang w:eastAsia="zh-CN"/>
                    </w:rPr>
                    <w:t>《</w:t>
                  </w:r>
                  <w:r>
                    <w:rPr>
                      <w:rStyle w:val="180"/>
                      <w:rFonts w:hint="default" w:ascii="Times New Roman" w:hAnsi="Times New Roman"/>
                      <w:color w:val="auto"/>
                      <w:sz w:val="21"/>
                      <w:szCs w:val="21"/>
                      <w:highlight w:val="none"/>
                    </w:rPr>
                    <w:t>福建省人民政府关于加强重点流域水环境</w:t>
                  </w:r>
                  <w:r>
                    <w:rPr>
                      <w:rStyle w:val="180"/>
                      <w:rFonts w:hint="eastAsia"/>
                      <w:color w:val="auto"/>
                      <w:sz w:val="21"/>
                      <w:szCs w:val="21"/>
                      <w:highlight w:val="none"/>
                      <w:lang w:eastAsia="zh-CN"/>
                    </w:rPr>
                    <w:t>综合</w:t>
                  </w:r>
                  <w:r>
                    <w:rPr>
                      <w:rStyle w:val="180"/>
                      <w:rFonts w:hint="default" w:ascii="Times New Roman" w:hAnsi="Times New Roman"/>
                      <w:color w:val="auto"/>
                      <w:sz w:val="21"/>
                      <w:szCs w:val="21"/>
                      <w:highlight w:val="none"/>
                    </w:rPr>
                    <w:t>整治的意见</w:t>
                  </w:r>
                  <w:r>
                    <w:rPr>
                      <w:rStyle w:val="180"/>
                      <w:rFonts w:hint="eastAsia"/>
                      <w:color w:val="auto"/>
                      <w:sz w:val="21"/>
                      <w:szCs w:val="21"/>
                      <w:highlight w:val="none"/>
                      <w:lang w:eastAsia="zh-CN"/>
                    </w:rPr>
                    <w:t>》</w:t>
                  </w:r>
                  <w:r>
                    <w:rPr>
                      <w:rStyle w:val="180"/>
                      <w:rFonts w:hint="default" w:ascii="Times New Roman" w:hAnsi="Times New Roman"/>
                      <w:color w:val="auto"/>
                      <w:sz w:val="21"/>
                      <w:szCs w:val="21"/>
                      <w:highlight w:val="none"/>
                    </w:rPr>
                    <w:t>中禁止的产业</w:t>
                  </w:r>
                  <w:r>
                    <w:rPr>
                      <w:rStyle w:val="180"/>
                      <w:rFonts w:hint="eastAsia"/>
                      <w:color w:val="auto"/>
                      <w:sz w:val="21"/>
                      <w:szCs w:val="21"/>
                      <w:highlight w:val="none"/>
                      <w:lang w:eastAsia="zh-CN"/>
                    </w:rPr>
                    <w:t>。</w:t>
                  </w:r>
                </w:p>
                <w:p>
                  <w:pPr>
                    <w:rPr>
                      <w:rStyle w:val="180"/>
                      <w:rFonts w:hint="eastAsia"/>
                      <w:color w:val="auto"/>
                      <w:sz w:val="21"/>
                      <w:szCs w:val="21"/>
                      <w:highlight w:val="none"/>
                      <w:lang w:eastAsia="zh-CN"/>
                    </w:rPr>
                  </w:pPr>
                  <w:r>
                    <w:rPr>
                      <w:rStyle w:val="180"/>
                      <w:rFonts w:hint="default" w:ascii="Times New Roman" w:hAnsi="Times New Roman"/>
                      <w:color w:val="auto"/>
                      <w:sz w:val="21"/>
                      <w:szCs w:val="21"/>
                      <w:highlight w:val="none"/>
                    </w:rPr>
                    <w:t>4符合</w:t>
                  </w:r>
                  <w:r>
                    <w:rPr>
                      <w:rStyle w:val="180"/>
                      <w:rFonts w:hint="eastAsia"/>
                      <w:color w:val="auto"/>
                      <w:sz w:val="21"/>
                      <w:szCs w:val="21"/>
                      <w:highlight w:val="none"/>
                      <w:lang w:eastAsia="zh-CN"/>
                    </w:rPr>
                    <w:t>《</w:t>
                  </w:r>
                  <w:r>
                    <w:rPr>
                      <w:rStyle w:val="180"/>
                      <w:rFonts w:hint="default" w:ascii="Times New Roman" w:hAnsi="Times New Roman"/>
                      <w:color w:val="auto"/>
                      <w:sz w:val="21"/>
                      <w:szCs w:val="21"/>
                      <w:highlight w:val="none"/>
                    </w:rPr>
                    <w:t>福州市人民政府办公厅关于转发福州市经济和信息化委员会福州滨海新城临空经济区企业及项目准入门槛的通知</w:t>
                  </w:r>
                  <w:r>
                    <w:rPr>
                      <w:rStyle w:val="180"/>
                      <w:rFonts w:hint="eastAsia"/>
                      <w:color w:val="auto"/>
                      <w:sz w:val="21"/>
                      <w:szCs w:val="21"/>
                      <w:highlight w:val="none"/>
                      <w:lang w:eastAsia="zh-CN"/>
                    </w:rPr>
                    <w:t>》。</w:t>
                  </w:r>
                </w:p>
                <w:p>
                  <w:pPr>
                    <w:rPr>
                      <w:rStyle w:val="180"/>
                      <w:rFonts w:hint="default" w:ascii="Times New Roman" w:hAnsi="Times New Roman"/>
                      <w:color w:val="auto"/>
                      <w:sz w:val="21"/>
                      <w:szCs w:val="21"/>
                      <w:highlight w:val="none"/>
                    </w:rPr>
                  </w:pPr>
                  <w:r>
                    <w:rPr>
                      <w:rStyle w:val="180"/>
                      <w:rFonts w:hint="default" w:ascii="Times New Roman" w:hAnsi="Times New Roman"/>
                      <w:color w:val="auto"/>
                      <w:sz w:val="21"/>
                      <w:szCs w:val="21"/>
                      <w:highlight w:val="none"/>
                    </w:rPr>
                    <w:t>5限制发展对机场安全性存在影响，有微波电磁干扰的、高污染、高耗能的产业</w:t>
                  </w:r>
                  <w:r>
                    <w:rPr>
                      <w:rStyle w:val="180"/>
                      <w:rFonts w:hint="eastAsia"/>
                      <w:color w:val="auto"/>
                      <w:sz w:val="21"/>
                      <w:szCs w:val="21"/>
                      <w:highlight w:val="none"/>
                      <w:lang w:eastAsia="zh-CN"/>
                    </w:rPr>
                    <w:t>。</w:t>
                  </w:r>
                </w:p>
              </w:tc>
              <w:tc>
                <w:tcPr>
                  <w:tcW w:w="2039" w:type="dxa"/>
                  <w:tcBorders>
                    <w:tl2br w:val="nil"/>
                    <w:tr2bl w:val="nil"/>
                  </w:tcBorders>
                  <w:vAlign w:val="center"/>
                </w:tcPr>
                <w:p>
                  <w:pPr>
                    <w:rPr>
                      <w:rStyle w:val="180"/>
                      <w:rFonts w:hint="eastAsia" w:ascii="Times New Roman" w:hAnsi="Times New Roman" w:cs="Times New Roman"/>
                      <w:color w:val="auto"/>
                      <w:sz w:val="21"/>
                      <w:szCs w:val="21"/>
                      <w:highlight w:val="none"/>
                      <w:lang w:val="en-US" w:eastAsia="zh-CN"/>
                    </w:rPr>
                  </w:pPr>
                  <w:r>
                    <w:rPr>
                      <w:rStyle w:val="180"/>
                      <w:rFonts w:hint="default" w:ascii="Times New Roman" w:hAnsi="Times New Roman" w:cs="Times New Roman"/>
                      <w:color w:val="auto"/>
                      <w:sz w:val="21"/>
                      <w:szCs w:val="21"/>
                      <w:highlight w:val="none"/>
                    </w:rPr>
                    <w:t>符合。</w:t>
                  </w:r>
                  <w:r>
                    <w:rPr>
                      <w:rStyle w:val="180"/>
                      <w:rFonts w:hint="default" w:ascii="Times New Roman" w:hAnsi="Times New Roman"/>
                      <w:color w:val="auto"/>
                      <w:sz w:val="21"/>
                      <w:szCs w:val="21"/>
                      <w:highlight w:val="none"/>
                    </w:rPr>
                    <w:t>扩建项目主要从事复合膜和复合袋生产，</w:t>
                  </w:r>
                  <w:r>
                    <w:rPr>
                      <w:rStyle w:val="180"/>
                      <w:rFonts w:hint="default" w:ascii="Times New Roman" w:hAnsi="Times New Roman" w:cs="Times New Roman"/>
                      <w:color w:val="auto"/>
                      <w:sz w:val="21"/>
                      <w:szCs w:val="21"/>
                      <w:highlight w:val="none"/>
                      <w:lang w:val="en-US" w:eastAsia="zh-CN"/>
                    </w:rPr>
                    <w:t>1.对照《产业结构调整指导目录（2024年本）》，扩建项目不属于其中限制类、淘汰类项目，符合国家产业政策要求。2.</w:t>
                  </w:r>
                  <w:r>
                    <w:rPr>
                      <w:rStyle w:val="180"/>
                      <w:rFonts w:hint="eastAsia" w:ascii="Times New Roman" w:hAnsi="Times New Roman" w:cs="Times New Roman"/>
                      <w:color w:val="auto"/>
                      <w:sz w:val="21"/>
                      <w:szCs w:val="21"/>
                      <w:highlight w:val="none"/>
                      <w:lang w:val="en-US" w:eastAsia="zh-CN"/>
                    </w:rPr>
                    <w:t>不属于</w:t>
                  </w:r>
                  <w:r>
                    <w:rPr>
                      <w:rStyle w:val="180"/>
                      <w:rFonts w:hint="default" w:ascii="Times New Roman" w:hAnsi="Times New Roman" w:cs="Times New Roman"/>
                      <w:color w:val="auto"/>
                      <w:sz w:val="21"/>
                      <w:szCs w:val="21"/>
                      <w:highlight w:val="none"/>
                      <w:lang w:eastAsia="zh-CN"/>
                    </w:rPr>
                    <w:t>《</w:t>
                  </w:r>
                  <w:r>
                    <w:rPr>
                      <w:rStyle w:val="180"/>
                      <w:rFonts w:hint="default" w:ascii="Times New Roman" w:hAnsi="Times New Roman" w:cs="Times New Roman"/>
                      <w:color w:val="auto"/>
                      <w:sz w:val="21"/>
                      <w:szCs w:val="21"/>
                      <w:highlight w:val="none"/>
                    </w:rPr>
                    <w:t>市场准入负面清单(202</w:t>
                  </w:r>
                  <w:r>
                    <w:rPr>
                      <w:rStyle w:val="180"/>
                      <w:rFonts w:hint="default" w:ascii="Times New Roman" w:hAnsi="Times New Roman" w:cs="Times New Roman"/>
                      <w:color w:val="auto"/>
                      <w:sz w:val="21"/>
                      <w:szCs w:val="21"/>
                      <w:highlight w:val="none"/>
                      <w:lang w:val="en-US" w:eastAsia="zh-CN"/>
                    </w:rPr>
                    <w:t>5</w:t>
                  </w:r>
                  <w:r>
                    <w:rPr>
                      <w:rStyle w:val="180"/>
                      <w:rFonts w:hint="default" w:ascii="Times New Roman" w:hAnsi="Times New Roman" w:cs="Times New Roman"/>
                      <w:color w:val="auto"/>
                      <w:sz w:val="21"/>
                      <w:szCs w:val="21"/>
                      <w:highlight w:val="none"/>
                    </w:rPr>
                    <w:t>年版)</w:t>
                  </w:r>
                  <w:r>
                    <w:rPr>
                      <w:rStyle w:val="180"/>
                      <w:rFonts w:hint="default" w:ascii="Times New Roman" w:hAnsi="Times New Roman" w:cs="Times New Roman"/>
                      <w:color w:val="auto"/>
                      <w:sz w:val="21"/>
                      <w:szCs w:val="21"/>
                      <w:highlight w:val="none"/>
                      <w:lang w:eastAsia="zh-CN"/>
                    </w:rPr>
                    <w:t>》</w:t>
                  </w:r>
                  <w:r>
                    <w:rPr>
                      <w:rStyle w:val="180"/>
                      <w:rFonts w:hint="eastAsia" w:ascii="Times New Roman" w:hAnsi="Times New Roman" w:cs="Times New Roman"/>
                      <w:color w:val="auto"/>
                      <w:sz w:val="21"/>
                      <w:szCs w:val="21"/>
                      <w:highlight w:val="none"/>
                      <w:lang w:val="en-US" w:eastAsia="zh-CN"/>
                    </w:rPr>
                    <w:t>中一、禁止准入类项目，也不属于二、许可准入类中（三）制造业禁止项目，满足</w:t>
                  </w:r>
                  <w:r>
                    <w:rPr>
                      <w:rStyle w:val="180"/>
                      <w:rFonts w:hint="default" w:ascii="Times New Roman" w:hAnsi="Times New Roman" w:cs="Times New Roman"/>
                      <w:color w:val="auto"/>
                      <w:sz w:val="21"/>
                      <w:szCs w:val="21"/>
                      <w:highlight w:val="none"/>
                      <w:lang w:eastAsia="zh-CN"/>
                    </w:rPr>
                    <w:t>《</w:t>
                  </w:r>
                  <w:r>
                    <w:rPr>
                      <w:rStyle w:val="180"/>
                      <w:rFonts w:hint="default" w:ascii="Times New Roman" w:hAnsi="Times New Roman" w:cs="Times New Roman"/>
                      <w:color w:val="auto"/>
                      <w:sz w:val="21"/>
                      <w:szCs w:val="21"/>
                      <w:highlight w:val="none"/>
                    </w:rPr>
                    <w:t>市场准入负面清单(202</w:t>
                  </w:r>
                  <w:r>
                    <w:rPr>
                      <w:rStyle w:val="180"/>
                      <w:rFonts w:hint="default" w:ascii="Times New Roman" w:hAnsi="Times New Roman" w:cs="Times New Roman"/>
                      <w:color w:val="auto"/>
                      <w:sz w:val="21"/>
                      <w:szCs w:val="21"/>
                      <w:highlight w:val="none"/>
                      <w:lang w:val="en-US" w:eastAsia="zh-CN"/>
                    </w:rPr>
                    <w:t>5</w:t>
                  </w:r>
                  <w:r>
                    <w:rPr>
                      <w:rStyle w:val="180"/>
                      <w:rFonts w:hint="default" w:ascii="Times New Roman" w:hAnsi="Times New Roman" w:cs="Times New Roman"/>
                      <w:color w:val="auto"/>
                      <w:sz w:val="21"/>
                      <w:szCs w:val="21"/>
                      <w:highlight w:val="none"/>
                    </w:rPr>
                    <w:t>年版)</w:t>
                  </w:r>
                  <w:r>
                    <w:rPr>
                      <w:rStyle w:val="180"/>
                      <w:rFonts w:hint="default" w:ascii="Times New Roman" w:hAnsi="Times New Roman" w:cs="Times New Roman"/>
                      <w:color w:val="auto"/>
                      <w:sz w:val="21"/>
                      <w:szCs w:val="21"/>
                      <w:highlight w:val="none"/>
                      <w:lang w:eastAsia="zh-CN"/>
                    </w:rPr>
                    <w:t>》</w:t>
                  </w:r>
                  <w:r>
                    <w:rPr>
                      <w:rStyle w:val="180"/>
                      <w:rFonts w:hint="eastAsia" w:cs="Times New Roman"/>
                      <w:color w:val="auto"/>
                      <w:sz w:val="21"/>
                      <w:szCs w:val="21"/>
                      <w:highlight w:val="none"/>
                      <w:lang w:eastAsia="zh-CN"/>
                    </w:rPr>
                    <w:t>。</w:t>
                  </w:r>
                </w:p>
                <w:p>
                  <w:pPr>
                    <w:rPr>
                      <w:rStyle w:val="180"/>
                      <w:rFonts w:hint="default"/>
                      <w:color w:val="auto"/>
                      <w:sz w:val="21"/>
                      <w:szCs w:val="21"/>
                      <w:highlight w:val="none"/>
                      <w:lang w:val="en-US" w:eastAsia="zh-CN"/>
                    </w:rPr>
                  </w:pPr>
                  <w:r>
                    <w:rPr>
                      <w:rStyle w:val="180"/>
                      <w:rFonts w:hint="default" w:ascii="Times New Roman" w:hAnsi="Times New Roman" w:cs="Times New Roman"/>
                      <w:color w:val="auto"/>
                      <w:sz w:val="21"/>
                      <w:szCs w:val="21"/>
                      <w:highlight w:val="none"/>
                      <w:lang w:val="en-US" w:eastAsia="zh-CN"/>
                    </w:rPr>
                    <w:t>3.</w:t>
                  </w:r>
                  <w:r>
                    <w:rPr>
                      <w:rStyle w:val="180"/>
                      <w:rFonts w:hint="default" w:ascii="Times New Roman" w:hAnsi="Times New Roman" w:cs="Times New Roman"/>
                      <w:color w:val="auto"/>
                      <w:sz w:val="21"/>
                      <w:szCs w:val="21"/>
                      <w:highlight w:val="none"/>
                    </w:rPr>
                    <w:t>不属于</w:t>
                  </w:r>
                  <w:r>
                    <w:rPr>
                      <w:rStyle w:val="180"/>
                      <w:rFonts w:hint="default" w:ascii="Times New Roman" w:hAnsi="Times New Roman" w:cs="Times New Roman"/>
                      <w:color w:val="auto"/>
                      <w:sz w:val="21"/>
                      <w:szCs w:val="21"/>
                      <w:highlight w:val="none"/>
                      <w:lang w:eastAsia="zh-CN"/>
                    </w:rPr>
                    <w:t>《</w:t>
                  </w:r>
                  <w:r>
                    <w:rPr>
                      <w:rStyle w:val="180"/>
                      <w:rFonts w:hint="default" w:ascii="Times New Roman" w:hAnsi="Times New Roman" w:cs="Times New Roman"/>
                      <w:color w:val="auto"/>
                      <w:sz w:val="21"/>
                      <w:szCs w:val="21"/>
                      <w:highlight w:val="none"/>
                    </w:rPr>
                    <w:t>福建省人民政府关于加强重点流域水环境</w:t>
                  </w:r>
                  <w:r>
                    <w:rPr>
                      <w:rStyle w:val="180"/>
                      <w:rFonts w:hint="eastAsia" w:cs="Times New Roman"/>
                      <w:color w:val="auto"/>
                      <w:sz w:val="21"/>
                      <w:szCs w:val="21"/>
                      <w:highlight w:val="none"/>
                      <w:lang w:eastAsia="zh-CN"/>
                    </w:rPr>
                    <w:t>综合</w:t>
                  </w:r>
                  <w:r>
                    <w:rPr>
                      <w:rStyle w:val="180"/>
                      <w:rFonts w:hint="default" w:ascii="Times New Roman" w:hAnsi="Times New Roman" w:cs="Times New Roman"/>
                      <w:color w:val="auto"/>
                      <w:sz w:val="21"/>
                      <w:szCs w:val="21"/>
                      <w:highlight w:val="none"/>
                    </w:rPr>
                    <w:t>整治的意见</w:t>
                  </w:r>
                  <w:r>
                    <w:rPr>
                      <w:rStyle w:val="180"/>
                      <w:rFonts w:hint="default" w:ascii="Times New Roman" w:hAnsi="Times New Roman" w:cs="Times New Roman"/>
                      <w:color w:val="auto"/>
                      <w:sz w:val="21"/>
                      <w:szCs w:val="21"/>
                      <w:highlight w:val="none"/>
                      <w:lang w:eastAsia="zh-CN"/>
                    </w:rPr>
                    <w:t>》</w:t>
                  </w:r>
                  <w:r>
                    <w:rPr>
                      <w:rStyle w:val="180"/>
                      <w:rFonts w:hint="default" w:ascii="Times New Roman" w:hAnsi="Times New Roman" w:cs="Times New Roman"/>
                      <w:color w:val="auto"/>
                      <w:sz w:val="21"/>
                      <w:szCs w:val="21"/>
                      <w:highlight w:val="none"/>
                    </w:rPr>
                    <w:t>中</w:t>
                  </w:r>
                  <w:bookmarkStart w:id="33" w:name="_GoBack"/>
                  <w:bookmarkEnd w:id="33"/>
                  <w:r>
                    <w:rPr>
                      <w:rStyle w:val="180"/>
                      <w:rFonts w:hint="default" w:ascii="Times New Roman" w:hAnsi="Times New Roman" w:cs="Times New Roman"/>
                      <w:color w:val="auto"/>
                      <w:sz w:val="21"/>
                      <w:szCs w:val="21"/>
                      <w:highlight w:val="none"/>
                    </w:rPr>
                    <w:t>禁止的产业</w:t>
                  </w:r>
                  <w:r>
                    <w:rPr>
                      <w:rStyle w:val="180"/>
                      <w:rFonts w:hint="default" w:ascii="Times New Roman" w:hAnsi="Times New Roman" w:cs="Times New Roman"/>
                      <w:color w:val="auto"/>
                      <w:sz w:val="21"/>
                      <w:szCs w:val="21"/>
                      <w:highlight w:val="none"/>
                      <w:lang w:eastAsia="zh-CN"/>
                    </w:rPr>
                    <w:t>。</w:t>
                  </w:r>
                  <w:r>
                    <w:rPr>
                      <w:rStyle w:val="180"/>
                      <w:rFonts w:hint="eastAsia" w:ascii="Times New Roman" w:hAnsi="Times New Roman" w:cs="Times New Roman"/>
                      <w:color w:val="auto"/>
                      <w:sz w:val="21"/>
                      <w:szCs w:val="21"/>
                      <w:highlight w:val="none"/>
                      <w:lang w:val="en-US" w:eastAsia="zh-CN"/>
                    </w:rPr>
                    <w:t>4.符合《福州市人民政府办公厅关于转发福州市经济和信息化委员会福州滨海新城临空经济区企业及项目准入门槛的通知》。5.不属于</w:t>
                  </w:r>
                  <w:r>
                    <w:rPr>
                      <w:rStyle w:val="180"/>
                      <w:rFonts w:hint="default" w:ascii="Times New Roman" w:hAnsi="Times New Roman"/>
                      <w:color w:val="auto"/>
                      <w:sz w:val="21"/>
                      <w:szCs w:val="21"/>
                      <w:highlight w:val="none"/>
                    </w:rPr>
                    <w:t>对机场安全性存在影响，有微波电磁干扰的、高污染、高耗能的产业</w:t>
                  </w:r>
                  <w:r>
                    <w:rPr>
                      <w:rStyle w:val="180"/>
                      <w:rFonts w:hint="eastAsia"/>
                      <w:color w:val="auto"/>
                      <w:sz w:val="21"/>
                      <w:szCs w:val="21"/>
                      <w:highlight w:val="none"/>
                      <w:lang w:eastAsia="zh-CN"/>
                    </w:rPr>
                    <w:t>。</w:t>
                  </w:r>
                </w:p>
              </w:tc>
            </w:tr>
          </w:tbl>
          <w:p>
            <w:pPr>
              <w:pStyle w:val="68"/>
              <w:numPr>
                <w:ilvl w:val="0"/>
                <w:numId w:val="3"/>
              </w:numPr>
              <w:adjustRightInd/>
              <w:snapToGrid/>
              <w:spacing w:line="360" w:lineRule="auto"/>
              <w:jc w:val="both"/>
              <w:rPr>
                <w:rFonts w:hint="eastAsia"/>
                <w:b/>
                <w:color w:val="auto"/>
                <w:sz w:val="24"/>
              </w:rPr>
            </w:pPr>
            <w:r>
              <w:rPr>
                <w:rFonts w:hint="eastAsia"/>
                <w:b/>
                <w:color w:val="auto"/>
                <w:sz w:val="24"/>
              </w:rPr>
              <w:t>与《福州临空经济区产业布局规划（2021-2025年）（修编）环境影响报告书》</w:t>
            </w:r>
            <w:r>
              <w:rPr>
                <w:rFonts w:hint="eastAsia"/>
                <w:b/>
                <w:color w:val="auto"/>
                <w:sz w:val="24"/>
                <w:lang w:val="en-US" w:eastAsia="zh-CN"/>
              </w:rPr>
              <w:t>审查小组意见的符合性分析</w:t>
            </w:r>
          </w:p>
          <w:p>
            <w:pPr>
              <w:pStyle w:val="159"/>
              <w:spacing w:line="359" w:lineRule="auto"/>
              <w:ind w:right="103" w:firstLine="476" w:firstLineChars="200"/>
              <w:rPr>
                <w:rFonts w:hint="eastAsia" w:ascii="Times New Roman" w:hAnsi="Times New Roman" w:cs="Times New Roman"/>
                <w:color w:val="auto"/>
                <w:spacing w:val="-1"/>
                <w:lang w:eastAsia="zh-CN"/>
              </w:rPr>
            </w:pPr>
            <w:r>
              <w:rPr>
                <w:rFonts w:hint="eastAsia" w:ascii="Times New Roman" w:hAnsi="Times New Roman" w:cs="Times New Roman"/>
                <w:color w:val="auto"/>
                <w:spacing w:val="-1"/>
                <w:lang w:val="en-US" w:eastAsia="zh-CN"/>
              </w:rPr>
              <w:t>扩建</w:t>
            </w:r>
            <w:r>
              <w:rPr>
                <w:rFonts w:hint="eastAsia" w:ascii="Times New Roman" w:hAnsi="Times New Roman" w:cs="Times New Roman"/>
                <w:color w:val="auto"/>
                <w:spacing w:val="-1"/>
                <w:lang w:eastAsia="zh-CN"/>
              </w:rPr>
              <w:t>项目与《福州临空经济区产业布局规划（2021-2025年）（修编）环境影响报告书》审查小组意见符合分析如下</w:t>
            </w:r>
            <w:r>
              <w:rPr>
                <w:rFonts w:hint="eastAsia" w:ascii="Times New Roman" w:hAnsi="Times New Roman" w:cs="Times New Roman"/>
                <w:b/>
                <w:bCs/>
                <w:color w:val="auto"/>
                <w:spacing w:val="-1"/>
                <w:lang w:eastAsia="zh-CN"/>
              </w:rPr>
              <w:t>表1.</w:t>
            </w:r>
            <w:r>
              <w:rPr>
                <w:rFonts w:hint="eastAsia" w:ascii="Times New Roman" w:hAnsi="Times New Roman" w:cs="Times New Roman"/>
                <w:b/>
                <w:bCs/>
                <w:color w:val="auto"/>
                <w:spacing w:val="-1"/>
                <w:lang w:val="en-US" w:eastAsia="zh-CN"/>
              </w:rPr>
              <w:t>1</w:t>
            </w:r>
            <w:r>
              <w:rPr>
                <w:rFonts w:hint="eastAsia" w:ascii="Times New Roman" w:hAnsi="Times New Roman" w:cs="Times New Roman"/>
                <w:b/>
                <w:bCs/>
                <w:color w:val="auto"/>
                <w:spacing w:val="-1"/>
                <w:lang w:eastAsia="zh-CN"/>
              </w:rPr>
              <w:t>-</w:t>
            </w:r>
            <w:r>
              <w:rPr>
                <w:rFonts w:hint="eastAsia" w:ascii="Times New Roman" w:hAnsi="Times New Roman" w:cs="Times New Roman"/>
                <w:b/>
                <w:bCs/>
                <w:color w:val="auto"/>
                <w:spacing w:val="-1"/>
                <w:lang w:val="en-US" w:eastAsia="zh-CN"/>
              </w:rPr>
              <w:t>3</w:t>
            </w:r>
            <w:r>
              <w:rPr>
                <w:rFonts w:hint="eastAsia" w:ascii="Times New Roman" w:hAnsi="Times New Roman" w:cs="Times New Roman"/>
                <w:color w:val="auto"/>
                <w:spacing w:val="-1"/>
                <w:lang w:eastAsia="zh-CN"/>
              </w:rPr>
              <w:t>。</w:t>
            </w:r>
          </w:p>
          <w:p>
            <w:pPr>
              <w:pStyle w:val="159"/>
              <w:spacing w:line="213" w:lineRule="auto"/>
              <w:jc w:val="center"/>
              <w:rPr>
                <w:rFonts w:hint="eastAsia"/>
                <w:color w:val="auto"/>
                <w:lang w:eastAsia="zh-CN"/>
              </w:rPr>
            </w:pPr>
            <w:r>
              <w:rPr>
                <w:rFonts w:hint="eastAsia" w:ascii="Times New Roman" w:hAnsi="Times New Roman" w:cs="Times New Roman"/>
                <w:b/>
                <w:snapToGrid w:val="0"/>
                <w:color w:val="auto"/>
                <w:kern w:val="0"/>
                <w:szCs w:val="21"/>
                <w:lang w:eastAsia="zh-CN"/>
              </w:rPr>
              <w:t>表1.1-</w:t>
            </w:r>
            <w:r>
              <w:rPr>
                <w:rFonts w:hint="eastAsia" w:ascii="Times New Roman" w:hAnsi="Times New Roman" w:cs="Times New Roman"/>
                <w:b/>
                <w:snapToGrid w:val="0"/>
                <w:color w:val="auto"/>
                <w:kern w:val="0"/>
                <w:szCs w:val="21"/>
                <w:lang w:val="en-US" w:eastAsia="zh-CN"/>
              </w:rPr>
              <w:t>3</w:t>
            </w:r>
            <w:r>
              <w:rPr>
                <w:rFonts w:hint="eastAsia" w:ascii="Times New Roman" w:hAnsi="Times New Roman" w:cs="Times New Roman"/>
                <w:b/>
                <w:snapToGrid w:val="0"/>
                <w:color w:val="auto"/>
                <w:kern w:val="0"/>
                <w:szCs w:val="21"/>
                <w:lang w:eastAsia="zh-CN"/>
              </w:rPr>
              <w:t xml:space="preserve">  扩建项目与《福州临空经济区产业布局规划（2021-2025年）（修编）环境影响报告书》审查小组意见</w:t>
            </w:r>
            <w:r>
              <w:rPr>
                <w:rFonts w:hint="eastAsia" w:ascii="Times New Roman" w:hAnsi="Times New Roman" w:cs="Times New Roman"/>
                <w:b/>
                <w:snapToGrid w:val="0"/>
                <w:color w:val="auto"/>
                <w:kern w:val="0"/>
                <w:szCs w:val="21"/>
                <w:lang w:val="en-US" w:eastAsia="zh-CN"/>
              </w:rPr>
              <w:t>的</w:t>
            </w:r>
            <w:r>
              <w:rPr>
                <w:rFonts w:hint="eastAsia" w:ascii="Times New Roman" w:hAnsi="Times New Roman" w:cs="Times New Roman"/>
                <w:b/>
                <w:snapToGrid w:val="0"/>
                <w:color w:val="auto"/>
                <w:kern w:val="0"/>
                <w:szCs w:val="21"/>
                <w:lang w:eastAsia="zh-CN"/>
              </w:rPr>
              <w:t>符合</w:t>
            </w:r>
            <w:r>
              <w:rPr>
                <w:rFonts w:hint="eastAsia" w:ascii="Times New Roman" w:hAnsi="Times New Roman" w:cs="Times New Roman"/>
                <w:b/>
                <w:snapToGrid w:val="0"/>
                <w:color w:val="auto"/>
                <w:kern w:val="0"/>
                <w:szCs w:val="21"/>
                <w:lang w:val="en-US" w:eastAsia="zh-CN"/>
              </w:rPr>
              <w:t>性</w:t>
            </w:r>
            <w:r>
              <w:rPr>
                <w:rFonts w:hint="eastAsia" w:ascii="Times New Roman" w:hAnsi="Times New Roman" w:cs="Times New Roman"/>
                <w:b/>
                <w:snapToGrid w:val="0"/>
                <w:color w:val="auto"/>
                <w:kern w:val="0"/>
                <w:szCs w:val="21"/>
                <w:lang w:eastAsia="zh-CN"/>
              </w:rPr>
              <w:t>分析</w:t>
            </w:r>
          </w:p>
          <w:tbl>
            <w:tblPr>
              <w:tblStyle w:val="179"/>
              <w:tblW w:w="7200"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438"/>
              <w:gridCol w:w="4133"/>
              <w:gridCol w:w="2629"/>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40" w:hRule="atLeast"/>
                <w:jc w:val="center"/>
              </w:trPr>
              <w:tc>
                <w:tcPr>
                  <w:tcW w:w="438" w:type="dxa"/>
                  <w:tcBorders>
                    <w:tl2br w:val="nil"/>
                    <w:tr2bl w:val="nil"/>
                  </w:tcBorders>
                  <w:textDirection w:val="tbRlV"/>
                  <w:vAlign w:val="center"/>
                </w:tcPr>
                <w:p>
                  <w:pPr>
                    <w:ind w:left="420" w:leftChars="200"/>
                    <w:rPr>
                      <w:rStyle w:val="180"/>
                      <w:rFonts w:hint="default" w:ascii="Times New Roman" w:hAnsi="Times New Roman"/>
                      <w:b/>
                      <w:bCs/>
                      <w:color w:val="auto"/>
                      <w:sz w:val="21"/>
                      <w:szCs w:val="21"/>
                    </w:rPr>
                  </w:pPr>
                  <w:r>
                    <w:rPr>
                      <w:rStyle w:val="180"/>
                      <w:rFonts w:hint="default" w:ascii="Times New Roman" w:hAnsi="Times New Roman"/>
                      <w:color w:val="auto"/>
                      <w:sz w:val="21"/>
                      <w:szCs w:val="21"/>
                    </w:rPr>
                    <w:t>1</w:t>
                  </w:r>
                </w:p>
              </w:tc>
              <w:tc>
                <w:tcPr>
                  <w:tcW w:w="4133" w:type="dxa"/>
                  <w:tcBorders>
                    <w:tl2br w:val="nil"/>
                    <w:tr2bl w:val="nil"/>
                  </w:tcBorders>
                  <w:vAlign w:val="center"/>
                </w:tcPr>
                <w:p>
                  <w:pPr>
                    <w:jc w:val="center"/>
                    <w:rPr>
                      <w:rStyle w:val="180"/>
                      <w:rFonts w:hint="eastAsia" w:ascii="Times New Roman" w:hAnsi="Times New Roman" w:eastAsia="宋体"/>
                      <w:color w:val="auto"/>
                      <w:sz w:val="21"/>
                      <w:szCs w:val="21"/>
                      <w:lang w:val="en-US" w:eastAsia="zh-CN"/>
                    </w:rPr>
                  </w:pPr>
                  <w:r>
                    <w:rPr>
                      <w:rStyle w:val="180"/>
                      <w:rFonts w:hint="default" w:ascii="Times New Roman" w:hAnsi="Times New Roman"/>
                      <w:color w:val="auto"/>
                      <w:sz w:val="21"/>
                      <w:szCs w:val="21"/>
                    </w:rPr>
                    <w:t>审查小组意见</w:t>
                  </w:r>
                  <w:r>
                    <w:rPr>
                      <w:rStyle w:val="180"/>
                      <w:rFonts w:hint="eastAsia"/>
                      <w:color w:val="auto"/>
                      <w:sz w:val="21"/>
                      <w:szCs w:val="21"/>
                      <w:lang w:val="en-US" w:eastAsia="zh-CN"/>
                    </w:rPr>
                    <w:t>要求</w:t>
                  </w:r>
                </w:p>
              </w:tc>
              <w:tc>
                <w:tcPr>
                  <w:tcW w:w="2629" w:type="dxa"/>
                  <w:tcBorders>
                    <w:tl2br w:val="nil"/>
                    <w:tr2bl w:val="nil"/>
                  </w:tcBorders>
                  <w:vAlign w:val="center"/>
                </w:tcPr>
                <w:p>
                  <w:pPr>
                    <w:jc w:val="center"/>
                    <w:rPr>
                      <w:rStyle w:val="180"/>
                      <w:rFonts w:hint="default" w:ascii="Times New Roman" w:hAnsi="Times New Roman"/>
                      <w:color w:val="auto"/>
                      <w:sz w:val="21"/>
                      <w:szCs w:val="21"/>
                    </w:rPr>
                  </w:pPr>
                  <w:r>
                    <w:rPr>
                      <w:rStyle w:val="180"/>
                      <w:rFonts w:hint="default" w:ascii="Times New Roman" w:hAnsi="Times New Roman"/>
                      <w:color w:val="auto"/>
                      <w:sz w:val="21"/>
                      <w:szCs w:val="21"/>
                    </w:rPr>
                    <w:t>本项目符合性</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438" w:type="dxa"/>
                  <w:tcBorders>
                    <w:tl2br w:val="nil"/>
                    <w:tr2bl w:val="nil"/>
                  </w:tcBorders>
                  <w:vAlign w:val="center"/>
                </w:tcPr>
                <w:p>
                  <w:pPr>
                    <w:jc w:val="center"/>
                    <w:rPr>
                      <w:rStyle w:val="180"/>
                      <w:rFonts w:hint="default" w:ascii="Times New Roman" w:hAnsi="Times New Roman" w:eastAsia="宋体"/>
                      <w:color w:val="auto"/>
                      <w:sz w:val="21"/>
                      <w:szCs w:val="21"/>
                      <w:lang w:val="en-US" w:eastAsia="zh-CN"/>
                    </w:rPr>
                  </w:pPr>
                  <w:r>
                    <w:rPr>
                      <w:rStyle w:val="180"/>
                      <w:rFonts w:hint="eastAsia"/>
                      <w:color w:val="auto"/>
                      <w:sz w:val="21"/>
                      <w:szCs w:val="21"/>
                      <w:lang w:val="en-US" w:eastAsia="zh-CN"/>
                    </w:rPr>
                    <w:t>加强规划引导</w:t>
                  </w:r>
                </w:p>
              </w:tc>
              <w:tc>
                <w:tcPr>
                  <w:tcW w:w="4133" w:type="dxa"/>
                  <w:tcBorders>
                    <w:tl2br w:val="nil"/>
                    <w:tr2bl w:val="nil"/>
                  </w:tcBorders>
                  <w:vAlign w:val="center"/>
                </w:tcPr>
                <w:p>
                  <w:pPr>
                    <w:rPr>
                      <w:rStyle w:val="180"/>
                      <w:rFonts w:hint="default" w:ascii="Times New Roman" w:hAnsi="Times New Roman"/>
                      <w:color w:val="auto"/>
                      <w:sz w:val="21"/>
                      <w:szCs w:val="21"/>
                    </w:rPr>
                  </w:pPr>
                  <w:r>
                    <w:rPr>
                      <w:rStyle w:val="180"/>
                      <w:rFonts w:hint="default" w:ascii="Times New Roman" w:hAnsi="Times New Roman"/>
                      <w:color w:val="auto"/>
                      <w:sz w:val="21"/>
                      <w:szCs w:val="21"/>
                    </w:rPr>
                    <w:t>坚持绿色发展、生态优先、高效集约的发展理念，以改善环境质量为核心，进一步优化规划方案，做好与省市区国土空间规划、产业发展规划及“三线一单”的衔接</w:t>
                  </w:r>
                </w:p>
              </w:tc>
              <w:tc>
                <w:tcPr>
                  <w:tcW w:w="2629" w:type="dxa"/>
                  <w:tcBorders>
                    <w:tl2br w:val="nil"/>
                    <w:tr2bl w:val="nil"/>
                  </w:tcBorders>
                  <w:vAlign w:val="center"/>
                </w:tcPr>
                <w:p>
                  <w:pPr>
                    <w:rPr>
                      <w:rStyle w:val="180"/>
                      <w:rFonts w:hint="default" w:ascii="Times New Roman" w:hAnsi="Times New Roman"/>
                      <w:color w:val="auto"/>
                      <w:sz w:val="21"/>
                      <w:szCs w:val="21"/>
                    </w:rPr>
                  </w:pPr>
                  <w:r>
                    <w:rPr>
                      <w:rStyle w:val="180"/>
                      <w:rFonts w:hint="default" w:ascii="Times New Roman" w:hAnsi="Times New Roman"/>
                      <w:color w:val="auto"/>
                      <w:sz w:val="21"/>
                      <w:szCs w:val="21"/>
                    </w:rPr>
                    <w:t>符合。扩建项目主要从事复合膜和复合袋生产，</w:t>
                  </w:r>
                  <w:r>
                    <w:rPr>
                      <w:rStyle w:val="180"/>
                      <w:rFonts w:hint="eastAsia"/>
                      <w:color w:val="auto"/>
                      <w:sz w:val="21"/>
                      <w:szCs w:val="21"/>
                      <w:lang w:val="en-US" w:eastAsia="zh-CN"/>
                    </w:rPr>
                    <w:t>与临空经济区产业发展定位不冲突</w:t>
                  </w:r>
                  <w:r>
                    <w:rPr>
                      <w:rStyle w:val="180"/>
                      <w:rFonts w:hint="default" w:ascii="Times New Roman" w:hAnsi="Times New Roman"/>
                      <w:color w:val="auto"/>
                      <w:sz w:val="21"/>
                      <w:szCs w:val="21"/>
                    </w:rPr>
                    <w:t>，符合省市区国土空间规划</w:t>
                  </w:r>
                  <w:r>
                    <w:rPr>
                      <w:rStyle w:val="180"/>
                      <w:rFonts w:hint="eastAsia"/>
                      <w:color w:val="auto"/>
                      <w:sz w:val="21"/>
                      <w:szCs w:val="21"/>
                      <w:lang w:eastAsia="zh-CN"/>
                    </w:rPr>
                    <w:t>，</w:t>
                  </w:r>
                  <w:r>
                    <w:rPr>
                      <w:rStyle w:val="180"/>
                      <w:rFonts w:hint="eastAsia"/>
                      <w:color w:val="auto"/>
                      <w:sz w:val="21"/>
                      <w:szCs w:val="21"/>
                      <w:lang w:val="en-US" w:eastAsia="zh-CN"/>
                    </w:rPr>
                    <w:t>产业规划及</w:t>
                  </w:r>
                  <w:r>
                    <w:rPr>
                      <w:rStyle w:val="180"/>
                      <w:rFonts w:hint="default" w:ascii="Times New Roman" w:hAnsi="Times New Roman"/>
                      <w:color w:val="auto"/>
                      <w:sz w:val="21"/>
                      <w:szCs w:val="21"/>
                    </w:rPr>
                    <w:t>福州市“三线一单”要求。</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438" w:type="dxa"/>
                  <w:tcBorders>
                    <w:tl2br w:val="nil"/>
                    <w:tr2bl w:val="nil"/>
                  </w:tcBorders>
                  <w:vAlign w:val="center"/>
                </w:tcPr>
                <w:p>
                  <w:pPr>
                    <w:jc w:val="center"/>
                    <w:rPr>
                      <w:rStyle w:val="180"/>
                      <w:rFonts w:hint="default" w:ascii="Times New Roman" w:hAnsi="Times New Roman" w:eastAsia="宋体" w:cs="Times New Roman"/>
                      <w:color w:val="auto"/>
                      <w:sz w:val="21"/>
                      <w:szCs w:val="21"/>
                      <w:lang w:val="en-US" w:eastAsia="zh-CN"/>
                    </w:rPr>
                  </w:pPr>
                  <w:r>
                    <w:rPr>
                      <w:rStyle w:val="180"/>
                      <w:rFonts w:hint="default" w:ascii="Times New Roman" w:hAnsi="Times New Roman" w:cs="Times New Roman"/>
                      <w:color w:val="auto"/>
                      <w:sz w:val="21"/>
                      <w:szCs w:val="21"/>
                      <w:lang w:val="en-US" w:eastAsia="zh-CN"/>
                    </w:rPr>
                    <w:t>优化产业定位</w:t>
                  </w:r>
                </w:p>
              </w:tc>
              <w:tc>
                <w:tcPr>
                  <w:tcW w:w="4133" w:type="dxa"/>
                  <w:tcBorders>
                    <w:tl2br w:val="nil"/>
                    <w:tr2bl w:val="nil"/>
                  </w:tcBorders>
                  <w:vAlign w:val="center"/>
                </w:tcPr>
                <w:p>
                  <w:pPr>
                    <w:rPr>
                      <w:rStyle w:val="180"/>
                      <w:rFonts w:hint="default" w:ascii="Times New Roman" w:hAnsi="Times New Roman" w:cs="Times New Roman"/>
                      <w:color w:val="auto"/>
                      <w:sz w:val="21"/>
                      <w:szCs w:val="21"/>
                    </w:rPr>
                  </w:pPr>
                  <w:r>
                    <w:rPr>
                      <w:rStyle w:val="180"/>
                      <w:rFonts w:hint="eastAsia" w:cs="Times New Roman"/>
                      <w:color w:val="auto"/>
                      <w:sz w:val="21"/>
                      <w:szCs w:val="21"/>
                      <w:lang w:val="en-US" w:eastAsia="zh-CN"/>
                    </w:rPr>
                    <w:t>1)</w:t>
                  </w:r>
                  <w:r>
                    <w:rPr>
                      <w:rStyle w:val="180"/>
                      <w:rFonts w:hint="default" w:ascii="Times New Roman" w:hAnsi="Times New Roman" w:cs="Times New Roman"/>
                      <w:color w:val="auto"/>
                      <w:sz w:val="21"/>
                      <w:szCs w:val="21"/>
                    </w:rPr>
                    <w:t>高端装备制造业中禁止引进向厂外排放含金属、持久性有机污染物废水的新、改、扩建项目；</w:t>
                  </w:r>
                  <w:r>
                    <w:rPr>
                      <w:rStyle w:val="180"/>
                      <w:rFonts w:hint="eastAsia" w:cs="Times New Roman"/>
                      <w:color w:val="auto"/>
                      <w:sz w:val="21"/>
                      <w:szCs w:val="21"/>
                      <w:lang w:val="en-US" w:eastAsia="zh-CN"/>
                    </w:rPr>
                    <w:t>禁止冶炼项目；</w:t>
                  </w:r>
                  <w:r>
                    <w:rPr>
                      <w:rStyle w:val="180"/>
                      <w:rFonts w:hint="default" w:ascii="Times New Roman" w:hAnsi="Times New Roman" w:cs="Times New Roman"/>
                      <w:color w:val="auto"/>
                      <w:sz w:val="21"/>
                      <w:szCs w:val="21"/>
                    </w:rPr>
                    <w:t>禁止发展以废铁、废钢、废铝、废铜等废旧黑色金属、有色金属为原材料的铸造行业；禁止电镀工序</w:t>
                  </w:r>
                  <w:r>
                    <w:rPr>
                      <w:rStyle w:val="180"/>
                      <w:rFonts w:hint="eastAsia" w:cs="Times New Roman"/>
                      <w:color w:val="auto"/>
                      <w:sz w:val="21"/>
                      <w:szCs w:val="21"/>
                      <w:lang w:eastAsia="zh-CN"/>
                    </w:rPr>
                    <w:t>；</w:t>
                  </w:r>
                  <w:r>
                    <w:rPr>
                      <w:rStyle w:val="180"/>
                      <w:rFonts w:hint="default" w:ascii="Times New Roman" w:hAnsi="Times New Roman" w:cs="Times New Roman"/>
                      <w:color w:val="auto"/>
                      <w:sz w:val="21"/>
                      <w:szCs w:val="21"/>
                    </w:rPr>
                    <w:t>严格控制高VOCs排放的项目建设。</w:t>
                  </w:r>
                </w:p>
                <w:p>
                  <w:pPr>
                    <w:rPr>
                      <w:rStyle w:val="180"/>
                      <w:rFonts w:hint="default" w:ascii="Times New Roman" w:hAnsi="Times New Roman" w:cs="Times New Roman"/>
                      <w:color w:val="auto"/>
                      <w:sz w:val="21"/>
                      <w:szCs w:val="21"/>
                      <w:lang w:val="en-US"/>
                    </w:rPr>
                  </w:pPr>
                  <w:r>
                    <w:rPr>
                      <w:rStyle w:val="180"/>
                      <w:rFonts w:hint="default" w:ascii="Times New Roman" w:hAnsi="Times New Roman" w:cs="Times New Roman"/>
                      <w:color w:val="auto"/>
                      <w:sz w:val="21"/>
                      <w:szCs w:val="21"/>
                    </w:rPr>
                    <w:t>2)先进制造业禁止引进新型纤维素纤维、甲壳素复合纤维、海藻酸盐纤维、壳聚糖纤维项目</w:t>
                  </w:r>
                  <w:r>
                    <w:rPr>
                      <w:rStyle w:val="180"/>
                      <w:rFonts w:hint="eastAsia" w:cs="Times New Roman"/>
                      <w:color w:val="auto"/>
                      <w:sz w:val="21"/>
                      <w:szCs w:val="21"/>
                      <w:lang w:eastAsia="zh-CN"/>
                    </w:rPr>
                    <w:t>；</w:t>
                  </w:r>
                  <w:r>
                    <w:rPr>
                      <w:rStyle w:val="180"/>
                      <w:rFonts w:hint="eastAsia" w:cs="Times New Roman"/>
                      <w:color w:val="auto"/>
                      <w:sz w:val="21"/>
                      <w:szCs w:val="21"/>
                      <w:lang w:val="en-US" w:eastAsia="zh-CN"/>
                    </w:rPr>
                    <w:t>贵金属提纯加工及制品产业仅允许从事现有贵金属制品企业配套的上游足金提纯加工项目。</w:t>
                  </w:r>
                </w:p>
              </w:tc>
              <w:tc>
                <w:tcPr>
                  <w:tcW w:w="2629" w:type="dxa"/>
                  <w:tcBorders>
                    <w:tl2br w:val="nil"/>
                    <w:tr2bl w:val="nil"/>
                  </w:tcBorders>
                  <w:vAlign w:val="center"/>
                </w:tcPr>
                <w:p>
                  <w:pPr>
                    <w:rPr>
                      <w:rStyle w:val="180"/>
                      <w:rFonts w:hint="default" w:ascii="Times New Roman" w:hAnsi="Times New Roman" w:cs="Times New Roman"/>
                      <w:color w:val="auto"/>
                      <w:sz w:val="21"/>
                      <w:szCs w:val="21"/>
                    </w:rPr>
                  </w:pPr>
                  <w:r>
                    <w:rPr>
                      <w:rStyle w:val="180"/>
                      <w:rFonts w:hint="default" w:ascii="Times New Roman" w:hAnsi="Times New Roman" w:cs="Times New Roman"/>
                      <w:color w:val="auto"/>
                      <w:sz w:val="21"/>
                      <w:szCs w:val="21"/>
                    </w:rPr>
                    <w:t>符合。扩建项目为复合膜和复合袋生产，</w:t>
                  </w:r>
                  <w:r>
                    <w:rPr>
                      <w:rStyle w:val="180"/>
                      <w:rFonts w:hint="eastAsia" w:cs="Times New Roman"/>
                      <w:color w:val="auto"/>
                      <w:sz w:val="21"/>
                      <w:szCs w:val="21"/>
                      <w:lang w:val="en-US" w:eastAsia="zh-CN"/>
                    </w:rPr>
                    <w:t>不属于</w:t>
                  </w:r>
                  <w:r>
                    <w:rPr>
                      <w:rStyle w:val="180"/>
                      <w:rFonts w:hint="default" w:ascii="Times New Roman" w:hAnsi="Times New Roman" w:cs="Times New Roman"/>
                      <w:color w:val="auto"/>
                      <w:sz w:val="21"/>
                      <w:szCs w:val="21"/>
                    </w:rPr>
                    <w:t>高端装备制造业</w:t>
                  </w:r>
                  <w:r>
                    <w:rPr>
                      <w:rStyle w:val="180"/>
                      <w:rFonts w:hint="eastAsia" w:cs="Times New Roman"/>
                      <w:color w:val="auto"/>
                      <w:sz w:val="21"/>
                      <w:szCs w:val="21"/>
                      <w:lang w:eastAsia="zh-CN"/>
                    </w:rPr>
                    <w:t>，</w:t>
                  </w:r>
                  <w:r>
                    <w:rPr>
                      <w:rStyle w:val="180"/>
                      <w:rFonts w:hint="eastAsia" w:cs="Times New Roman"/>
                      <w:color w:val="auto"/>
                      <w:sz w:val="21"/>
                      <w:szCs w:val="21"/>
                      <w:lang w:val="en-US" w:eastAsia="zh-CN"/>
                    </w:rPr>
                    <w:t>不属于冶炼项目，不属于</w:t>
                  </w:r>
                  <w:r>
                    <w:rPr>
                      <w:rStyle w:val="180"/>
                      <w:rFonts w:hint="default" w:ascii="Times New Roman" w:hAnsi="Times New Roman" w:cs="Times New Roman"/>
                      <w:color w:val="auto"/>
                      <w:sz w:val="21"/>
                      <w:szCs w:val="21"/>
                    </w:rPr>
                    <w:t>以废铁、废钢、废铝、废铜等废旧黑色金属、有色金属为原材料的铸造行业</w:t>
                  </w:r>
                  <w:r>
                    <w:rPr>
                      <w:rStyle w:val="180"/>
                      <w:rFonts w:hint="eastAsia" w:cs="Times New Roman"/>
                      <w:color w:val="auto"/>
                      <w:sz w:val="21"/>
                      <w:szCs w:val="21"/>
                      <w:lang w:eastAsia="zh-CN"/>
                    </w:rPr>
                    <w:t>，</w:t>
                  </w:r>
                  <w:r>
                    <w:rPr>
                      <w:rStyle w:val="180"/>
                      <w:rFonts w:hint="eastAsia" w:cs="Times New Roman"/>
                      <w:color w:val="auto"/>
                      <w:sz w:val="21"/>
                      <w:szCs w:val="21"/>
                      <w:lang w:val="en-US" w:eastAsia="zh-CN"/>
                    </w:rPr>
                    <w:t>不属于电镀工序，不属于</w:t>
                  </w:r>
                  <w:r>
                    <w:rPr>
                      <w:rStyle w:val="180"/>
                      <w:rFonts w:hint="default" w:ascii="Times New Roman" w:hAnsi="Times New Roman" w:cs="Times New Roman"/>
                      <w:color w:val="auto"/>
                      <w:sz w:val="21"/>
                      <w:szCs w:val="21"/>
                    </w:rPr>
                    <w:t>新型纤维素纤维、甲壳素复合纤维、海藻酸盐纤维、壳聚糖纤维项目</w:t>
                  </w:r>
                  <w:r>
                    <w:rPr>
                      <w:rStyle w:val="180"/>
                      <w:rFonts w:hint="eastAsia" w:cs="Times New Roman"/>
                      <w:color w:val="auto"/>
                      <w:sz w:val="21"/>
                      <w:szCs w:val="21"/>
                      <w:lang w:eastAsia="zh-CN"/>
                    </w:rPr>
                    <w:t>，</w:t>
                  </w:r>
                  <w:r>
                    <w:rPr>
                      <w:rStyle w:val="180"/>
                      <w:rFonts w:hint="eastAsia" w:cs="Times New Roman"/>
                      <w:color w:val="auto"/>
                      <w:sz w:val="21"/>
                      <w:szCs w:val="21"/>
                      <w:lang w:val="en-US" w:eastAsia="zh-CN"/>
                    </w:rPr>
                    <w:t>不属于贵金属提纯加工及制品产业。扩建项目</w:t>
                  </w:r>
                  <w:r>
                    <w:rPr>
                      <w:rStyle w:val="180"/>
                      <w:rFonts w:hint="default" w:ascii="Times New Roman" w:hAnsi="Times New Roman" w:cs="Times New Roman"/>
                      <w:color w:val="auto"/>
                      <w:sz w:val="21"/>
                      <w:szCs w:val="21"/>
                    </w:rPr>
                    <w:t>不涉及排放第一类重金属和持久性有机污染物，无生产废水排放，产生的VOCs密闭负压收集后经</w:t>
                  </w:r>
                  <w:r>
                    <w:rPr>
                      <w:rStyle w:val="180"/>
                      <w:rFonts w:hint="eastAsia" w:cs="Times New Roman"/>
                      <w:color w:val="auto"/>
                      <w:sz w:val="21"/>
                      <w:szCs w:val="21"/>
                      <w:lang w:val="en-US" w:eastAsia="zh-CN"/>
                    </w:rPr>
                    <w:t>喷淋塔+</w:t>
                  </w:r>
                  <w:r>
                    <w:rPr>
                      <w:rStyle w:val="180"/>
                      <w:rFonts w:hint="default" w:ascii="Times New Roman" w:hAnsi="Times New Roman" w:cs="Times New Roman"/>
                      <w:color w:val="auto"/>
                      <w:sz w:val="21"/>
                      <w:szCs w:val="21"/>
                    </w:rPr>
                    <w:t>二级</w:t>
                  </w:r>
                  <w:r>
                    <w:rPr>
                      <w:rStyle w:val="180"/>
                      <w:rFonts w:hint="eastAsia" w:cs="Times New Roman"/>
                      <w:color w:val="auto"/>
                      <w:sz w:val="21"/>
                      <w:szCs w:val="21"/>
                      <w:lang w:eastAsia="zh-CN"/>
                    </w:rPr>
                    <w:t>颗粒</w:t>
                  </w:r>
                  <w:r>
                    <w:rPr>
                      <w:rStyle w:val="180"/>
                      <w:rFonts w:hint="default" w:ascii="Times New Roman" w:hAnsi="Times New Roman" w:cs="Times New Roman"/>
                      <w:color w:val="auto"/>
                      <w:sz w:val="21"/>
                      <w:szCs w:val="21"/>
                    </w:rPr>
                    <w:t>活性炭吸附装置处理后达标排放，</w:t>
                  </w:r>
                  <w:r>
                    <w:rPr>
                      <w:rStyle w:val="180"/>
                      <w:rFonts w:hint="default" w:ascii="Times New Roman" w:hAnsi="Times New Roman" w:cs="Times New Roman"/>
                      <w:color w:val="auto"/>
                      <w:sz w:val="21"/>
                      <w:szCs w:val="21"/>
                      <w:lang w:val="en-US" w:eastAsia="zh-CN"/>
                    </w:rPr>
                    <w:t>不属于高VOCs排放的项目。</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384" w:hRule="atLeast"/>
                <w:jc w:val="center"/>
              </w:trPr>
              <w:tc>
                <w:tcPr>
                  <w:tcW w:w="438" w:type="dxa"/>
                  <w:tcBorders>
                    <w:tl2br w:val="nil"/>
                    <w:tr2bl w:val="nil"/>
                  </w:tcBorders>
                  <w:shd w:val="clear" w:color="auto" w:fill="auto"/>
                  <w:vAlign w:val="center"/>
                </w:tcPr>
                <w:p>
                  <w:pPr>
                    <w:jc w:val="center"/>
                    <w:rPr>
                      <w:rFonts w:hint="default" w:ascii="Times New Roman" w:hAnsi="Times New Roman" w:eastAsia="宋体" w:cs="Times New Roman"/>
                      <w:color w:val="auto"/>
                      <w:kern w:val="2"/>
                      <w:sz w:val="21"/>
                      <w:szCs w:val="21"/>
                      <w:lang w:val="en-US" w:eastAsia="zh-CN" w:bidi="ar-SA"/>
                    </w:rPr>
                  </w:pPr>
                  <w:r>
                    <w:rPr>
                      <w:rStyle w:val="180"/>
                      <w:rFonts w:hint="eastAsia"/>
                      <w:color w:val="auto"/>
                      <w:sz w:val="21"/>
                      <w:szCs w:val="21"/>
                      <w:lang w:val="en-US" w:eastAsia="zh-CN"/>
                    </w:rPr>
                    <w:t>优化规划布局</w:t>
                  </w:r>
                </w:p>
              </w:tc>
              <w:tc>
                <w:tcPr>
                  <w:tcW w:w="4133" w:type="dxa"/>
                  <w:tcBorders>
                    <w:tl2br w:val="nil"/>
                    <w:tr2bl w:val="nil"/>
                  </w:tcBorders>
                  <w:shd w:val="clear" w:color="auto" w:fill="auto"/>
                  <w:vAlign w:val="center"/>
                </w:tcPr>
                <w:p>
                  <w:pPr>
                    <w:rPr>
                      <w:rFonts w:hint="default" w:ascii="Times New Roman" w:hAnsi="Times New Roman" w:eastAsia="宋体" w:cs="Times New Roman"/>
                      <w:color w:val="auto"/>
                      <w:kern w:val="2"/>
                      <w:sz w:val="21"/>
                      <w:szCs w:val="21"/>
                      <w:lang w:val="en-US" w:eastAsia="zh-CN" w:bidi="ar-SA"/>
                    </w:rPr>
                  </w:pPr>
                  <w:r>
                    <w:rPr>
                      <w:rStyle w:val="180"/>
                      <w:rFonts w:hint="default" w:ascii="Times New Roman" w:hAnsi="Times New Roman"/>
                      <w:color w:val="auto"/>
                      <w:sz w:val="21"/>
                      <w:szCs w:val="21"/>
                    </w:rPr>
                    <w:t>落实《报告书》提出的用地调整要求，保留永久基本农田和生态保护红线，</w:t>
                  </w:r>
                  <w:r>
                    <w:rPr>
                      <w:rStyle w:val="180"/>
                      <w:rFonts w:hint="eastAsia"/>
                      <w:color w:val="auto"/>
                      <w:sz w:val="21"/>
                      <w:szCs w:val="21"/>
                      <w:lang w:eastAsia="zh-CN"/>
                    </w:rPr>
                    <w:t>“</w:t>
                  </w:r>
                  <w:r>
                    <w:rPr>
                      <w:rStyle w:val="180"/>
                      <w:rFonts w:hint="eastAsia"/>
                      <w:color w:val="auto"/>
                      <w:sz w:val="21"/>
                      <w:szCs w:val="21"/>
                      <w:lang w:val="en-US" w:eastAsia="zh-CN"/>
                    </w:rPr>
                    <w:t>一带、三片区</w:t>
                  </w:r>
                  <w:r>
                    <w:rPr>
                      <w:rStyle w:val="180"/>
                      <w:rFonts w:hint="eastAsia"/>
                      <w:color w:val="auto"/>
                      <w:sz w:val="21"/>
                      <w:szCs w:val="21"/>
                      <w:lang w:eastAsia="zh-CN"/>
                    </w:rPr>
                    <w:t>”</w:t>
                  </w:r>
                  <w:r>
                    <w:rPr>
                      <w:rStyle w:val="180"/>
                      <w:rFonts w:hint="eastAsia"/>
                      <w:color w:val="auto"/>
                      <w:sz w:val="21"/>
                      <w:szCs w:val="21"/>
                      <w:lang w:val="en-US" w:eastAsia="zh-CN"/>
                    </w:rPr>
                    <w:t>的二类工业用地周边设置环保控制带，入园企业应按照建设项目环评确定合理的大气环境防护距离。</w:t>
                  </w:r>
                </w:p>
              </w:tc>
              <w:tc>
                <w:tcPr>
                  <w:tcW w:w="2629" w:type="dxa"/>
                  <w:tcBorders>
                    <w:tl2br w:val="nil"/>
                    <w:tr2bl w:val="nil"/>
                  </w:tcBorders>
                  <w:shd w:val="clear" w:color="auto" w:fill="auto"/>
                  <w:vAlign w:val="center"/>
                </w:tcPr>
                <w:p>
                  <w:pPr>
                    <w:rPr>
                      <w:rFonts w:hint="default" w:ascii="Times New Roman" w:hAnsi="Times New Roman" w:eastAsia="宋体" w:cs="Times New Roman"/>
                      <w:color w:val="auto"/>
                      <w:kern w:val="2"/>
                      <w:sz w:val="21"/>
                      <w:szCs w:val="21"/>
                      <w:lang w:val="en-US" w:eastAsia="zh-CN" w:bidi="ar-SA"/>
                    </w:rPr>
                  </w:pPr>
                  <w:r>
                    <w:rPr>
                      <w:rStyle w:val="180"/>
                      <w:rFonts w:hint="default" w:ascii="Times New Roman" w:hAnsi="Times New Roman"/>
                      <w:color w:val="auto"/>
                      <w:sz w:val="21"/>
                      <w:szCs w:val="21"/>
                    </w:rPr>
                    <w:t>符合。扩建项目</w:t>
                  </w:r>
                  <w:r>
                    <w:rPr>
                      <w:rStyle w:val="180"/>
                      <w:rFonts w:hint="eastAsia"/>
                      <w:color w:val="auto"/>
                      <w:sz w:val="21"/>
                      <w:szCs w:val="21"/>
                      <w:lang w:val="en-US" w:eastAsia="zh-CN"/>
                    </w:rPr>
                    <w:t>位于</w:t>
                  </w:r>
                  <w:r>
                    <w:rPr>
                      <w:rStyle w:val="180"/>
                      <w:rFonts w:hint="default" w:ascii="Times New Roman" w:hAnsi="Times New Roman"/>
                      <w:color w:val="auto"/>
                      <w:sz w:val="21"/>
                      <w:szCs w:val="21"/>
                    </w:rPr>
                    <w:t>临空经济区潭头片区内</w:t>
                  </w:r>
                  <w:r>
                    <w:rPr>
                      <w:rStyle w:val="180"/>
                      <w:rFonts w:hint="eastAsia"/>
                      <w:color w:val="auto"/>
                      <w:sz w:val="21"/>
                      <w:szCs w:val="21"/>
                      <w:lang w:eastAsia="zh-CN"/>
                    </w:rPr>
                    <w:t>，</w:t>
                  </w:r>
                  <w:r>
                    <w:rPr>
                      <w:rStyle w:val="180"/>
                      <w:rFonts w:hint="default" w:ascii="Times New Roman" w:hAnsi="Times New Roman"/>
                      <w:color w:val="auto"/>
                      <w:sz w:val="21"/>
                      <w:szCs w:val="21"/>
                    </w:rPr>
                    <w:t>产生的废气采用有效治理措施后，废气可达标排放，预测扩建项目卫生防护距离50m，厂界距离最近敏感目标为230m，不在卫生防护距离范围内，则扩建项目产生的废气经处理后对周边环境影响较小。</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1384" w:hRule="atLeast"/>
                <w:jc w:val="center"/>
              </w:trPr>
              <w:tc>
                <w:tcPr>
                  <w:tcW w:w="438" w:type="dxa"/>
                  <w:tcBorders>
                    <w:tl2br w:val="nil"/>
                    <w:tr2bl w:val="nil"/>
                  </w:tcBorders>
                  <w:shd w:val="clear" w:color="auto" w:fill="auto"/>
                  <w:vAlign w:val="center"/>
                </w:tcPr>
                <w:p>
                  <w:pPr>
                    <w:jc w:val="center"/>
                    <w:rPr>
                      <w:rFonts w:hint="eastAsia" w:ascii="Times New Roman" w:hAnsi="Times New Roman" w:eastAsia="宋体" w:cs="Times New Roman"/>
                      <w:color w:val="auto"/>
                      <w:kern w:val="2"/>
                      <w:sz w:val="21"/>
                      <w:szCs w:val="21"/>
                      <w:lang w:val="en-US" w:eastAsia="zh-CN" w:bidi="ar-SA"/>
                    </w:rPr>
                  </w:pPr>
                  <w:r>
                    <w:rPr>
                      <w:rStyle w:val="180"/>
                      <w:rFonts w:hint="eastAsia"/>
                      <w:color w:val="auto"/>
                      <w:sz w:val="21"/>
                      <w:szCs w:val="21"/>
                      <w:lang w:val="en-US" w:eastAsia="zh-CN"/>
                    </w:rPr>
                    <w:t>严格生态环境准入</w:t>
                  </w:r>
                </w:p>
              </w:tc>
              <w:tc>
                <w:tcPr>
                  <w:tcW w:w="4133" w:type="dxa"/>
                  <w:tcBorders>
                    <w:tl2br w:val="nil"/>
                    <w:tr2bl w:val="nil"/>
                  </w:tcBorders>
                  <w:shd w:val="clear" w:color="auto" w:fill="auto"/>
                  <w:vAlign w:val="center"/>
                </w:tcPr>
                <w:p>
                  <w:pPr>
                    <w:jc w:val="center"/>
                    <w:rPr>
                      <w:rFonts w:hint="default" w:ascii="Times New Roman" w:hAnsi="Times New Roman" w:eastAsia="宋体" w:cs="Times New Roman"/>
                      <w:color w:val="auto"/>
                      <w:kern w:val="2"/>
                      <w:sz w:val="21"/>
                      <w:szCs w:val="21"/>
                      <w:lang w:val="en-US" w:eastAsia="zh-CN" w:bidi="ar-SA"/>
                    </w:rPr>
                  </w:pPr>
                  <w:r>
                    <w:rPr>
                      <w:rStyle w:val="180"/>
                      <w:rFonts w:hint="default" w:ascii="Times New Roman" w:hAnsi="Times New Roman"/>
                      <w:color w:val="auto"/>
                      <w:sz w:val="21"/>
                      <w:szCs w:val="21"/>
                    </w:rPr>
                    <w:t>按照《报告书》提出的生态环境准入清单严格项目准入。引进项目的生产工艺、技术装备、污染治理水平以及单位产品能耗、物耗等应达国内同行业清洁生产先进水平。禁止引进新增排放第一类重金属和持久性有机污染物的项目，严控以氨氮、总磷等为主要污染物的项目</w:t>
                  </w:r>
                </w:p>
              </w:tc>
              <w:tc>
                <w:tcPr>
                  <w:tcW w:w="2629" w:type="dxa"/>
                  <w:tcBorders>
                    <w:tl2br w:val="nil"/>
                    <w:tr2bl w:val="nil"/>
                  </w:tcBorders>
                  <w:shd w:val="clear" w:color="auto" w:fill="auto"/>
                  <w:vAlign w:val="center"/>
                </w:tcPr>
                <w:p>
                  <w:pPr>
                    <w:rPr>
                      <w:rFonts w:hint="default" w:ascii="Times New Roman" w:hAnsi="Times New Roman" w:eastAsia="宋体" w:cs="Times New Roman"/>
                      <w:color w:val="auto"/>
                      <w:kern w:val="2"/>
                      <w:sz w:val="21"/>
                      <w:szCs w:val="21"/>
                      <w:lang w:val="en-US" w:eastAsia="zh-CN" w:bidi="ar-SA"/>
                    </w:rPr>
                  </w:pPr>
                  <w:r>
                    <w:rPr>
                      <w:rStyle w:val="180"/>
                      <w:rFonts w:hint="default" w:ascii="Times New Roman" w:hAnsi="Times New Roman"/>
                      <w:color w:val="auto"/>
                      <w:sz w:val="21"/>
                      <w:szCs w:val="21"/>
                    </w:rPr>
                    <w:t>符合。扩建项目生产工艺、技术装备、污染治理水平以及单位产品能耗、物耗等可达国内同行业清洁生产先进水平，也不排放一类重金属和持久性有机污染物，项目也不属于以氨氮、总磷等为主要污染物的项目。</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739" w:hRule="atLeast"/>
                <w:jc w:val="center"/>
              </w:trPr>
              <w:tc>
                <w:tcPr>
                  <w:tcW w:w="438" w:type="dxa"/>
                  <w:tcBorders>
                    <w:tl2br w:val="nil"/>
                    <w:tr2bl w:val="nil"/>
                  </w:tcBorders>
                  <w:shd w:val="clear" w:color="auto" w:fill="auto"/>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加快环保基础设施提升改造</w:t>
                  </w:r>
                </w:p>
              </w:tc>
              <w:tc>
                <w:tcPr>
                  <w:tcW w:w="4133" w:type="dxa"/>
                  <w:tcBorders>
                    <w:tl2br w:val="nil"/>
                    <w:tr2bl w:val="nil"/>
                  </w:tcBorders>
                  <w:shd w:val="clear" w:color="auto" w:fill="auto"/>
                  <w:vAlign w:val="center"/>
                </w:tcPr>
                <w:p>
                  <w:pPr>
                    <w:rPr>
                      <w:rFonts w:hint="default" w:ascii="Times New Roman" w:hAnsi="Times New Roman" w:eastAsia="宋体" w:cs="Times New Roman"/>
                      <w:color w:val="auto"/>
                      <w:kern w:val="2"/>
                      <w:sz w:val="21"/>
                      <w:szCs w:val="21"/>
                      <w:lang w:val="en-US" w:eastAsia="zh-CN" w:bidi="ar-SA"/>
                    </w:rPr>
                  </w:pPr>
                  <w:r>
                    <w:rPr>
                      <w:rStyle w:val="180"/>
                      <w:rFonts w:hint="default" w:ascii="Times New Roman" w:hAnsi="Times New Roman"/>
                      <w:color w:val="auto"/>
                      <w:sz w:val="21"/>
                      <w:szCs w:val="21"/>
                    </w:rPr>
                    <w:t>应按照“分质分流、清污分流、雨污分流”的原则建设污水收集和处理系统、加快流域环境综合整治，开展区域中水回用、生态补水、雨水利用等节水工程。严格控制三门闸下游排污口水污染物排放总量，潭头污水处理厂尾水远期建议引至松下港特殊利用区排放。加快推进区域集中供热替代分散锅炉的进度。依法依规做好一般工业固体废物和危险废物的分类收集、利用、处理处置工作。</w:t>
                  </w:r>
                </w:p>
              </w:tc>
              <w:tc>
                <w:tcPr>
                  <w:tcW w:w="2629" w:type="dxa"/>
                  <w:tcBorders>
                    <w:tl2br w:val="nil"/>
                    <w:tr2bl w:val="nil"/>
                  </w:tcBorders>
                  <w:shd w:val="clear" w:color="auto" w:fill="auto"/>
                  <w:vAlign w:val="center"/>
                </w:tcPr>
                <w:p>
                  <w:pPr>
                    <w:rPr>
                      <w:rFonts w:hint="default" w:ascii="Times New Roman" w:hAnsi="Times New Roman" w:eastAsia="宋体" w:cs="Times New Roman"/>
                      <w:color w:val="auto"/>
                      <w:kern w:val="2"/>
                      <w:sz w:val="21"/>
                      <w:szCs w:val="21"/>
                      <w:lang w:val="en-US" w:eastAsia="zh-CN" w:bidi="ar-SA"/>
                    </w:rPr>
                  </w:pPr>
                  <w:r>
                    <w:rPr>
                      <w:rStyle w:val="180"/>
                      <w:rFonts w:hint="default" w:ascii="Times New Roman" w:hAnsi="Times New Roman"/>
                      <w:color w:val="auto"/>
                      <w:sz w:val="21"/>
                      <w:szCs w:val="21"/>
                    </w:rPr>
                    <w:t>符合。扩建项目生活污水经化粪池处理后通过市政管网纳入长乐区</w:t>
                  </w:r>
                  <w:r>
                    <w:rPr>
                      <w:rStyle w:val="180"/>
                      <w:rFonts w:hint="eastAsia"/>
                      <w:color w:val="auto"/>
                      <w:sz w:val="21"/>
                      <w:szCs w:val="21"/>
                      <w:lang w:val="en-US" w:eastAsia="zh-CN"/>
                    </w:rPr>
                    <w:t>滨海</w:t>
                  </w:r>
                  <w:r>
                    <w:rPr>
                      <w:rStyle w:val="180"/>
                      <w:rFonts w:hint="default" w:ascii="Times New Roman" w:hAnsi="Times New Roman"/>
                      <w:color w:val="auto"/>
                      <w:sz w:val="21"/>
                      <w:szCs w:val="21"/>
                    </w:rPr>
                    <w:t>污水处理厂；</w:t>
                  </w:r>
                  <w:r>
                    <w:rPr>
                      <w:color w:val="auto"/>
                      <w:szCs w:val="21"/>
                    </w:rPr>
                    <w:t>生产过程产生的废油墨桶、废粘合剂桶、废油墨、废粘合剂、废活性炭</w:t>
                  </w:r>
                  <w:r>
                    <w:rPr>
                      <w:rFonts w:hint="eastAsia"/>
                      <w:color w:val="auto"/>
                      <w:szCs w:val="21"/>
                    </w:rPr>
                    <w:t>、印刷辊筒擦拭废布</w:t>
                  </w:r>
                  <w:r>
                    <w:rPr>
                      <w:rFonts w:hint="eastAsia"/>
                      <w:color w:val="auto"/>
                      <w:szCs w:val="21"/>
                      <w:lang w:eastAsia="zh-CN"/>
                    </w:rPr>
                    <w:t>、</w:t>
                  </w:r>
                  <w:r>
                    <w:rPr>
                      <w:rFonts w:hint="eastAsia"/>
                      <w:color w:val="auto"/>
                      <w:szCs w:val="21"/>
                      <w:lang w:val="en-US" w:eastAsia="zh-CN"/>
                    </w:rPr>
                    <w:t>喷淋废液</w:t>
                  </w:r>
                  <w:r>
                    <w:rPr>
                      <w:rFonts w:hint="eastAsia"/>
                      <w:color w:val="auto"/>
                      <w:szCs w:val="21"/>
                    </w:rPr>
                    <w:t>等</w:t>
                  </w:r>
                  <w:r>
                    <w:rPr>
                      <w:color w:val="auto"/>
                      <w:szCs w:val="21"/>
                    </w:rPr>
                    <w:t>危险废物定期委托有资质的单位清运处置</w:t>
                  </w:r>
                  <w:r>
                    <w:rPr>
                      <w:rFonts w:hint="eastAsia"/>
                      <w:color w:val="auto"/>
                      <w:szCs w:val="21"/>
                      <w:lang w:eastAsia="zh-CN"/>
                    </w:rPr>
                    <w:t>，</w:t>
                  </w:r>
                  <w:r>
                    <w:rPr>
                      <w:color w:val="auto"/>
                      <w:szCs w:val="21"/>
                      <w:highlight w:val="none"/>
                    </w:rPr>
                    <w:t>废溶剂桶</w:t>
                  </w:r>
                  <w:r>
                    <w:rPr>
                      <w:rFonts w:hint="eastAsia"/>
                      <w:color w:val="auto"/>
                      <w:szCs w:val="21"/>
                      <w:highlight w:val="none"/>
                      <w:lang w:val="en-US" w:eastAsia="zh-CN"/>
                    </w:rPr>
                    <w:t>由供应商回收重复利用</w:t>
                  </w:r>
                  <w:r>
                    <w:rPr>
                      <w:color w:val="auto"/>
                      <w:szCs w:val="21"/>
                      <w:highlight w:val="none"/>
                    </w:rPr>
                    <w:t>；</w:t>
                  </w:r>
                  <w:r>
                    <w:rPr>
                      <w:color w:val="auto"/>
                      <w:szCs w:val="21"/>
                    </w:rPr>
                    <w:t>职工生活垃圾定期委托环卫部门清运处置；生产过程产生的废边角料和废包装材料定期由回收公司回收处理。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90" w:hRule="atLeast"/>
                <w:jc w:val="center"/>
              </w:trPr>
              <w:tc>
                <w:tcPr>
                  <w:tcW w:w="438" w:type="dxa"/>
                  <w:tcBorders>
                    <w:tl2br w:val="nil"/>
                    <w:tr2bl w:val="nil"/>
                  </w:tcBorders>
                  <w:shd w:val="clear" w:color="auto" w:fill="auto"/>
                  <w:vAlign w:val="center"/>
                </w:tcPr>
                <w:p>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建立健全环境风险防范体系</w:t>
                  </w:r>
                </w:p>
              </w:tc>
              <w:tc>
                <w:tcPr>
                  <w:tcW w:w="4133" w:type="dxa"/>
                  <w:tcBorders>
                    <w:tl2br w:val="nil"/>
                    <w:tr2bl w:val="nil"/>
                  </w:tcBorders>
                  <w:shd w:val="clear" w:color="auto" w:fill="auto"/>
                  <w:vAlign w:val="center"/>
                </w:tcPr>
                <w:p>
                  <w:pPr>
                    <w:rPr>
                      <w:rFonts w:hint="default" w:ascii="Times New Roman" w:hAnsi="Times New Roman" w:eastAsia="宋体" w:cs="Times New Roman"/>
                      <w:color w:val="auto"/>
                      <w:kern w:val="2"/>
                      <w:sz w:val="21"/>
                      <w:szCs w:val="21"/>
                      <w:lang w:val="en-US" w:eastAsia="zh-CN" w:bidi="ar-SA"/>
                    </w:rPr>
                  </w:pPr>
                  <w:r>
                    <w:rPr>
                      <w:rStyle w:val="180"/>
                      <w:rFonts w:hint="default" w:ascii="Times New Roman" w:hAnsi="Times New Roman"/>
                      <w:color w:val="auto"/>
                      <w:sz w:val="21"/>
                      <w:szCs w:val="21"/>
                    </w:rPr>
                    <w:t>建立健全园区突发事件环境应急预案，并与当地政府、相关部门及临空经济区相关预案衔接，构建区域环境风险联控机制。做好环境应急保障，建设环境应急物资库和必要的应急防控工程。</w:t>
                  </w:r>
                </w:p>
              </w:tc>
              <w:tc>
                <w:tcPr>
                  <w:tcW w:w="2629" w:type="dxa"/>
                  <w:tcBorders>
                    <w:tl2br w:val="nil"/>
                    <w:tr2bl w:val="nil"/>
                  </w:tcBorders>
                  <w:shd w:val="clear" w:color="auto" w:fill="auto"/>
                  <w:vAlign w:val="center"/>
                </w:tcPr>
                <w:p>
                  <w:pPr>
                    <w:rPr>
                      <w:rFonts w:hint="default" w:ascii="Times New Roman" w:hAnsi="Times New Roman" w:eastAsia="宋体" w:cs="Times New Roman"/>
                      <w:color w:val="auto"/>
                      <w:kern w:val="2"/>
                      <w:sz w:val="21"/>
                      <w:szCs w:val="21"/>
                      <w:lang w:val="en-US" w:eastAsia="zh-CN" w:bidi="ar-SA"/>
                    </w:rPr>
                  </w:pPr>
                  <w:r>
                    <w:rPr>
                      <w:rStyle w:val="180"/>
                      <w:rFonts w:hint="default" w:ascii="Times New Roman" w:hAnsi="Times New Roman"/>
                      <w:color w:val="auto"/>
                      <w:sz w:val="21"/>
                      <w:szCs w:val="21"/>
                    </w:rPr>
                    <w:t>符合。扩建项目将严格落实环境风险事故防范措施</w:t>
                  </w:r>
                  <w:r>
                    <w:rPr>
                      <w:rStyle w:val="180"/>
                      <w:rFonts w:hint="eastAsia"/>
                      <w:color w:val="auto"/>
                      <w:sz w:val="21"/>
                      <w:szCs w:val="21"/>
                      <w:lang w:eastAsia="zh-CN"/>
                    </w:rPr>
                    <w:t>，</w:t>
                  </w:r>
                  <w:r>
                    <w:rPr>
                      <w:rStyle w:val="180"/>
                      <w:rFonts w:hint="eastAsia"/>
                      <w:color w:val="auto"/>
                      <w:sz w:val="21"/>
                      <w:szCs w:val="21"/>
                      <w:lang w:val="en-US" w:eastAsia="zh-CN"/>
                    </w:rPr>
                    <w:t>并做好与工业区的应急联动。</w:t>
                  </w:r>
                </w:p>
              </w:tc>
            </w:tr>
          </w:tbl>
          <w:p>
            <w:pPr>
              <w:pStyle w:val="93"/>
              <w:ind w:firstLine="0" w:firstLineChars="0"/>
              <w:rPr>
                <w:rFonts w:hint="eastAsia" w:ascii="Times New Roman" w:hAnsi="Times New Roman" w:cs="Times New Roman"/>
                <w:color w:val="auto"/>
                <w:spacing w:val="-1"/>
                <w:lang w:val="en-US" w:eastAsia="zh-CN"/>
              </w:rPr>
            </w:pPr>
            <w:r>
              <w:rPr>
                <w:rFonts w:hint="eastAsia"/>
                <w:b/>
                <w:bCs/>
                <w:color w:val="auto"/>
                <w:sz w:val="24"/>
              </w:rPr>
              <w:t>符合性分析：</w:t>
            </w:r>
            <w:r>
              <w:rPr>
                <w:color w:val="auto"/>
                <w:sz w:val="24"/>
              </w:rPr>
              <w:t>对照规划环评报告及审查意见，</w:t>
            </w:r>
            <w:r>
              <w:rPr>
                <w:rFonts w:hint="eastAsia"/>
                <w:color w:val="auto"/>
                <w:sz w:val="24"/>
              </w:rPr>
              <w:t>扩建</w:t>
            </w:r>
            <w:r>
              <w:rPr>
                <w:color w:val="auto"/>
                <w:sz w:val="24"/>
              </w:rPr>
              <w:t>项目建设符合当前的环保政策，满足规划环评中对进区项目的环保要求，</w:t>
            </w:r>
            <w:r>
              <w:rPr>
                <w:rFonts w:hint="eastAsia"/>
                <w:color w:val="auto"/>
                <w:sz w:val="24"/>
                <w:lang w:val="en-US" w:eastAsia="zh-CN"/>
              </w:rPr>
              <w:t>符合</w:t>
            </w:r>
            <w:r>
              <w:rPr>
                <w:color w:val="auto"/>
                <w:sz w:val="24"/>
              </w:rPr>
              <w:t>《福州临空经济区产业布局规划</w:t>
            </w:r>
            <w:r>
              <w:rPr>
                <w:rFonts w:hint="eastAsia"/>
                <w:color w:val="auto"/>
                <w:sz w:val="24"/>
              </w:rPr>
              <w:t>（</w:t>
            </w:r>
            <w:r>
              <w:rPr>
                <w:color w:val="auto"/>
                <w:sz w:val="24"/>
              </w:rPr>
              <w:t>2021-2025年</w:t>
            </w:r>
            <w:r>
              <w:rPr>
                <w:rFonts w:hint="eastAsia"/>
                <w:color w:val="auto"/>
                <w:sz w:val="24"/>
              </w:rPr>
              <w:t>）</w:t>
            </w:r>
            <w:r>
              <w:rPr>
                <w:color w:val="auto"/>
                <w:sz w:val="24"/>
              </w:rPr>
              <w:t>修编环境影响报告书》及审查意见</w:t>
            </w:r>
            <w:r>
              <w:rPr>
                <w:rFonts w:hint="eastAsia"/>
                <w:color w:val="auto"/>
                <w:sz w:val="24"/>
                <w:lang w:val="en-US" w:eastAsia="zh-CN"/>
              </w:rPr>
              <w:t>要求</w:t>
            </w:r>
            <w:r>
              <w:rPr>
                <w:color w:val="auto"/>
                <w:sz w:val="24"/>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38" w:type="dxa"/>
            <w:vAlign w:val="center"/>
          </w:tcPr>
          <w:p>
            <w:pPr>
              <w:autoSpaceDE w:val="0"/>
              <w:autoSpaceDN w:val="0"/>
              <w:adjustRightInd w:val="0"/>
              <w:snapToGrid w:val="0"/>
              <w:jc w:val="center"/>
              <w:rPr>
                <w:b/>
                <w:color w:val="auto"/>
                <w:kern w:val="0"/>
                <w:sz w:val="24"/>
                <w:szCs w:val="21"/>
              </w:rPr>
            </w:pPr>
            <w:r>
              <w:rPr>
                <w:b/>
                <w:color w:val="auto"/>
                <w:kern w:val="0"/>
                <w:sz w:val="24"/>
                <w:szCs w:val="21"/>
              </w:rPr>
              <w:t>其他符合性</w:t>
            </w:r>
          </w:p>
          <w:p>
            <w:pPr>
              <w:autoSpaceDE w:val="0"/>
              <w:autoSpaceDN w:val="0"/>
              <w:adjustRightInd w:val="0"/>
              <w:snapToGrid w:val="0"/>
              <w:jc w:val="center"/>
              <w:rPr>
                <w:b/>
                <w:color w:val="auto"/>
                <w:kern w:val="0"/>
                <w:sz w:val="24"/>
                <w:szCs w:val="21"/>
              </w:rPr>
            </w:pPr>
            <w:r>
              <w:rPr>
                <w:b/>
                <w:color w:val="auto"/>
                <w:kern w:val="0"/>
                <w:sz w:val="24"/>
                <w:szCs w:val="21"/>
              </w:rPr>
              <w:t>分析</w:t>
            </w:r>
          </w:p>
        </w:tc>
        <w:tc>
          <w:tcPr>
            <w:tcW w:w="7403" w:type="dxa"/>
            <w:gridSpan w:val="4"/>
            <w:vAlign w:val="center"/>
          </w:tcPr>
          <w:p>
            <w:pPr>
              <w:pStyle w:val="93"/>
              <w:ind w:firstLine="0" w:firstLineChars="0"/>
              <w:rPr>
                <w:rFonts w:cs="Times New Roman"/>
                <w:b/>
                <w:color w:val="auto"/>
                <w:sz w:val="24"/>
                <w:szCs w:val="24"/>
              </w:rPr>
            </w:pPr>
            <w:r>
              <w:rPr>
                <w:rFonts w:hint="eastAsia" w:cs="Times New Roman"/>
                <w:b/>
                <w:color w:val="auto"/>
                <w:sz w:val="24"/>
                <w:szCs w:val="24"/>
              </w:rPr>
              <w:t>1、选址符合性分析</w:t>
            </w:r>
          </w:p>
          <w:p>
            <w:pPr>
              <w:pStyle w:val="93"/>
              <w:ind w:firstLine="480"/>
              <w:rPr>
                <w:color w:val="auto"/>
                <w:sz w:val="24"/>
                <w:szCs w:val="24"/>
              </w:rPr>
            </w:pPr>
            <w:r>
              <w:rPr>
                <w:rFonts w:hint="eastAsia"/>
                <w:color w:val="auto"/>
                <w:sz w:val="24"/>
                <w:szCs w:val="24"/>
              </w:rPr>
              <w:t>扩建项目</w:t>
            </w:r>
            <w:r>
              <w:rPr>
                <w:color w:val="auto"/>
                <w:sz w:val="24"/>
                <w:szCs w:val="24"/>
              </w:rPr>
              <w:t>位于</w:t>
            </w:r>
            <w:r>
              <w:rPr>
                <w:color w:val="auto"/>
                <w:sz w:val="24"/>
              </w:rPr>
              <w:t>福建省</w:t>
            </w:r>
            <w:r>
              <w:rPr>
                <w:rFonts w:hint="eastAsia"/>
                <w:color w:val="auto"/>
                <w:sz w:val="24"/>
              </w:rPr>
              <w:t>福州</w:t>
            </w:r>
            <w:r>
              <w:rPr>
                <w:color w:val="auto"/>
                <w:sz w:val="24"/>
              </w:rPr>
              <w:t>市</w:t>
            </w:r>
            <w:r>
              <w:rPr>
                <w:rFonts w:hint="eastAsia"/>
                <w:color w:val="auto"/>
                <w:sz w:val="24"/>
              </w:rPr>
              <w:t>长乐区漳港街道渡桥村</w:t>
            </w:r>
            <w:r>
              <w:rPr>
                <w:rFonts w:hint="eastAsia"/>
                <w:color w:val="auto"/>
                <w:sz w:val="24"/>
                <w:szCs w:val="24"/>
              </w:rPr>
              <w:t>，租赁福州市长乐区力驰针纺有限公司已建厂房进行建设</w:t>
            </w:r>
            <w:r>
              <w:rPr>
                <w:rFonts w:cs="Times New Roman"/>
                <w:color w:val="auto"/>
                <w:sz w:val="24"/>
                <w:szCs w:val="24"/>
              </w:rPr>
              <w:t>，根据福州市长乐区力驰针纺有限公司</w:t>
            </w:r>
            <w:r>
              <w:rPr>
                <w:rFonts w:hint="eastAsia" w:cs="Times New Roman"/>
                <w:color w:val="auto"/>
                <w:sz w:val="24"/>
                <w:szCs w:val="24"/>
              </w:rPr>
              <w:t>土地证</w:t>
            </w:r>
            <w:r>
              <w:rPr>
                <w:rFonts w:cs="Times New Roman"/>
                <w:color w:val="auto"/>
                <w:sz w:val="24"/>
                <w:szCs w:val="24"/>
              </w:rPr>
              <w:t>（见</w:t>
            </w:r>
            <w:r>
              <w:rPr>
                <w:rFonts w:cs="Times New Roman"/>
                <w:b/>
                <w:bCs/>
                <w:color w:val="auto"/>
                <w:sz w:val="24"/>
                <w:szCs w:val="24"/>
              </w:rPr>
              <w:t>附件</w:t>
            </w:r>
            <w:r>
              <w:rPr>
                <w:rFonts w:hint="eastAsia" w:cs="Times New Roman"/>
                <w:b/>
                <w:bCs/>
                <w:color w:val="auto"/>
                <w:sz w:val="24"/>
                <w:szCs w:val="24"/>
              </w:rPr>
              <w:t>5</w:t>
            </w:r>
            <w:r>
              <w:rPr>
                <w:rFonts w:cs="Times New Roman"/>
                <w:color w:val="auto"/>
                <w:sz w:val="24"/>
                <w:szCs w:val="24"/>
              </w:rPr>
              <w:t>），用地性质属于工业用地，符合土地利用规划的要求，项目建设用地符合区域土地利用规划要求，</w:t>
            </w:r>
            <w:r>
              <w:rPr>
                <w:rFonts w:hint="eastAsia"/>
                <w:color w:val="auto"/>
                <w:sz w:val="24"/>
                <w:szCs w:val="24"/>
              </w:rPr>
              <w:t>用地手续合法，项目选址合理可行。</w:t>
            </w:r>
          </w:p>
          <w:p>
            <w:pPr>
              <w:pStyle w:val="93"/>
              <w:ind w:firstLine="0" w:firstLineChars="0"/>
              <w:rPr>
                <w:b/>
                <w:color w:val="auto"/>
                <w:sz w:val="24"/>
                <w:szCs w:val="24"/>
              </w:rPr>
            </w:pPr>
            <w:r>
              <w:rPr>
                <w:rFonts w:hint="eastAsia" w:cs="Times New Roman"/>
                <w:b/>
                <w:color w:val="auto"/>
                <w:sz w:val="24"/>
                <w:szCs w:val="24"/>
              </w:rPr>
              <w:t>2、</w:t>
            </w:r>
            <w:r>
              <w:rPr>
                <w:rFonts w:hint="eastAsia"/>
                <w:b/>
                <w:color w:val="auto"/>
                <w:sz w:val="24"/>
                <w:szCs w:val="24"/>
              </w:rPr>
              <w:t>产业政策符合性分析</w:t>
            </w:r>
          </w:p>
          <w:p>
            <w:pPr>
              <w:pStyle w:val="170"/>
              <w:ind w:firstLine="480"/>
              <w:rPr>
                <w:color w:val="auto"/>
              </w:rPr>
            </w:pPr>
            <w:r>
              <w:rPr>
                <w:rFonts w:hint="eastAsia"/>
                <w:color w:val="auto"/>
                <w:szCs w:val="24"/>
              </w:rPr>
              <w:t>对照</w:t>
            </w:r>
            <w:r>
              <w:rPr>
                <w:color w:val="auto"/>
                <w:szCs w:val="24"/>
              </w:rPr>
              <w:t>《产业结构调整指导目录（20</w:t>
            </w:r>
            <w:r>
              <w:rPr>
                <w:rFonts w:hint="eastAsia"/>
                <w:color w:val="auto"/>
                <w:szCs w:val="24"/>
              </w:rPr>
              <w:t>24</w:t>
            </w:r>
            <w:r>
              <w:rPr>
                <w:color w:val="auto"/>
                <w:szCs w:val="24"/>
              </w:rPr>
              <w:t>年本）》</w:t>
            </w:r>
            <w:r>
              <w:rPr>
                <w:rFonts w:hint="eastAsia"/>
                <w:color w:val="auto"/>
                <w:szCs w:val="24"/>
              </w:rPr>
              <w:t>，扩建</w:t>
            </w:r>
            <w:r>
              <w:rPr>
                <w:rFonts w:hint="eastAsia"/>
                <w:color w:val="auto"/>
              </w:rPr>
              <w:t>项目不属于其中限制类、淘汰类项目，符合国家产业政策要求。扩建项目已取得福州市长乐区工业和信息化局的备案表（备案号：闽工信备</w:t>
            </w:r>
            <w:r>
              <w:rPr>
                <w:rFonts w:hint="eastAsia"/>
                <w:color w:val="auto"/>
                <w:lang w:eastAsia="zh-CN"/>
              </w:rPr>
              <w:t>〔2025〕6号</w:t>
            </w:r>
            <w:r>
              <w:rPr>
                <w:rFonts w:hint="eastAsia"/>
                <w:color w:val="auto"/>
              </w:rPr>
              <w:t>），由此可知，扩建项目的建设符合国家产业政策的要求。</w:t>
            </w:r>
          </w:p>
          <w:p>
            <w:pPr>
              <w:pStyle w:val="130"/>
              <w:rPr>
                <w:rFonts w:eastAsia="宋体" w:cs="宋体"/>
                <w:b/>
                <w:color w:val="auto"/>
                <w:kern w:val="0"/>
                <w:sz w:val="24"/>
                <w:szCs w:val="24"/>
              </w:rPr>
            </w:pPr>
            <w:r>
              <w:rPr>
                <w:rFonts w:hint="eastAsia" w:eastAsia="宋体" w:cs="宋体"/>
                <w:b/>
                <w:color w:val="auto"/>
                <w:kern w:val="0"/>
                <w:sz w:val="24"/>
                <w:szCs w:val="24"/>
              </w:rPr>
              <w:t>3、</w:t>
            </w:r>
            <w:r>
              <w:rPr>
                <w:rFonts w:eastAsia="宋体" w:cs="宋体"/>
                <w:b/>
                <w:color w:val="auto"/>
                <w:kern w:val="0"/>
                <w:sz w:val="24"/>
                <w:szCs w:val="24"/>
              </w:rPr>
              <w:t>环境相容性分析</w:t>
            </w:r>
          </w:p>
          <w:p>
            <w:pPr>
              <w:pStyle w:val="93"/>
              <w:ind w:firstLine="480"/>
              <w:rPr>
                <w:color w:val="auto"/>
                <w:sz w:val="24"/>
                <w:szCs w:val="24"/>
              </w:rPr>
            </w:pPr>
            <w:r>
              <w:rPr>
                <w:color w:val="auto"/>
                <w:sz w:val="24"/>
                <w:szCs w:val="24"/>
              </w:rPr>
              <w:t>（1）大气环境相容性分析</w:t>
            </w:r>
          </w:p>
          <w:p>
            <w:pPr>
              <w:pStyle w:val="93"/>
              <w:ind w:firstLine="480"/>
              <w:rPr>
                <w:color w:val="auto"/>
                <w:sz w:val="24"/>
                <w:szCs w:val="24"/>
              </w:rPr>
            </w:pPr>
            <w:r>
              <w:rPr>
                <w:rFonts w:hint="eastAsia"/>
                <w:color w:val="auto"/>
                <w:sz w:val="24"/>
                <w:szCs w:val="24"/>
              </w:rPr>
              <w:t>扩建</w:t>
            </w:r>
            <w:r>
              <w:rPr>
                <w:color w:val="auto"/>
                <w:sz w:val="24"/>
                <w:szCs w:val="24"/>
              </w:rPr>
              <w:t>项目所在区域环境空气质量能够满足《环境空气质量标准》</w:t>
            </w:r>
            <w:r>
              <w:rPr>
                <w:rFonts w:hint="eastAsia"/>
                <w:color w:val="auto"/>
                <w:sz w:val="24"/>
                <w:szCs w:val="24"/>
              </w:rPr>
              <w:t>（</w:t>
            </w:r>
            <w:r>
              <w:rPr>
                <w:color w:val="auto"/>
                <w:sz w:val="24"/>
                <w:szCs w:val="24"/>
              </w:rPr>
              <w:t>GB3095-2012</w:t>
            </w:r>
            <w:r>
              <w:rPr>
                <w:rFonts w:hint="eastAsia"/>
                <w:color w:val="auto"/>
                <w:sz w:val="24"/>
                <w:szCs w:val="24"/>
              </w:rPr>
              <w:t>）</w:t>
            </w:r>
            <w:r>
              <w:rPr>
                <w:rFonts w:hint="eastAsia"/>
                <w:color w:val="auto"/>
                <w:sz w:val="24"/>
                <w:szCs w:val="24"/>
                <w:lang w:val="en-US" w:eastAsia="zh-CN"/>
              </w:rPr>
              <w:t>及其修改单中的</w:t>
            </w:r>
            <w:r>
              <w:rPr>
                <w:color w:val="auto"/>
                <w:sz w:val="24"/>
                <w:szCs w:val="24"/>
              </w:rPr>
              <w:t>二级标准要求，环境空气质量状况良好。</w:t>
            </w:r>
          </w:p>
          <w:p>
            <w:pPr>
              <w:pStyle w:val="93"/>
              <w:ind w:firstLine="480"/>
              <w:rPr>
                <w:color w:val="auto"/>
                <w:sz w:val="24"/>
                <w:szCs w:val="24"/>
              </w:rPr>
            </w:pPr>
            <w:r>
              <w:rPr>
                <w:color w:val="auto"/>
                <w:sz w:val="24"/>
                <w:szCs w:val="24"/>
              </w:rPr>
              <w:t>通过大气环境影响分析与预测，项目建成投产后排放的大气污染物对环境空气质量影响有限，评价区域内环境空气质量能够满足二级要求。</w:t>
            </w:r>
          </w:p>
          <w:p>
            <w:pPr>
              <w:pStyle w:val="93"/>
              <w:ind w:firstLine="480"/>
              <w:rPr>
                <w:color w:val="auto"/>
                <w:sz w:val="24"/>
                <w:szCs w:val="24"/>
              </w:rPr>
            </w:pPr>
            <w:r>
              <w:rPr>
                <w:color w:val="auto"/>
                <w:sz w:val="24"/>
                <w:szCs w:val="24"/>
              </w:rPr>
              <w:t>（2）地表水环境相容性分析</w:t>
            </w:r>
          </w:p>
          <w:p>
            <w:pPr>
              <w:pStyle w:val="93"/>
              <w:ind w:firstLine="480"/>
              <w:rPr>
                <w:color w:val="auto"/>
                <w:sz w:val="24"/>
                <w:szCs w:val="24"/>
              </w:rPr>
            </w:pPr>
            <w:r>
              <w:rPr>
                <w:rFonts w:hint="eastAsia"/>
                <w:color w:val="auto"/>
                <w:sz w:val="24"/>
                <w:szCs w:val="24"/>
              </w:rPr>
              <w:t>扩建</w:t>
            </w:r>
            <w:r>
              <w:rPr>
                <w:color w:val="auto"/>
                <w:sz w:val="24"/>
                <w:szCs w:val="24"/>
              </w:rPr>
              <w:t>项目周边水体为</w:t>
            </w:r>
            <w:r>
              <w:rPr>
                <w:rFonts w:cs="Times New Roman"/>
                <w:color w:val="auto"/>
                <w:sz w:val="24"/>
                <w:szCs w:val="24"/>
              </w:rPr>
              <w:t>陈塘港水域</w:t>
            </w:r>
            <w:r>
              <w:rPr>
                <w:color w:val="auto"/>
                <w:sz w:val="24"/>
                <w:szCs w:val="24"/>
              </w:rPr>
              <w:t>，水环境功能区划为</w:t>
            </w:r>
            <w:r>
              <w:rPr>
                <w:rFonts w:hint="eastAsia" w:ascii="宋体" w:hAnsi="宋体"/>
                <w:color w:val="auto"/>
                <w:sz w:val="24"/>
                <w:szCs w:val="24"/>
              </w:rPr>
              <w:t>V</w:t>
            </w:r>
            <w:r>
              <w:rPr>
                <w:color w:val="auto"/>
                <w:sz w:val="24"/>
                <w:szCs w:val="24"/>
              </w:rPr>
              <w:t>类，根据地表水环境现状调查分析，</w:t>
            </w:r>
            <w:r>
              <w:rPr>
                <w:rFonts w:hint="eastAsia"/>
                <w:color w:val="auto"/>
                <w:sz w:val="24"/>
                <w:szCs w:val="24"/>
              </w:rPr>
              <w:t>其</w:t>
            </w:r>
            <w:r>
              <w:rPr>
                <w:color w:val="auto"/>
                <w:sz w:val="24"/>
                <w:szCs w:val="24"/>
              </w:rPr>
              <w:t>水质符合</w:t>
            </w:r>
            <w:r>
              <w:rPr>
                <w:rFonts w:hint="eastAsia" w:ascii="宋体" w:hAnsi="宋体"/>
                <w:color w:val="auto"/>
                <w:sz w:val="24"/>
                <w:szCs w:val="24"/>
              </w:rPr>
              <w:t>V类</w:t>
            </w:r>
            <w:r>
              <w:rPr>
                <w:color w:val="auto"/>
                <w:sz w:val="24"/>
                <w:szCs w:val="24"/>
              </w:rPr>
              <w:t>水质要求。</w:t>
            </w:r>
            <w:r>
              <w:rPr>
                <w:rFonts w:hint="eastAsia"/>
                <w:color w:val="auto"/>
                <w:sz w:val="24"/>
                <w:szCs w:val="24"/>
              </w:rPr>
              <w:t>扩建</w:t>
            </w:r>
            <w:r>
              <w:rPr>
                <w:color w:val="auto"/>
                <w:sz w:val="24"/>
                <w:szCs w:val="24"/>
              </w:rPr>
              <w:t>项目</w:t>
            </w:r>
            <w:r>
              <w:rPr>
                <w:rFonts w:hint="eastAsia"/>
                <w:color w:val="auto"/>
                <w:sz w:val="24"/>
                <w:szCs w:val="24"/>
              </w:rPr>
              <w:t>生活污水经化粪池处理达标后纳入长乐区</w:t>
            </w:r>
            <w:r>
              <w:rPr>
                <w:rFonts w:hint="eastAsia"/>
                <w:color w:val="auto"/>
                <w:sz w:val="24"/>
                <w:szCs w:val="24"/>
                <w:lang w:val="en-US" w:eastAsia="zh-CN"/>
              </w:rPr>
              <w:t>滨海</w:t>
            </w:r>
            <w:r>
              <w:rPr>
                <w:rFonts w:hint="eastAsia"/>
                <w:color w:val="auto"/>
                <w:sz w:val="24"/>
                <w:szCs w:val="24"/>
              </w:rPr>
              <w:t>污水处理厂处理</w:t>
            </w:r>
            <w:r>
              <w:rPr>
                <w:color w:val="auto"/>
                <w:sz w:val="24"/>
                <w:szCs w:val="24"/>
              </w:rPr>
              <w:t>，不会对纳污水域水环境产生太大影响，地表水水质能够满足</w:t>
            </w:r>
            <w:r>
              <w:rPr>
                <w:rFonts w:hint="eastAsia" w:ascii="宋体" w:hAnsi="宋体"/>
                <w:color w:val="auto"/>
                <w:sz w:val="24"/>
                <w:szCs w:val="24"/>
              </w:rPr>
              <w:t>V类</w:t>
            </w:r>
            <w:r>
              <w:rPr>
                <w:color w:val="auto"/>
                <w:sz w:val="24"/>
                <w:szCs w:val="24"/>
              </w:rPr>
              <w:t>水质功能要求。</w:t>
            </w:r>
          </w:p>
          <w:p>
            <w:pPr>
              <w:pStyle w:val="93"/>
              <w:ind w:firstLine="480"/>
              <w:rPr>
                <w:color w:val="auto"/>
                <w:sz w:val="24"/>
                <w:szCs w:val="24"/>
              </w:rPr>
            </w:pPr>
            <w:r>
              <w:rPr>
                <w:color w:val="auto"/>
                <w:sz w:val="24"/>
                <w:szCs w:val="24"/>
              </w:rPr>
              <w:t>（3）声环境相容性分析</w:t>
            </w:r>
          </w:p>
          <w:p>
            <w:pPr>
              <w:pStyle w:val="93"/>
              <w:ind w:firstLine="480"/>
              <w:rPr>
                <w:color w:val="auto"/>
                <w:sz w:val="24"/>
                <w:szCs w:val="24"/>
              </w:rPr>
            </w:pPr>
            <w:r>
              <w:rPr>
                <w:rFonts w:hint="eastAsia"/>
                <w:color w:val="auto"/>
                <w:sz w:val="24"/>
                <w:szCs w:val="24"/>
              </w:rPr>
              <w:t>扩建</w:t>
            </w:r>
            <w:r>
              <w:rPr>
                <w:color w:val="auto"/>
                <w:sz w:val="24"/>
                <w:szCs w:val="24"/>
              </w:rPr>
              <w:t>项目通过采取综合减振降噪措施后，厂界噪声可以达标。本项目正常运营时不会对周边居民造成明显影响。</w:t>
            </w:r>
          </w:p>
          <w:p>
            <w:pPr>
              <w:pStyle w:val="130"/>
              <w:rPr>
                <w:rFonts w:eastAsia="宋体" w:cs="宋体"/>
                <w:b/>
                <w:color w:val="auto"/>
                <w:kern w:val="0"/>
                <w:sz w:val="24"/>
                <w:szCs w:val="24"/>
              </w:rPr>
            </w:pPr>
            <w:r>
              <w:rPr>
                <w:rFonts w:hint="eastAsia" w:eastAsia="宋体" w:cs="宋体"/>
                <w:b/>
                <w:color w:val="auto"/>
                <w:kern w:val="0"/>
                <w:sz w:val="24"/>
                <w:szCs w:val="24"/>
                <w:lang w:val="en-US" w:eastAsia="zh-CN"/>
              </w:rPr>
              <w:t>4</w:t>
            </w:r>
            <w:r>
              <w:rPr>
                <w:rFonts w:hint="eastAsia" w:eastAsia="宋体" w:cs="宋体"/>
                <w:b/>
                <w:color w:val="auto"/>
                <w:kern w:val="0"/>
                <w:sz w:val="24"/>
                <w:szCs w:val="24"/>
              </w:rPr>
              <w:t>、与国土空间规划的符合性</w:t>
            </w:r>
            <w:r>
              <w:rPr>
                <w:rFonts w:eastAsia="宋体" w:cs="宋体"/>
                <w:b/>
                <w:color w:val="auto"/>
                <w:kern w:val="0"/>
                <w:sz w:val="24"/>
                <w:szCs w:val="24"/>
              </w:rPr>
              <w:t>分析</w:t>
            </w:r>
          </w:p>
          <w:p>
            <w:pPr>
              <w:pStyle w:val="93"/>
              <w:ind w:left="0" w:leftChars="0" w:firstLine="480" w:firstLineChars="200"/>
              <w:rPr>
                <w:rFonts w:hint="eastAsia" w:eastAsia="宋体"/>
                <w:color w:val="auto"/>
                <w:sz w:val="24"/>
                <w:szCs w:val="24"/>
                <w:lang w:eastAsia="zh-CN"/>
              </w:rPr>
            </w:pPr>
            <w:r>
              <w:rPr>
                <w:rFonts w:hint="eastAsia"/>
                <w:color w:val="auto"/>
                <w:sz w:val="24"/>
                <w:szCs w:val="24"/>
              </w:rPr>
              <w:t>福建省福州市长乐区漳港街道渡桥村，属于福州临空经济区。根据与本轮《福州市国土空间总体规划（2021-2035年）》中的城镇开发边界、生态保护红线、永久基本农田叠图（</w:t>
            </w:r>
            <w:r>
              <w:rPr>
                <w:rFonts w:hint="eastAsia"/>
                <w:b/>
                <w:bCs/>
                <w:color w:val="auto"/>
                <w:sz w:val="24"/>
                <w:szCs w:val="24"/>
              </w:rPr>
              <w:t>见附图</w:t>
            </w:r>
            <w:r>
              <w:rPr>
                <w:rFonts w:hint="eastAsia"/>
                <w:b/>
                <w:bCs/>
                <w:color w:val="auto"/>
                <w:sz w:val="24"/>
                <w:szCs w:val="24"/>
                <w:lang w:val="en-US" w:eastAsia="zh-CN"/>
              </w:rPr>
              <w:t>10</w:t>
            </w:r>
            <w:r>
              <w:rPr>
                <w:rFonts w:hint="eastAsia"/>
                <w:color w:val="auto"/>
                <w:sz w:val="24"/>
                <w:szCs w:val="24"/>
              </w:rPr>
              <w:t>），福州临空经济区位于城镇开发边界内，不涉及生态保护红线、永久基本农田，不占用生态用地，减少开发建设活动对生态环境的影响</w:t>
            </w:r>
            <w:r>
              <w:rPr>
                <w:rFonts w:hint="eastAsia"/>
                <w:color w:val="auto"/>
                <w:sz w:val="24"/>
                <w:szCs w:val="24"/>
                <w:lang w:eastAsia="zh-CN"/>
              </w:rPr>
              <w:t>。</w:t>
            </w:r>
          </w:p>
          <w:p>
            <w:pPr>
              <w:pStyle w:val="93"/>
              <w:numPr>
                <w:ilvl w:val="0"/>
                <w:numId w:val="4"/>
              </w:numPr>
              <w:ind w:firstLine="0" w:firstLineChars="0"/>
              <w:rPr>
                <w:rFonts w:hint="eastAsia" w:cs="Times New Roman"/>
                <w:snapToGrid w:val="0"/>
                <w:color w:val="auto"/>
                <w:kern w:val="18"/>
                <w:sz w:val="24"/>
                <w:szCs w:val="24"/>
              </w:rPr>
            </w:pPr>
            <w:r>
              <w:rPr>
                <w:rFonts w:hint="eastAsia" w:cs="Times New Roman"/>
                <w:color w:val="auto"/>
                <w:sz w:val="24"/>
                <w:szCs w:val="24"/>
                <w:lang w:val="en-US" w:eastAsia="zh-CN"/>
              </w:rPr>
              <w:t>与</w:t>
            </w:r>
            <w:r>
              <w:rPr>
                <w:rFonts w:hint="eastAsia" w:cs="Times New Roman"/>
                <w:snapToGrid w:val="0"/>
                <w:color w:val="auto"/>
                <w:kern w:val="18"/>
                <w:sz w:val="24"/>
                <w:szCs w:val="24"/>
              </w:rPr>
              <w:t>《</w:t>
            </w:r>
            <w:r>
              <w:rPr>
                <w:rFonts w:hint="eastAsia" w:cs="Times New Roman"/>
                <w:snapToGrid w:val="0"/>
                <w:color w:val="auto"/>
                <w:kern w:val="18"/>
                <w:sz w:val="24"/>
                <w:szCs w:val="24"/>
                <w:lang w:val="en-US" w:eastAsia="zh-CN"/>
              </w:rPr>
              <w:t>关于发布</w:t>
            </w:r>
            <w:r>
              <w:rPr>
                <w:rFonts w:hint="eastAsia" w:cs="Times New Roman"/>
                <w:snapToGrid w:val="0"/>
                <w:color w:val="auto"/>
                <w:kern w:val="18"/>
                <w:sz w:val="24"/>
                <w:szCs w:val="24"/>
              </w:rPr>
              <w:t>福州市</w:t>
            </w:r>
            <w:r>
              <w:rPr>
                <w:rFonts w:hint="eastAsia" w:cs="Times New Roman"/>
                <w:snapToGrid w:val="0"/>
                <w:color w:val="auto"/>
                <w:kern w:val="18"/>
                <w:sz w:val="24"/>
                <w:szCs w:val="24"/>
                <w:lang w:val="en-US" w:eastAsia="zh-CN"/>
              </w:rPr>
              <w:t>2024年生态环境分区管控动态更新成果的通知》（榕环保综〔2025〕1号）的符合性分析</w:t>
            </w:r>
          </w:p>
          <w:p>
            <w:pPr>
              <w:pStyle w:val="93"/>
              <w:numPr>
                <w:ilvl w:val="0"/>
                <w:numId w:val="0"/>
              </w:numPr>
              <w:ind w:firstLine="480" w:firstLineChars="200"/>
              <w:rPr>
                <w:rFonts w:cs="Times New Roman"/>
                <w:color w:val="auto"/>
                <w:sz w:val="24"/>
                <w:szCs w:val="24"/>
              </w:rPr>
            </w:pPr>
            <w:r>
              <w:rPr>
                <w:rFonts w:cs="Times New Roman"/>
                <w:snapToGrid w:val="0"/>
                <w:color w:val="auto"/>
                <w:kern w:val="18"/>
                <w:sz w:val="24"/>
                <w:szCs w:val="24"/>
              </w:rPr>
              <w:t>扩建项目所在地属于“福州临空经济区”</w:t>
            </w:r>
            <w:r>
              <w:rPr>
                <w:rFonts w:hint="eastAsia" w:cs="Times New Roman"/>
                <w:snapToGrid w:val="0"/>
                <w:color w:val="auto"/>
                <w:kern w:val="18"/>
                <w:sz w:val="24"/>
                <w:szCs w:val="24"/>
                <w:lang w:eastAsia="zh-CN"/>
              </w:rPr>
              <w:t>，</w:t>
            </w:r>
            <w:r>
              <w:rPr>
                <w:rFonts w:hint="eastAsia" w:cs="Times New Roman"/>
                <w:snapToGrid w:val="0"/>
                <w:color w:val="auto"/>
                <w:kern w:val="18"/>
                <w:sz w:val="24"/>
                <w:szCs w:val="24"/>
                <w:lang w:val="en-US" w:eastAsia="zh-CN"/>
              </w:rPr>
              <w:t>属于重点管控单元（ZH35011220002），</w:t>
            </w:r>
            <w:r>
              <w:rPr>
                <w:rFonts w:cs="Times New Roman"/>
                <w:snapToGrid w:val="0"/>
                <w:color w:val="auto"/>
                <w:kern w:val="18"/>
                <w:sz w:val="24"/>
                <w:szCs w:val="24"/>
              </w:rPr>
              <w:t>扩建项目环境管控单元叠图详见</w:t>
            </w:r>
            <w:r>
              <w:rPr>
                <w:rFonts w:cs="Times New Roman"/>
                <w:b/>
                <w:bCs/>
                <w:snapToGrid w:val="0"/>
                <w:color w:val="auto"/>
                <w:kern w:val="18"/>
                <w:sz w:val="24"/>
                <w:szCs w:val="24"/>
              </w:rPr>
              <w:t>图1.1-</w:t>
            </w:r>
            <w:r>
              <w:rPr>
                <w:rFonts w:hint="eastAsia" w:cs="Times New Roman"/>
                <w:b/>
                <w:bCs/>
                <w:snapToGrid w:val="0"/>
                <w:color w:val="auto"/>
                <w:kern w:val="18"/>
                <w:sz w:val="24"/>
                <w:szCs w:val="24"/>
                <w:lang w:val="en-US" w:eastAsia="zh-CN"/>
              </w:rPr>
              <w:t>2</w:t>
            </w:r>
            <w:r>
              <w:rPr>
                <w:rFonts w:cs="Times New Roman"/>
                <w:snapToGrid w:val="0"/>
                <w:color w:val="auto"/>
                <w:kern w:val="18"/>
                <w:sz w:val="24"/>
                <w:szCs w:val="24"/>
              </w:rPr>
              <w:t>，查询报告详见</w:t>
            </w:r>
            <w:r>
              <w:rPr>
                <w:rFonts w:cs="Times New Roman"/>
                <w:b/>
                <w:bCs/>
                <w:snapToGrid w:val="0"/>
                <w:color w:val="auto"/>
                <w:kern w:val="18"/>
                <w:sz w:val="24"/>
                <w:szCs w:val="24"/>
              </w:rPr>
              <w:t>附件1</w:t>
            </w:r>
            <w:r>
              <w:rPr>
                <w:rFonts w:hint="eastAsia" w:cs="Times New Roman"/>
                <w:b/>
                <w:bCs/>
                <w:snapToGrid w:val="0"/>
                <w:color w:val="auto"/>
                <w:kern w:val="18"/>
                <w:sz w:val="24"/>
                <w:szCs w:val="24"/>
              </w:rPr>
              <w:t>3</w:t>
            </w:r>
            <w:r>
              <w:rPr>
                <w:rFonts w:cs="Times New Roman"/>
                <w:snapToGrid w:val="0"/>
                <w:color w:val="auto"/>
                <w:kern w:val="18"/>
                <w:sz w:val="24"/>
                <w:szCs w:val="24"/>
              </w:rPr>
              <w:t>，其管控要求见</w:t>
            </w:r>
            <w:r>
              <w:rPr>
                <w:rFonts w:cs="Times New Roman"/>
                <w:b/>
                <w:bCs/>
                <w:snapToGrid w:val="0"/>
                <w:color w:val="auto"/>
                <w:kern w:val="18"/>
                <w:sz w:val="24"/>
                <w:szCs w:val="24"/>
              </w:rPr>
              <w:t>表1.1-</w:t>
            </w:r>
            <w:r>
              <w:rPr>
                <w:rFonts w:hint="eastAsia" w:cs="Times New Roman"/>
                <w:b/>
                <w:bCs/>
                <w:snapToGrid w:val="0"/>
                <w:color w:val="auto"/>
                <w:kern w:val="18"/>
                <w:sz w:val="24"/>
                <w:szCs w:val="24"/>
                <w:lang w:val="en-US" w:eastAsia="zh-CN"/>
              </w:rPr>
              <w:t>4</w:t>
            </w:r>
            <w:r>
              <w:rPr>
                <w:rFonts w:cs="Times New Roman"/>
                <w:color w:val="auto"/>
                <w:sz w:val="24"/>
                <w:szCs w:val="24"/>
              </w:rPr>
              <w:t>。</w:t>
            </w:r>
          </w:p>
          <w:p>
            <w:pPr>
              <w:pStyle w:val="159"/>
              <w:spacing w:before="182"/>
              <w:ind w:right="103"/>
              <w:jc w:val="center"/>
              <w:rPr>
                <w:rFonts w:ascii="Times New Roman" w:hAnsi="Times New Roman" w:cs="Times New Roman"/>
                <w:color w:val="auto"/>
                <w:spacing w:val="-2"/>
                <w:lang w:eastAsia="zh-CN"/>
              </w:rPr>
            </w:pPr>
            <w:r>
              <w:rPr>
                <w:color w:val="auto"/>
              </w:rPr>
              <mc:AlternateContent>
                <mc:Choice Requires="wps">
                  <w:drawing>
                    <wp:anchor distT="0" distB="0" distL="114300" distR="114300" simplePos="0" relativeHeight="251663360" behindDoc="0" locked="0" layoutInCell="1" allowOverlap="1">
                      <wp:simplePos x="0" y="0"/>
                      <wp:positionH relativeFrom="column">
                        <wp:posOffset>1769110</wp:posOffset>
                      </wp:positionH>
                      <wp:positionV relativeFrom="paragraph">
                        <wp:posOffset>972185</wp:posOffset>
                      </wp:positionV>
                      <wp:extent cx="1828800" cy="182880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C000"/>
                                      <w:szCs w:val="21"/>
                                      <w14:shadow w14:blurRad="38100" w14:dist="19050" w14:dir="2700000" w14:sx="100000" w14:sy="100000" w14:kx="0" w14:ky="0" w14:algn="tl">
                                        <w14:schemeClr w14:val="dk1">
                                          <w14:alpha w14:val="60000"/>
                                        </w14:schemeClr>
                                      </w14:shadow>
                                    </w:rPr>
                                  </w:pPr>
                                  <w:r>
                                    <w:rPr>
                                      <w:rFonts w:hint="eastAsia"/>
                                      <w:b/>
                                      <w:bCs/>
                                      <w:color w:val="FFC000"/>
                                      <w:szCs w:val="21"/>
                                      <w14:shadow w14:blurRad="38100" w14:dist="19050" w14:dir="2700000" w14:sx="100000" w14:sy="100000" w14:kx="0" w14:ky="0" w14:algn="tl">
                                        <w14:schemeClr w14:val="dk1">
                                          <w14:alpha w14:val="60000"/>
                                        </w14:schemeClr>
                                      </w14:shadow>
                                    </w:rPr>
                                    <w:t>项目位置</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139.3pt;margin-top:76.55pt;height:144pt;width:144pt;mso-wrap-style:none;z-index:251663360;mso-width-relative:page;mso-height-relative:page;" filled="f" stroked="f" coordsize="21600,21600" o:gfxdata="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9Y7Wr2QAAAAsBAAAPAAAAAAAAAAEAIAAAACIAAABkcnMvZG93&#10;bnJldi54bWxQSwECFAAUAAAACACHTuJAS2AVlzgCAABnBAAADgAAAAAAAAABACAAAAAoAQAAZHJz&#10;L2Uyb0RvYy54bWxQSwUGAAAAAAYABgBZAQAA0gUAAAAA&#10;">
                      <v:fill on="f" focussize="0,0"/>
                      <v:stroke on="f" weight="0.5pt"/>
                      <v:imagedata o:title=""/>
                      <o:lock v:ext="edit" aspectratio="f"/>
                      <v:textbox style="mso-fit-shape-to-text:t;">
                        <w:txbxContent>
                          <w:p>
                            <w:pPr>
                              <w:rPr>
                                <w:b/>
                                <w:bCs/>
                                <w:color w:val="FFC000"/>
                                <w:szCs w:val="21"/>
                                <w14:shadow w14:blurRad="38100" w14:dist="19050" w14:dir="2700000" w14:sx="100000" w14:sy="100000" w14:kx="0" w14:ky="0" w14:algn="tl">
                                  <w14:schemeClr w14:val="dk1">
                                    <w14:alpha w14:val="60000"/>
                                  </w14:schemeClr>
                                </w14:shadow>
                              </w:rPr>
                            </w:pPr>
                            <w:r>
                              <w:rPr>
                                <w:rFonts w:hint="eastAsia"/>
                                <w:b/>
                                <w:bCs/>
                                <w:color w:val="FFC000"/>
                                <w:szCs w:val="21"/>
                                <w14:shadow w14:blurRad="38100" w14:dist="19050" w14:dir="2700000" w14:sx="100000" w14:sy="100000" w14:kx="0" w14:ky="0" w14:algn="tl">
                                  <w14:schemeClr w14:val="dk1">
                                    <w14:alpha w14:val="60000"/>
                                  </w14:schemeClr>
                                </w14:shadow>
                              </w:rPr>
                              <w:t>项目位置</w:t>
                            </w:r>
                          </w:p>
                        </w:txbxContent>
                      </v:textbox>
                    </v:shape>
                  </w:pict>
                </mc:Fallback>
              </mc:AlternateContent>
            </w:r>
            <w:r>
              <w:rPr>
                <w:color w:val="auto"/>
              </w:rPr>
              <mc:AlternateContent>
                <mc:Choice Requires="wps">
                  <w:drawing>
                    <wp:anchor distT="0" distB="0" distL="114300" distR="114300" simplePos="0" relativeHeight="251662336" behindDoc="0" locked="0" layoutInCell="1" allowOverlap="1">
                      <wp:simplePos x="0" y="0"/>
                      <wp:positionH relativeFrom="column">
                        <wp:posOffset>2038350</wp:posOffset>
                      </wp:positionH>
                      <wp:positionV relativeFrom="paragraph">
                        <wp:posOffset>1187450</wp:posOffset>
                      </wp:positionV>
                      <wp:extent cx="155575" cy="128270"/>
                      <wp:effectExtent l="0" t="0" r="12065" b="8890"/>
                      <wp:wrapNone/>
                      <wp:docPr id="58" name="任意多边形 58"/>
                      <wp:cNvGraphicFramePr/>
                      <a:graphic xmlns:a="http://schemas.openxmlformats.org/drawingml/2006/main">
                        <a:graphicData uri="http://schemas.microsoft.com/office/word/2010/wordprocessingShape">
                          <wps:wsp>
                            <wps:cNvSpPr/>
                            <wps:spPr>
                              <a:xfrm>
                                <a:off x="4140200" y="2029460"/>
                                <a:ext cx="155575" cy="128270"/>
                              </a:xfrm>
                              <a:custGeom>
                                <a:avLst/>
                                <a:gdLst>
                                  <a:gd name="connisteX0" fmla="*/ 0 w 155575"/>
                                  <a:gd name="connsiteY0" fmla="*/ 83820 h 128270"/>
                                  <a:gd name="connisteX1" fmla="*/ 50165 w 155575"/>
                                  <a:gd name="connsiteY1" fmla="*/ 128270 h 128270"/>
                                  <a:gd name="connisteX2" fmla="*/ 155575 w 155575"/>
                                  <a:gd name="connsiteY2" fmla="*/ 50165 h 128270"/>
                                  <a:gd name="connisteX3" fmla="*/ 127635 w 155575"/>
                                  <a:gd name="connsiteY3" fmla="*/ 5715 h 128270"/>
                                  <a:gd name="connisteX4" fmla="*/ 111125 w 155575"/>
                                  <a:gd name="connsiteY4" fmla="*/ 0 h 128270"/>
                                  <a:gd name="connisteX5" fmla="*/ 0 w 155575"/>
                                  <a:gd name="connsiteY5" fmla="*/ 83820 h 12827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55575" h="128270">
                                    <a:moveTo>
                                      <a:pt x="0" y="83820"/>
                                    </a:moveTo>
                                    <a:lnTo>
                                      <a:pt x="50165" y="128270"/>
                                    </a:lnTo>
                                    <a:lnTo>
                                      <a:pt x="155575" y="50165"/>
                                    </a:lnTo>
                                    <a:lnTo>
                                      <a:pt x="127635" y="5715"/>
                                    </a:lnTo>
                                    <a:lnTo>
                                      <a:pt x="111125" y="0"/>
                                    </a:lnTo>
                                    <a:lnTo>
                                      <a:pt x="0" y="83820"/>
                                    </a:lnTo>
                                    <a:close/>
                                  </a:path>
                                </a:pathLst>
                              </a:custGeom>
                              <a:solidFill>
                                <a:srgbClr val="FFC000"/>
                              </a:solidFill>
                              <a:ln>
                                <a:no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60.5pt;margin-top:93.5pt;height:10.1pt;width:12.25pt;z-index:251662336;mso-width-relative:page;mso-height-relative:page;" fillcolor="#FFC000" filled="t" stroked="f" coordsize="155575,128270" o:gfxdata="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" path="m0,83820l50165,128270,155575,50165,127635,5715,111125,0,0,83820xe">
                      <v:path o:connectlocs="0,83820;50165,128270;155575,50165;127635,5715;111125,0;0,83820" o:connectangles="0,0,0,0,0,0"/>
                      <v:fill on="t" focussize="0,0"/>
                      <v:stroke on="f" weight="2pt"/>
                      <v:imagedata o:title=""/>
                      <o:lock v:ext="edit" aspectratio="f"/>
                    </v:shape>
                  </w:pict>
                </mc:Fallback>
              </mc:AlternateContent>
            </w:r>
            <w:r>
              <w:rPr>
                <w:color w:val="auto"/>
              </w:rPr>
              <w:drawing>
                <wp:inline distT="0" distB="0" distL="114300" distR="114300">
                  <wp:extent cx="4498340" cy="2251075"/>
                  <wp:effectExtent l="0" t="0" r="12700" b="4445"/>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21"/>
                          <a:stretch>
                            <a:fillRect/>
                          </a:stretch>
                        </pic:blipFill>
                        <pic:spPr>
                          <a:xfrm>
                            <a:off x="0" y="0"/>
                            <a:ext cx="4498340" cy="2251075"/>
                          </a:xfrm>
                          <a:prstGeom prst="rect">
                            <a:avLst/>
                          </a:prstGeom>
                          <a:noFill/>
                          <a:ln>
                            <a:noFill/>
                          </a:ln>
                        </pic:spPr>
                      </pic:pic>
                    </a:graphicData>
                  </a:graphic>
                </wp:inline>
              </w:drawing>
            </w:r>
          </w:p>
          <w:p>
            <w:pPr>
              <w:pStyle w:val="2"/>
              <w:spacing w:before="0" w:beforeLines="0" w:after="0" w:afterAutospacing="0"/>
              <w:jc w:val="center"/>
              <w:rPr>
                <w:rFonts w:ascii="Times New Roman" w:hAnsi="Times New Roman" w:eastAsia="宋体"/>
                <w:color w:val="auto"/>
                <w:sz w:val="24"/>
                <w:szCs w:val="32"/>
              </w:rPr>
            </w:pPr>
            <w:r>
              <w:rPr>
                <w:rFonts w:ascii="Times New Roman" w:hAnsi="Times New Roman" w:eastAsia="宋体"/>
                <w:color w:val="auto"/>
                <w:sz w:val="24"/>
                <w:szCs w:val="32"/>
              </w:rPr>
              <w:t>图</w:t>
            </w:r>
            <w:r>
              <w:rPr>
                <w:rFonts w:hint="eastAsia" w:ascii="Times New Roman" w:hAnsi="Times New Roman" w:eastAsia="宋体"/>
                <w:color w:val="auto"/>
                <w:sz w:val="24"/>
                <w:szCs w:val="32"/>
              </w:rPr>
              <w:t>1.1</w:t>
            </w:r>
            <w:r>
              <w:rPr>
                <w:rFonts w:ascii="Times New Roman" w:hAnsi="Times New Roman" w:eastAsia="宋体"/>
                <w:color w:val="auto"/>
                <w:sz w:val="24"/>
                <w:szCs w:val="32"/>
              </w:rPr>
              <w:t>-</w:t>
            </w:r>
            <w:r>
              <w:rPr>
                <w:rFonts w:hint="eastAsia" w:ascii="Times New Roman" w:hAnsi="Times New Roman" w:eastAsia="宋体"/>
                <w:color w:val="auto"/>
                <w:sz w:val="24"/>
                <w:szCs w:val="32"/>
                <w:lang w:val="en-US" w:eastAsia="zh-CN"/>
              </w:rPr>
              <w:t>2</w:t>
            </w:r>
            <w:r>
              <w:rPr>
                <w:rFonts w:hint="eastAsia" w:ascii="Times New Roman" w:hAnsi="Times New Roman" w:eastAsia="宋体"/>
                <w:color w:val="auto"/>
                <w:sz w:val="24"/>
                <w:szCs w:val="32"/>
              </w:rPr>
              <w:t xml:space="preserve">  扩建</w:t>
            </w:r>
            <w:r>
              <w:rPr>
                <w:rFonts w:ascii="Times New Roman" w:hAnsi="Times New Roman" w:eastAsia="宋体"/>
                <w:color w:val="auto"/>
                <w:sz w:val="24"/>
                <w:szCs w:val="32"/>
              </w:rPr>
              <w:t>项目环境管控单位叠图</w:t>
            </w:r>
          </w:p>
          <w:p>
            <w:pPr>
              <w:pStyle w:val="159"/>
              <w:ind w:right="103"/>
              <w:jc w:val="center"/>
              <w:rPr>
                <w:rFonts w:ascii="Times New Roman" w:hAnsi="Times New Roman" w:cs="Times New Roman"/>
                <w:b/>
                <w:snapToGrid w:val="0"/>
                <w:color w:val="auto"/>
                <w:kern w:val="0"/>
                <w:szCs w:val="21"/>
                <w:lang w:eastAsia="zh-CN"/>
              </w:rPr>
            </w:pPr>
            <w:r>
              <w:rPr>
                <w:rFonts w:hint="eastAsia" w:ascii="Times New Roman" w:hAnsi="Times New Roman" w:cs="Times New Roman"/>
                <w:b/>
                <w:snapToGrid w:val="0"/>
                <w:color w:val="auto"/>
                <w:kern w:val="0"/>
                <w:szCs w:val="21"/>
                <w:lang w:eastAsia="zh-CN"/>
              </w:rPr>
              <w:t>表1.1-</w:t>
            </w:r>
            <w:r>
              <w:rPr>
                <w:rFonts w:hint="eastAsia" w:ascii="Times New Roman" w:hAnsi="Times New Roman" w:cs="Times New Roman"/>
                <w:b/>
                <w:snapToGrid w:val="0"/>
                <w:color w:val="auto"/>
                <w:kern w:val="0"/>
                <w:szCs w:val="21"/>
                <w:lang w:val="en-US" w:eastAsia="zh-CN"/>
              </w:rPr>
              <w:t>4</w:t>
            </w:r>
            <w:r>
              <w:rPr>
                <w:rFonts w:hint="eastAsia" w:ascii="Times New Roman" w:hAnsi="Times New Roman" w:cs="Times New Roman"/>
                <w:b/>
                <w:snapToGrid w:val="0"/>
                <w:color w:val="auto"/>
                <w:kern w:val="0"/>
                <w:szCs w:val="21"/>
                <w:lang w:eastAsia="zh-CN"/>
              </w:rPr>
              <w:t xml:space="preserve">  与《关于发布福州市2024年生态环境分区管控动态更新成果的通知》（榕环保综〔2025〕1号）的符合性分析</w:t>
            </w:r>
          </w:p>
          <w:tbl>
            <w:tblPr>
              <w:tblStyle w:val="36"/>
              <w:tblW w:w="709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0"/>
              <w:gridCol w:w="811"/>
              <w:gridCol w:w="3688"/>
              <w:gridCol w:w="17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dxa"/>
                  <w:gridSpan w:val="2"/>
                  <w:tcBorders>
                    <w:tl2br w:val="nil"/>
                    <w:tr2bl w:val="nil"/>
                  </w:tcBorders>
                  <w:vAlign w:val="center"/>
                </w:tcPr>
                <w:p>
                  <w:pPr>
                    <w:pStyle w:val="68"/>
                    <w:adjustRightInd/>
                    <w:snapToGrid/>
                    <w:spacing w:before="0"/>
                    <w:ind w:right="0"/>
                    <w:rPr>
                      <w:rFonts w:hint="eastAsia" w:eastAsia="宋体"/>
                      <w:color w:val="auto"/>
                      <w:szCs w:val="21"/>
                      <w:lang w:val="en-US" w:eastAsia="zh-CN"/>
                    </w:rPr>
                  </w:pPr>
                  <w:r>
                    <w:rPr>
                      <w:rFonts w:hint="eastAsia"/>
                      <w:color w:val="auto"/>
                      <w:szCs w:val="21"/>
                      <w:lang w:val="en-US" w:eastAsia="zh-CN"/>
                    </w:rPr>
                    <w:t>项目</w:t>
                  </w:r>
                </w:p>
              </w:tc>
              <w:tc>
                <w:tcPr>
                  <w:tcW w:w="3688" w:type="dxa"/>
                  <w:tcBorders>
                    <w:tl2br w:val="nil"/>
                    <w:tr2bl w:val="nil"/>
                  </w:tcBorders>
                  <w:vAlign w:val="center"/>
                </w:tcPr>
                <w:p>
                  <w:pPr>
                    <w:pStyle w:val="68"/>
                    <w:adjustRightInd/>
                    <w:snapToGrid/>
                    <w:spacing w:before="0"/>
                    <w:ind w:right="0"/>
                    <w:rPr>
                      <w:rFonts w:hint="default" w:eastAsia="宋体"/>
                      <w:color w:val="auto"/>
                      <w:szCs w:val="21"/>
                      <w:lang w:val="en-US" w:eastAsia="zh-CN"/>
                    </w:rPr>
                  </w:pPr>
                  <w:r>
                    <w:rPr>
                      <w:rFonts w:hint="eastAsia"/>
                      <w:color w:val="auto"/>
                      <w:szCs w:val="21"/>
                      <w:lang w:val="en-US" w:eastAsia="zh-CN"/>
                    </w:rPr>
                    <w:t>环境管控单元准入要求</w:t>
                  </w:r>
                </w:p>
              </w:tc>
              <w:tc>
                <w:tcPr>
                  <w:tcW w:w="1783" w:type="dxa"/>
                  <w:tcBorders>
                    <w:tl2br w:val="nil"/>
                    <w:tr2bl w:val="nil"/>
                  </w:tcBorders>
                  <w:vAlign w:val="center"/>
                </w:tcPr>
                <w:p>
                  <w:pPr>
                    <w:pStyle w:val="68"/>
                    <w:adjustRightInd/>
                    <w:snapToGrid/>
                    <w:spacing w:before="0"/>
                    <w:ind w:right="0"/>
                    <w:rPr>
                      <w:color w:val="auto"/>
                      <w:szCs w:val="21"/>
                    </w:rPr>
                  </w:pPr>
                  <w:r>
                    <w:rPr>
                      <w:color w:val="auto"/>
                      <w:szCs w:val="21"/>
                    </w:rPr>
                    <w:t>项目符合性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dxa"/>
                  <w:vMerge w:val="restart"/>
                  <w:tcBorders>
                    <w:tl2br w:val="nil"/>
                    <w:tr2bl w:val="nil"/>
                  </w:tcBorders>
                  <w:vAlign w:val="center"/>
                </w:tcPr>
                <w:p>
                  <w:pPr>
                    <w:pStyle w:val="68"/>
                    <w:adjustRightInd/>
                    <w:snapToGrid/>
                    <w:spacing w:before="0"/>
                    <w:ind w:right="0"/>
                    <w:rPr>
                      <w:rFonts w:hint="default"/>
                      <w:color w:val="auto"/>
                      <w:szCs w:val="21"/>
                      <w:lang w:val="en-US" w:eastAsia="zh-CN"/>
                    </w:rPr>
                  </w:pPr>
                  <w:r>
                    <w:rPr>
                      <w:rFonts w:hint="eastAsia"/>
                      <w:color w:val="auto"/>
                      <w:szCs w:val="21"/>
                      <w:lang w:val="en-US" w:eastAsia="zh-CN"/>
                    </w:rPr>
                    <w:t>全省陆域</w:t>
                  </w:r>
                </w:p>
              </w:tc>
              <w:tc>
                <w:tcPr>
                  <w:tcW w:w="811" w:type="dxa"/>
                  <w:tcBorders>
                    <w:tl2br w:val="nil"/>
                    <w:tr2bl w:val="nil"/>
                  </w:tcBorders>
                  <w:vAlign w:val="center"/>
                </w:tcPr>
                <w:p>
                  <w:pPr>
                    <w:pStyle w:val="68"/>
                    <w:adjustRightInd/>
                    <w:snapToGrid/>
                    <w:spacing w:before="0"/>
                    <w:ind w:right="0"/>
                    <w:rPr>
                      <w:rFonts w:hint="default"/>
                      <w:color w:val="auto"/>
                      <w:szCs w:val="21"/>
                      <w:lang w:val="en-US" w:eastAsia="zh-CN"/>
                    </w:rPr>
                  </w:pPr>
                  <w:r>
                    <w:rPr>
                      <w:rFonts w:hint="eastAsia"/>
                      <w:color w:val="auto"/>
                      <w:szCs w:val="21"/>
                      <w:lang w:val="en-US" w:eastAsia="zh-CN"/>
                    </w:rPr>
                    <w:t>空间布局约束</w:t>
                  </w:r>
                </w:p>
              </w:tc>
              <w:tc>
                <w:tcPr>
                  <w:tcW w:w="3688" w:type="dxa"/>
                  <w:tcBorders>
                    <w:tl2br w:val="nil"/>
                    <w:tr2bl w:val="nil"/>
                  </w:tcBorders>
                  <w:vAlign w:val="center"/>
                </w:tcPr>
                <w:p>
                  <w:pPr>
                    <w:pStyle w:val="68"/>
                    <w:adjustRightInd/>
                    <w:snapToGrid/>
                    <w:spacing w:before="0"/>
                    <w:ind w:right="0"/>
                    <w:jc w:val="left"/>
                    <w:rPr>
                      <w:rFonts w:hint="eastAsia"/>
                      <w:color w:val="auto"/>
                      <w:szCs w:val="21"/>
                      <w:lang w:val="en-US" w:eastAsia="zh-CN"/>
                    </w:rPr>
                  </w:pPr>
                  <w:r>
                    <w:rPr>
                      <w:rFonts w:hint="eastAsia"/>
                      <w:color w:val="auto"/>
                      <w:szCs w:val="21"/>
                      <w:lang w:val="en-US" w:eastAsia="zh-CN"/>
                    </w:rPr>
                    <w:t>1.石化、汽车、船舶、冶金、水泥、制浆造纸、印染等重点产业，要符合全省规划布局要求。</w:t>
                  </w:r>
                </w:p>
                <w:p>
                  <w:pPr>
                    <w:pStyle w:val="68"/>
                    <w:adjustRightInd/>
                    <w:snapToGrid/>
                    <w:spacing w:before="0"/>
                    <w:ind w:right="0"/>
                    <w:jc w:val="left"/>
                    <w:rPr>
                      <w:rFonts w:hint="eastAsia"/>
                      <w:color w:val="auto"/>
                      <w:szCs w:val="21"/>
                      <w:lang w:val="en-US" w:eastAsia="zh-CN"/>
                    </w:rPr>
                  </w:pPr>
                  <w:r>
                    <w:rPr>
                      <w:rFonts w:hint="eastAsia"/>
                      <w:color w:val="auto"/>
                      <w:szCs w:val="21"/>
                      <w:lang w:val="en-US" w:eastAsia="zh-CN"/>
                    </w:rPr>
                    <w:t>2.严控钢铁、水泥、平板玻璃等产能过剩行业新增产能，新增产能应实施产能等量或减量置换。</w:t>
                  </w:r>
                </w:p>
                <w:p>
                  <w:pPr>
                    <w:pStyle w:val="68"/>
                    <w:adjustRightInd/>
                    <w:snapToGrid/>
                    <w:spacing w:before="0"/>
                    <w:ind w:right="0"/>
                    <w:jc w:val="left"/>
                    <w:rPr>
                      <w:rFonts w:hint="eastAsia"/>
                      <w:color w:val="auto"/>
                      <w:szCs w:val="21"/>
                      <w:lang w:val="en-US" w:eastAsia="zh-CN"/>
                    </w:rPr>
                  </w:pPr>
                  <w:r>
                    <w:rPr>
                      <w:rFonts w:hint="eastAsia"/>
                      <w:color w:val="auto"/>
                      <w:szCs w:val="21"/>
                      <w:lang w:val="en-US" w:eastAsia="zh-CN"/>
                    </w:rPr>
                    <w:t>3.除列入国家规划的大型煤电和符合相关要求的等容量替代项目，以及以供热为主的热电联产项目外，原则上不再建设新的煤电项目。</w:t>
                  </w:r>
                </w:p>
                <w:p>
                  <w:pPr>
                    <w:pStyle w:val="68"/>
                    <w:adjustRightInd/>
                    <w:snapToGrid/>
                    <w:spacing w:before="0"/>
                    <w:ind w:right="0"/>
                    <w:jc w:val="left"/>
                    <w:rPr>
                      <w:rFonts w:hint="eastAsia"/>
                      <w:color w:val="auto"/>
                      <w:szCs w:val="21"/>
                      <w:lang w:val="en-US" w:eastAsia="zh-CN"/>
                    </w:rPr>
                  </w:pPr>
                  <w:r>
                    <w:rPr>
                      <w:rFonts w:hint="eastAsia"/>
                      <w:color w:val="auto"/>
                      <w:szCs w:val="21"/>
                      <w:lang w:val="en-US" w:eastAsia="zh-CN"/>
                    </w:rPr>
                    <w:t>4.氟化工产业应集中布局在《关于促进我省氟化工产业绿色高效发展的若干意见》中确定的园区，在上述园区之外不再新建氟化工项目，园区之外现有氟化工项目不再扩大规模。</w:t>
                  </w:r>
                </w:p>
                <w:p>
                  <w:pPr>
                    <w:pStyle w:val="68"/>
                    <w:adjustRightInd/>
                    <w:snapToGrid/>
                    <w:spacing w:before="0"/>
                    <w:ind w:right="0"/>
                    <w:jc w:val="left"/>
                    <w:rPr>
                      <w:rFonts w:hint="eastAsia"/>
                      <w:color w:val="auto"/>
                      <w:szCs w:val="21"/>
                      <w:lang w:val="en-US" w:eastAsia="zh-CN"/>
                    </w:rPr>
                  </w:pPr>
                  <w:r>
                    <w:rPr>
                      <w:rFonts w:hint="eastAsia"/>
                      <w:color w:val="auto"/>
                      <w:szCs w:val="21"/>
                      <w:lang w:val="en-US" w:eastAsia="zh-CN"/>
                    </w:rPr>
                    <w:t>5.禁止在水环境质量不能稳定达标的区域内，建设新增相应不达标污染物指标排放量的工业项目。</w:t>
                  </w:r>
                </w:p>
                <w:p>
                  <w:pPr>
                    <w:pStyle w:val="68"/>
                    <w:adjustRightInd/>
                    <w:snapToGrid/>
                    <w:spacing w:before="0"/>
                    <w:ind w:right="0"/>
                    <w:jc w:val="left"/>
                    <w:rPr>
                      <w:rFonts w:hint="eastAsia"/>
                      <w:color w:val="auto"/>
                      <w:szCs w:val="21"/>
                      <w:lang w:val="en-US" w:eastAsia="zh-CN"/>
                    </w:rPr>
                  </w:pPr>
                  <w:r>
                    <w:rPr>
                      <w:rFonts w:hint="eastAsia"/>
                      <w:color w:val="auto"/>
                      <w:szCs w:val="21"/>
                      <w:lang w:val="en-US" w:eastAsia="zh-CN"/>
                    </w:rPr>
                    <w:t>6.禁止在通风廊道和主导风向的上风向布局大气重污染企业，推进建成区大气重污染企业搬迁或升级改造、环境风险企业搬迁或关闭退出。</w:t>
                  </w:r>
                </w:p>
                <w:p>
                  <w:pPr>
                    <w:pStyle w:val="68"/>
                    <w:adjustRightInd/>
                    <w:snapToGrid/>
                    <w:spacing w:before="0"/>
                    <w:ind w:right="0"/>
                    <w:jc w:val="left"/>
                    <w:rPr>
                      <w:rFonts w:hint="eastAsia"/>
                      <w:color w:val="auto"/>
                      <w:szCs w:val="21"/>
                      <w:lang w:val="en-US" w:eastAsia="zh-CN"/>
                    </w:rPr>
                  </w:pPr>
                  <w:r>
                    <w:rPr>
                      <w:rFonts w:hint="eastAsia"/>
                      <w:color w:val="auto"/>
                      <w:szCs w:val="21"/>
                      <w:lang w:val="en-US" w:eastAsia="zh-CN"/>
                    </w:rPr>
                    <w:t>7.新建、扩建的涉及重点重金属污染物［1］的有色金属冶炼、电镀、制革、铅蓄电池制造企业布局应符合《福建省进一步加强重金属污染防控实施方案》（闽环保固体〔2022〕17号）要求。禁止低端落后产能向闽江中上游地区、九龙江北溪江东北引桥闸以上、西溪桥闸以上流域、晋江流域上游转移。禁止新建用汞的电石法（聚）氯乙烯生产工艺。</w:t>
                  </w:r>
                </w:p>
              </w:tc>
              <w:tc>
                <w:tcPr>
                  <w:tcW w:w="1783" w:type="dxa"/>
                  <w:tcBorders>
                    <w:tl2br w:val="nil"/>
                    <w:tr2bl w:val="nil"/>
                  </w:tcBorders>
                  <w:vAlign w:val="center"/>
                </w:tcPr>
                <w:p>
                  <w:pPr>
                    <w:pStyle w:val="68"/>
                    <w:adjustRightInd/>
                    <w:snapToGrid/>
                    <w:spacing w:before="0"/>
                    <w:ind w:right="0"/>
                    <w:rPr>
                      <w:rFonts w:hint="eastAsia" w:eastAsia="宋体"/>
                      <w:color w:val="auto"/>
                      <w:szCs w:val="21"/>
                      <w:lang w:val="en-US" w:eastAsia="zh-CN"/>
                    </w:rPr>
                  </w:pPr>
                  <w:r>
                    <w:rPr>
                      <w:rFonts w:hint="eastAsia"/>
                      <w:color w:val="auto"/>
                      <w:szCs w:val="21"/>
                      <w:lang w:val="en-US" w:eastAsia="zh-CN"/>
                    </w:rPr>
                    <w:t>符合。</w:t>
                  </w:r>
                  <w:r>
                    <w:rPr>
                      <w:rFonts w:hint="eastAsia"/>
                      <w:color w:val="auto"/>
                      <w:szCs w:val="21"/>
                    </w:rPr>
                    <w:t>扩建项目</w:t>
                  </w:r>
                  <w:r>
                    <w:rPr>
                      <w:rFonts w:hint="default" w:ascii="Times New Roman" w:hAnsi="Times New Roman" w:cs="Times New Roman"/>
                      <w:color w:val="auto"/>
                      <w:szCs w:val="21"/>
                    </w:rPr>
                    <w:t>主要从事</w:t>
                  </w:r>
                  <w:r>
                    <w:rPr>
                      <w:rStyle w:val="180"/>
                      <w:rFonts w:hint="default" w:ascii="Times New Roman" w:hAnsi="Times New Roman" w:cs="Times New Roman"/>
                      <w:color w:val="auto"/>
                      <w:sz w:val="21"/>
                      <w:szCs w:val="21"/>
                    </w:rPr>
                    <w:t>复合膜和复合袋生产</w:t>
                  </w:r>
                  <w:r>
                    <w:rPr>
                      <w:rStyle w:val="180"/>
                      <w:rFonts w:hint="default" w:ascii="Times New Roman" w:hAnsi="Times New Roman" w:cs="Times New Roman"/>
                      <w:color w:val="auto"/>
                      <w:sz w:val="21"/>
                      <w:szCs w:val="21"/>
                      <w:lang w:eastAsia="zh-CN"/>
                    </w:rPr>
                    <w:t>，</w:t>
                  </w:r>
                  <w:r>
                    <w:rPr>
                      <w:rStyle w:val="180"/>
                      <w:rFonts w:hint="default" w:ascii="Times New Roman" w:hAnsi="Times New Roman" w:cs="Times New Roman"/>
                      <w:color w:val="auto"/>
                      <w:sz w:val="21"/>
                      <w:szCs w:val="21"/>
                      <w:lang w:val="en-US" w:eastAsia="zh-CN"/>
                    </w:rPr>
                    <w:t>不涉及左列1.2.3.4</w:t>
                  </w:r>
                  <w:r>
                    <w:rPr>
                      <w:rStyle w:val="180"/>
                      <w:rFonts w:hint="eastAsia" w:ascii="Times New Roman" w:hAnsi="Times New Roman" w:cs="Times New Roman"/>
                      <w:color w:val="auto"/>
                      <w:sz w:val="21"/>
                      <w:szCs w:val="21"/>
                      <w:lang w:val="en-US" w:eastAsia="zh-CN"/>
                    </w:rPr>
                    <w:t>.7</w:t>
                  </w:r>
                  <w:r>
                    <w:rPr>
                      <w:rStyle w:val="180"/>
                      <w:rFonts w:hint="default" w:ascii="Times New Roman" w:hAnsi="Times New Roman" w:cs="Times New Roman"/>
                      <w:color w:val="auto"/>
                      <w:sz w:val="21"/>
                      <w:szCs w:val="21"/>
                      <w:lang w:val="en-US" w:eastAsia="zh-CN"/>
                    </w:rPr>
                    <w:t>的内容；</w:t>
                  </w:r>
                  <w:r>
                    <w:rPr>
                      <w:rFonts w:hint="eastAsia"/>
                      <w:color w:val="auto"/>
                      <w:szCs w:val="21"/>
                    </w:rPr>
                    <w:t>扩建项目</w:t>
                  </w:r>
                  <w:r>
                    <w:rPr>
                      <w:rStyle w:val="180"/>
                      <w:rFonts w:hint="eastAsia" w:ascii="Times New Roman" w:hAnsi="Times New Roman" w:cs="Times New Roman"/>
                      <w:color w:val="auto"/>
                      <w:sz w:val="21"/>
                      <w:szCs w:val="21"/>
                      <w:lang w:val="en-US" w:eastAsia="zh-CN"/>
                    </w:rPr>
                    <w:t>区域水环境质量达标，不涉及</w:t>
                  </w:r>
                  <w:r>
                    <w:rPr>
                      <w:rStyle w:val="180"/>
                      <w:rFonts w:hint="default" w:ascii="Times New Roman" w:hAnsi="Times New Roman" w:cs="Times New Roman"/>
                      <w:color w:val="auto"/>
                      <w:sz w:val="21"/>
                      <w:szCs w:val="21"/>
                      <w:lang w:val="en-US" w:eastAsia="zh-CN"/>
                    </w:rPr>
                    <w:t>左列5的内容；</w:t>
                  </w:r>
                  <w:r>
                    <w:rPr>
                      <w:rFonts w:hint="eastAsia"/>
                      <w:color w:val="auto"/>
                      <w:sz w:val="21"/>
                      <w:szCs w:val="21"/>
                    </w:rPr>
                    <w:t>扩建项目</w:t>
                  </w:r>
                  <w:r>
                    <w:rPr>
                      <w:rStyle w:val="180"/>
                      <w:rFonts w:hint="eastAsia" w:cs="Times New Roman"/>
                      <w:color w:val="auto"/>
                      <w:sz w:val="21"/>
                      <w:szCs w:val="21"/>
                      <w:lang w:val="en-US" w:eastAsia="zh-CN"/>
                    </w:rPr>
                    <w:t>位于福建省福州市长乐区漳港街道渡桥村，不属于</w:t>
                  </w:r>
                  <w:r>
                    <w:rPr>
                      <w:rFonts w:hint="eastAsia"/>
                      <w:color w:val="auto"/>
                      <w:sz w:val="21"/>
                      <w:szCs w:val="21"/>
                      <w:lang w:val="en-US" w:eastAsia="zh-CN"/>
                    </w:rPr>
                    <w:t>通风廊道和主导风向的上风向，不涉及左列6的内容。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dxa"/>
                  <w:vMerge w:val="continue"/>
                  <w:tcBorders>
                    <w:tl2br w:val="nil"/>
                    <w:tr2bl w:val="nil"/>
                  </w:tcBorders>
                  <w:vAlign w:val="center"/>
                </w:tcPr>
                <w:p>
                  <w:pPr>
                    <w:pStyle w:val="68"/>
                    <w:adjustRightInd/>
                    <w:snapToGrid/>
                    <w:spacing w:before="0"/>
                    <w:ind w:right="0"/>
                    <w:rPr>
                      <w:rFonts w:hint="eastAsia"/>
                      <w:color w:val="auto"/>
                      <w:szCs w:val="21"/>
                      <w:lang w:val="en-US" w:eastAsia="zh-CN"/>
                    </w:rPr>
                  </w:pPr>
                </w:p>
              </w:tc>
              <w:tc>
                <w:tcPr>
                  <w:tcW w:w="811" w:type="dxa"/>
                  <w:tcBorders>
                    <w:tl2br w:val="nil"/>
                    <w:tr2bl w:val="nil"/>
                  </w:tcBorders>
                  <w:vAlign w:val="center"/>
                </w:tcPr>
                <w:p>
                  <w:pPr>
                    <w:pStyle w:val="68"/>
                    <w:adjustRightInd/>
                    <w:snapToGrid/>
                    <w:spacing w:before="0"/>
                    <w:ind w:right="0"/>
                    <w:rPr>
                      <w:rFonts w:hint="default"/>
                      <w:color w:val="auto"/>
                      <w:szCs w:val="21"/>
                      <w:lang w:val="en-US" w:eastAsia="zh-CN"/>
                    </w:rPr>
                  </w:pPr>
                  <w:r>
                    <w:rPr>
                      <w:rFonts w:hint="eastAsia"/>
                      <w:color w:val="auto"/>
                      <w:szCs w:val="21"/>
                      <w:lang w:val="en-US" w:eastAsia="zh-CN"/>
                    </w:rPr>
                    <w:t>污染物排放管控</w:t>
                  </w:r>
                </w:p>
              </w:tc>
              <w:tc>
                <w:tcPr>
                  <w:tcW w:w="3688" w:type="dxa"/>
                  <w:tcBorders>
                    <w:tl2br w:val="nil"/>
                    <w:tr2bl w:val="nil"/>
                  </w:tcBorders>
                  <w:vAlign w:val="center"/>
                </w:tcPr>
                <w:p>
                  <w:pPr>
                    <w:pStyle w:val="68"/>
                    <w:numPr>
                      <w:ilvl w:val="0"/>
                      <w:numId w:val="0"/>
                    </w:numPr>
                    <w:adjustRightInd/>
                    <w:snapToGrid/>
                    <w:spacing w:before="0"/>
                    <w:ind w:right="0" w:rightChars="0"/>
                    <w:jc w:val="left"/>
                    <w:rPr>
                      <w:rFonts w:hint="eastAsia"/>
                      <w:color w:val="auto"/>
                      <w:szCs w:val="21"/>
                      <w:lang w:val="en-US" w:eastAsia="zh-CN"/>
                    </w:rPr>
                  </w:pPr>
                  <w:r>
                    <w:rPr>
                      <w:rFonts w:hint="eastAsia"/>
                      <w:color w:val="auto"/>
                      <w:szCs w:val="21"/>
                      <w:lang w:val="en-US" w:eastAsia="zh-CN"/>
                    </w:rPr>
                    <w:t>1.建设项目新增的主要污染物（含VOCs）排放量应按要求实行等量或倍量替代。重点行业建设项目新增的主要污染物排放量应同时满足《关于加强重点行业建设项目区域削减措施监督管理的通知》（环办环评〔2020〕36号）的要求。涉及新增总磷排放的建设项目应符合相关削减替代要求。新、改、扩建重点行业［2］建设项目要符合“闽环保固体〔2022〕17号”文件要求。2.新改扩建钢铁、火电项目应执行超低排放限值，有色项目应当执行大气污染物特别排放限值。水泥行业新改扩建项目严格对照超低排放、能效标杆水平建设实施，现有项目超低排放改造应按“闽环规〔2023〕2号”文件的时限要求分步推进，2025年底前全面完成［2］［4］。</w:t>
                  </w:r>
                </w:p>
                <w:p>
                  <w:pPr>
                    <w:pStyle w:val="68"/>
                    <w:numPr>
                      <w:ilvl w:val="0"/>
                      <w:numId w:val="0"/>
                    </w:numPr>
                    <w:adjustRightInd/>
                    <w:snapToGrid/>
                    <w:spacing w:before="0"/>
                    <w:ind w:right="0" w:rightChars="0"/>
                    <w:jc w:val="left"/>
                    <w:rPr>
                      <w:rFonts w:hint="eastAsia"/>
                      <w:color w:val="auto"/>
                      <w:szCs w:val="21"/>
                      <w:lang w:val="en-US" w:eastAsia="zh-CN"/>
                    </w:rPr>
                  </w:pPr>
                  <w:r>
                    <w:rPr>
                      <w:rFonts w:hint="eastAsia"/>
                      <w:color w:val="auto"/>
                      <w:szCs w:val="21"/>
                      <w:lang w:val="en-US" w:eastAsia="zh-CN"/>
                    </w:rPr>
                    <w:t>3.近岸海域汇水区域、“六江两溪”流域以及排入湖泊、水库等封闭、半封闭水域的城镇污水处理设施执行不低于一级A排放标准。到2025年，省级及以上各类开发区、工业园区完成“污水零直排区”建设，混合处理工业污水和生活污水的污水处理厂达到一级A排放标准。</w:t>
                  </w:r>
                </w:p>
                <w:p>
                  <w:pPr>
                    <w:pStyle w:val="68"/>
                    <w:numPr>
                      <w:ilvl w:val="0"/>
                      <w:numId w:val="0"/>
                    </w:numPr>
                    <w:adjustRightInd/>
                    <w:snapToGrid/>
                    <w:spacing w:before="0"/>
                    <w:ind w:right="0" w:rightChars="0"/>
                    <w:jc w:val="left"/>
                    <w:rPr>
                      <w:rFonts w:hint="eastAsia"/>
                      <w:color w:val="auto"/>
                      <w:szCs w:val="21"/>
                      <w:lang w:val="en-US" w:eastAsia="zh-CN"/>
                    </w:rPr>
                  </w:pPr>
                  <w:r>
                    <w:rPr>
                      <w:rFonts w:hint="eastAsia"/>
                      <w:color w:val="auto"/>
                      <w:szCs w:val="21"/>
                      <w:lang w:val="en-US" w:eastAsia="zh-CN"/>
                    </w:rPr>
                    <w:t>4.优化调整货物运输方式，提升铁路货运比例，推进钢铁、电力、电解铝、焦化等重点工业企业和工业园区货物由公路运输转向铁路运输。</w:t>
                  </w:r>
                </w:p>
                <w:p>
                  <w:pPr>
                    <w:pStyle w:val="68"/>
                    <w:numPr>
                      <w:ilvl w:val="0"/>
                      <w:numId w:val="0"/>
                    </w:numPr>
                    <w:adjustRightInd/>
                    <w:snapToGrid/>
                    <w:spacing w:before="0"/>
                    <w:ind w:right="0" w:rightChars="0"/>
                    <w:jc w:val="left"/>
                    <w:rPr>
                      <w:rFonts w:hint="eastAsia"/>
                      <w:color w:val="auto"/>
                      <w:szCs w:val="21"/>
                      <w:lang w:val="en-US" w:eastAsia="zh-CN"/>
                    </w:rPr>
                  </w:pPr>
                  <w:r>
                    <w:rPr>
                      <w:rFonts w:hint="eastAsia"/>
                      <w:color w:val="auto"/>
                      <w:szCs w:val="21"/>
                      <w:lang w:val="en-US" w:eastAsia="zh-CN"/>
                    </w:rPr>
                    <w:t>5.加强石化、涂料、纺织印染、橡胶、医药等行业新污染物环境风险管控。</w:t>
                  </w:r>
                </w:p>
              </w:tc>
              <w:tc>
                <w:tcPr>
                  <w:tcW w:w="1783" w:type="dxa"/>
                  <w:tcBorders>
                    <w:tl2br w:val="nil"/>
                    <w:tr2bl w:val="nil"/>
                  </w:tcBorders>
                  <w:vAlign w:val="center"/>
                </w:tcPr>
                <w:p>
                  <w:pPr>
                    <w:pStyle w:val="68"/>
                    <w:adjustRightInd/>
                    <w:snapToGrid/>
                    <w:spacing w:before="0"/>
                    <w:ind w:right="0"/>
                    <w:jc w:val="both"/>
                    <w:rPr>
                      <w:rFonts w:hint="default"/>
                      <w:color w:val="auto"/>
                      <w:szCs w:val="21"/>
                      <w:lang w:val="en-US" w:eastAsia="zh-CN"/>
                    </w:rPr>
                  </w:pPr>
                  <w:r>
                    <w:rPr>
                      <w:rFonts w:hint="eastAsia"/>
                      <w:color w:val="auto"/>
                      <w:szCs w:val="21"/>
                      <w:lang w:val="en-US" w:eastAsia="zh-CN"/>
                    </w:rPr>
                    <w:t>符合。扩建项目实施污染物总量控制，不涉及总磷排放、重点重金属；根据“3.8污染物总量控制指标”，扩建项目新增VOCs排放量为1.134t/a，按要求实行等量或倍量替代；长乐区滨海污水处理厂尾水执行一级A排放标准；</w:t>
                  </w:r>
                  <w:r>
                    <w:rPr>
                      <w:rFonts w:hint="default" w:ascii="Times New Roman" w:hAnsi="Times New Roman" w:cs="Times New Roman"/>
                      <w:color w:val="auto"/>
                      <w:szCs w:val="21"/>
                    </w:rPr>
                    <w:t>扩建项目主要从事</w:t>
                  </w:r>
                  <w:r>
                    <w:rPr>
                      <w:rStyle w:val="180"/>
                      <w:rFonts w:hint="default" w:ascii="Times New Roman" w:hAnsi="Times New Roman" w:cs="Times New Roman"/>
                      <w:color w:val="auto"/>
                      <w:sz w:val="21"/>
                      <w:szCs w:val="21"/>
                    </w:rPr>
                    <w:t>复合膜和复合袋生产</w:t>
                  </w:r>
                  <w:r>
                    <w:rPr>
                      <w:rStyle w:val="180"/>
                      <w:rFonts w:hint="default" w:ascii="Times New Roman" w:hAnsi="Times New Roman" w:cs="Times New Roman"/>
                      <w:color w:val="auto"/>
                      <w:sz w:val="21"/>
                      <w:szCs w:val="21"/>
                      <w:lang w:eastAsia="zh-CN"/>
                    </w:rPr>
                    <w:t>，</w:t>
                  </w:r>
                  <w:r>
                    <w:rPr>
                      <w:rStyle w:val="180"/>
                      <w:rFonts w:hint="default" w:ascii="Times New Roman" w:hAnsi="Times New Roman" w:cs="Times New Roman"/>
                      <w:color w:val="auto"/>
                      <w:sz w:val="21"/>
                      <w:szCs w:val="21"/>
                      <w:lang w:val="en-US" w:eastAsia="zh-CN"/>
                    </w:rPr>
                    <w:t>不涉及左列</w:t>
                  </w:r>
                  <w:r>
                    <w:rPr>
                      <w:rStyle w:val="180"/>
                      <w:rFonts w:hint="eastAsia" w:ascii="Times New Roman" w:hAnsi="Times New Roman" w:cs="Times New Roman"/>
                      <w:color w:val="auto"/>
                      <w:sz w:val="21"/>
                      <w:szCs w:val="21"/>
                      <w:lang w:val="en-US" w:eastAsia="zh-CN"/>
                    </w:rPr>
                    <w:t>2.</w:t>
                  </w:r>
                  <w:r>
                    <w:rPr>
                      <w:rStyle w:val="180"/>
                      <w:rFonts w:hint="default" w:ascii="Times New Roman" w:hAnsi="Times New Roman" w:cs="Times New Roman"/>
                      <w:color w:val="auto"/>
                      <w:sz w:val="21"/>
                      <w:szCs w:val="21"/>
                      <w:lang w:val="en-US" w:eastAsia="zh-CN"/>
                    </w:rPr>
                    <w:t>4.5的内容。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dxa"/>
                  <w:vMerge w:val="continue"/>
                  <w:tcBorders>
                    <w:tl2br w:val="nil"/>
                    <w:tr2bl w:val="nil"/>
                  </w:tcBorders>
                  <w:vAlign w:val="center"/>
                </w:tcPr>
                <w:p>
                  <w:pPr>
                    <w:pStyle w:val="68"/>
                    <w:adjustRightInd/>
                    <w:snapToGrid/>
                    <w:spacing w:before="0"/>
                    <w:ind w:right="0"/>
                    <w:rPr>
                      <w:rFonts w:hint="eastAsia"/>
                      <w:color w:val="auto"/>
                      <w:szCs w:val="21"/>
                      <w:lang w:val="en-US" w:eastAsia="zh-CN"/>
                    </w:rPr>
                  </w:pPr>
                </w:p>
              </w:tc>
              <w:tc>
                <w:tcPr>
                  <w:tcW w:w="811" w:type="dxa"/>
                  <w:tcBorders>
                    <w:tl2br w:val="nil"/>
                    <w:tr2bl w:val="nil"/>
                  </w:tcBorders>
                  <w:vAlign w:val="center"/>
                </w:tcPr>
                <w:p>
                  <w:pPr>
                    <w:pStyle w:val="68"/>
                    <w:adjustRightInd/>
                    <w:snapToGrid/>
                    <w:spacing w:before="0"/>
                    <w:ind w:right="0"/>
                    <w:rPr>
                      <w:rFonts w:hint="default"/>
                      <w:color w:val="auto"/>
                      <w:szCs w:val="21"/>
                      <w:lang w:val="en-US" w:eastAsia="zh-CN"/>
                    </w:rPr>
                  </w:pPr>
                  <w:r>
                    <w:rPr>
                      <w:rFonts w:hint="eastAsia"/>
                      <w:color w:val="auto"/>
                      <w:szCs w:val="21"/>
                      <w:lang w:val="en-US" w:eastAsia="zh-CN"/>
                    </w:rPr>
                    <w:t>资源开发效率要求</w:t>
                  </w:r>
                </w:p>
              </w:tc>
              <w:tc>
                <w:tcPr>
                  <w:tcW w:w="3688" w:type="dxa"/>
                  <w:tcBorders>
                    <w:tl2br w:val="nil"/>
                    <w:tr2bl w:val="nil"/>
                  </w:tcBorders>
                  <w:vAlign w:val="center"/>
                </w:tcPr>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1.实施能源消耗总量和强度双控。</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2.强化产业园区单位土地面积投资强度和效用指标的刚性约束，提高土地利用效率。</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3.具备使用再生水条件但未充分利用的钢铁、火电、化工、制浆造纸、印染等项目，不得批准其新增取水许可。在沿海地区电力、化工、石化等行业，推行直接利用海水作为循环冷却等工业用水。</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4.落实“闽环规〔2023〕1号”文件要求，不再新建每小时35蒸吨以下燃煤锅炉，以及每小时10蒸吨及以下燃生物质和其他使用高污染燃料的锅炉。集中供热管网覆盖范围内禁止新建、扩建分散燃煤、燃油等供热锅炉。</w:t>
                  </w:r>
                </w:p>
                <w:p>
                  <w:pPr>
                    <w:pStyle w:val="68"/>
                    <w:adjustRightInd/>
                    <w:snapToGrid/>
                    <w:spacing w:before="0"/>
                    <w:ind w:right="0"/>
                    <w:jc w:val="both"/>
                    <w:rPr>
                      <w:rFonts w:hint="eastAsia"/>
                      <w:color w:val="auto"/>
                      <w:szCs w:val="21"/>
                      <w:lang w:val="en-US" w:eastAsia="zh-CN"/>
                    </w:rPr>
                  </w:pPr>
                  <w:r>
                    <w:rPr>
                      <w:rFonts w:hint="default" w:ascii="Times New Roman" w:hAnsi="Times New Roman" w:cs="Times New Roman"/>
                      <w:color w:val="auto"/>
                      <w:szCs w:val="21"/>
                      <w:lang w:val="en-US" w:eastAsia="zh-CN"/>
                    </w:rPr>
                    <w:t>5.落实“闽环保大气〔2023〕5号”文件要求，按照“提气、转电、控煤”的发展思路，推动陶瓷行业进一步优化用能结构，实现能源消费清洁低碳化。</w:t>
                  </w:r>
                </w:p>
              </w:tc>
              <w:tc>
                <w:tcPr>
                  <w:tcW w:w="1783" w:type="dxa"/>
                  <w:tcBorders>
                    <w:tl2br w:val="nil"/>
                    <w:tr2bl w:val="nil"/>
                  </w:tcBorders>
                  <w:vAlign w:val="center"/>
                </w:tcPr>
                <w:p>
                  <w:pPr>
                    <w:pStyle w:val="68"/>
                    <w:adjustRightInd/>
                    <w:snapToGrid/>
                    <w:spacing w:before="0"/>
                    <w:ind w:right="0"/>
                    <w:jc w:val="both"/>
                    <w:rPr>
                      <w:rFonts w:hint="default"/>
                      <w:color w:val="auto"/>
                      <w:szCs w:val="21"/>
                      <w:lang w:val="en-US"/>
                    </w:rPr>
                  </w:pPr>
                  <w:r>
                    <w:rPr>
                      <w:rFonts w:hint="eastAsia"/>
                      <w:color w:val="auto"/>
                      <w:szCs w:val="21"/>
                      <w:lang w:val="en-US" w:eastAsia="zh-CN"/>
                    </w:rPr>
                    <w:t>符合。扩建项目能源消耗量少，生产过程严格执行节能优先；扩建项目租赁的厂房占地面积为2500m</w:t>
                  </w:r>
                  <w:r>
                    <w:rPr>
                      <w:rFonts w:hint="eastAsia"/>
                      <w:color w:val="auto"/>
                      <w:szCs w:val="21"/>
                      <w:vertAlign w:val="superscript"/>
                      <w:lang w:val="en-US" w:eastAsia="zh-CN"/>
                    </w:rPr>
                    <w:t>2</w:t>
                  </w:r>
                  <w:r>
                    <w:rPr>
                      <w:rFonts w:hint="eastAsia"/>
                      <w:color w:val="auto"/>
                      <w:szCs w:val="21"/>
                      <w:lang w:val="en-US" w:eastAsia="zh-CN"/>
                    </w:rPr>
                    <w:t>（约3.75亩），建成后年产值2000万左右，则年产值为533万元/亩，土地利用率高；</w:t>
                  </w:r>
                  <w:r>
                    <w:rPr>
                      <w:rFonts w:hint="default" w:ascii="Times New Roman" w:hAnsi="Times New Roman" w:cs="Times New Roman"/>
                      <w:color w:val="auto"/>
                      <w:szCs w:val="21"/>
                    </w:rPr>
                    <w:t>扩建项目主要从事</w:t>
                  </w:r>
                  <w:r>
                    <w:rPr>
                      <w:rStyle w:val="180"/>
                      <w:rFonts w:hint="default" w:ascii="Times New Roman" w:hAnsi="Times New Roman" w:cs="Times New Roman"/>
                      <w:color w:val="auto"/>
                      <w:sz w:val="21"/>
                      <w:szCs w:val="21"/>
                    </w:rPr>
                    <w:t>复合膜和复合袋生产</w:t>
                  </w:r>
                  <w:r>
                    <w:rPr>
                      <w:rStyle w:val="180"/>
                      <w:rFonts w:hint="default" w:ascii="Times New Roman" w:hAnsi="Times New Roman" w:cs="Times New Roman"/>
                      <w:color w:val="auto"/>
                      <w:sz w:val="21"/>
                      <w:szCs w:val="21"/>
                      <w:lang w:eastAsia="zh-CN"/>
                    </w:rPr>
                    <w:t>，</w:t>
                  </w:r>
                  <w:r>
                    <w:rPr>
                      <w:rStyle w:val="180"/>
                      <w:rFonts w:hint="default" w:ascii="Times New Roman" w:hAnsi="Times New Roman" w:cs="Times New Roman"/>
                      <w:color w:val="auto"/>
                      <w:sz w:val="21"/>
                      <w:szCs w:val="21"/>
                      <w:lang w:val="en-US" w:eastAsia="zh-CN"/>
                    </w:rPr>
                    <w:t>不涉及左列3的内容</w:t>
                  </w:r>
                  <w:r>
                    <w:rPr>
                      <w:rStyle w:val="180"/>
                      <w:rFonts w:hint="eastAsia" w:cs="Times New Roman"/>
                      <w:color w:val="auto"/>
                      <w:sz w:val="21"/>
                      <w:szCs w:val="21"/>
                      <w:lang w:val="en-US" w:eastAsia="zh-CN"/>
                    </w:rPr>
                    <w:t>；</w:t>
                  </w:r>
                  <w:r>
                    <w:rPr>
                      <w:rStyle w:val="180"/>
                      <w:rFonts w:hint="default" w:ascii="Times New Roman" w:hAnsi="Times New Roman" w:cs="Times New Roman"/>
                      <w:color w:val="auto"/>
                      <w:sz w:val="21"/>
                      <w:szCs w:val="21"/>
                      <w:lang w:val="en-US" w:eastAsia="zh-CN"/>
                    </w:rPr>
                    <w:t>扩建项目使用电清洁能源，不涉及左列4的内容</w:t>
                  </w:r>
                  <w:r>
                    <w:rPr>
                      <w:rStyle w:val="180"/>
                      <w:rFonts w:hint="eastAsia" w:ascii="Times New Roman" w:hAnsi="Times New Roman" w:cs="Times New Roman"/>
                      <w:color w:val="auto"/>
                      <w:sz w:val="21"/>
                      <w:szCs w:val="21"/>
                      <w:lang w:val="en-US" w:eastAsia="zh-CN"/>
                    </w:rPr>
                    <w:t>，满足左列的要求。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dxa"/>
                  <w:vMerge w:val="restart"/>
                  <w:tcBorders>
                    <w:tl2br w:val="nil"/>
                    <w:tr2bl w:val="nil"/>
                  </w:tcBorders>
                  <w:vAlign w:val="center"/>
                </w:tcPr>
                <w:p>
                  <w:pPr>
                    <w:pStyle w:val="68"/>
                    <w:adjustRightInd/>
                    <w:snapToGrid/>
                    <w:spacing w:before="0"/>
                    <w:ind w:right="0"/>
                    <w:rPr>
                      <w:rFonts w:hint="default"/>
                      <w:color w:val="auto"/>
                      <w:szCs w:val="21"/>
                      <w:lang w:val="en-US" w:eastAsia="zh-CN"/>
                    </w:rPr>
                  </w:pPr>
                  <w:r>
                    <w:rPr>
                      <w:rFonts w:hint="eastAsia"/>
                      <w:color w:val="auto"/>
                      <w:szCs w:val="21"/>
                      <w:lang w:val="en-US" w:eastAsia="zh-CN"/>
                    </w:rPr>
                    <w:t>福州市陆域</w:t>
                  </w:r>
                </w:p>
              </w:tc>
              <w:tc>
                <w:tcPr>
                  <w:tcW w:w="811" w:type="dxa"/>
                  <w:tcBorders>
                    <w:tl2br w:val="nil"/>
                    <w:tr2bl w:val="nil"/>
                  </w:tcBorders>
                  <w:vAlign w:val="center"/>
                </w:tcPr>
                <w:p>
                  <w:pPr>
                    <w:pStyle w:val="68"/>
                    <w:adjustRightInd/>
                    <w:snapToGrid/>
                    <w:spacing w:before="0"/>
                    <w:ind w:right="0"/>
                    <w:rPr>
                      <w:rFonts w:hint="default"/>
                      <w:color w:val="auto"/>
                      <w:szCs w:val="21"/>
                      <w:lang w:val="en-US" w:eastAsia="zh-CN"/>
                    </w:rPr>
                  </w:pPr>
                  <w:r>
                    <w:rPr>
                      <w:rFonts w:hint="eastAsia"/>
                      <w:color w:val="auto"/>
                      <w:szCs w:val="21"/>
                      <w:lang w:val="en-US" w:eastAsia="zh-CN"/>
                    </w:rPr>
                    <w:t>空间布局约束</w:t>
                  </w:r>
                </w:p>
              </w:tc>
              <w:tc>
                <w:tcPr>
                  <w:tcW w:w="3688" w:type="dxa"/>
                  <w:tcBorders>
                    <w:tl2br w:val="nil"/>
                    <w:tr2bl w:val="nil"/>
                  </w:tcBorders>
                  <w:vAlign w:val="center"/>
                </w:tcPr>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1.福州市石化中上游项目重点在福州江阴港城经济区、可门港经济区化工新材料产业园布局。</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2.禁止在闽江马尾罗星塔以上流域范围新、扩建制革项目，严控新（扩）建植物制浆、印染、合成革及人造革、电镀项目。</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3.禁止在通风廊道和主导风向的上风向布局大气重污染企业，推进建成区大气重污染企业搬迁或升级改造、环境风险企业搬迁或关闭退出。</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4.禁止新、改、扩建生产高VOCs含量有机溶剂型涂料、油墨和胶黏剂的项目。</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5.持续加强闽清等地建陶产业的环境综合治理，充分衔接国土空间规划和生态环境分区管控，并对照产业政策、城市总体发展规划等要求，进一步明确发展定位，优化产业布局和规模。</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6.新建、扩建的涉及重点重金属污染物［1］的有色金属冶炼、电镀、制革、铅蓄电池制造企业应优先选择布设在依法合规设立并经规划环评、环境基础设施和环境风险防范措施齐全的产业园区。禁止低端落后产能向闽江中上游地区转移。禁止新建用汞的电石法（聚）氯乙烯生产工艺。加快推进专业电镀企业入园，到2025年底专业电镀企业入园率达到90%以上。</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7.禁止在流域上游新建、扩建重污染企业和项目。</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8.重要敏感水体及富营养化湖库生态缓冲带除相关政府部门批准的科学研究活动外，禁止其它可能对保护区构成危害或不良影响的大规模生产、建设活动。</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9.新、改、扩建煤电、钢铁、建材、石化、化工等“两高”项目，严格落实国家、省、市产业规划、产业政策、“三线一单”、规划环评，以及产能置换、煤炭消费减量替代、区域污染削减等相关要求。</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10.单元内涉及永久基本农田的，应按照《福建省基本农田保护条例》（2010年修正本）、《国土资源部关于全面实行永久共本农田特殊保护的通知》（国土资规〔2018〕1号）、《中共中央国务院关于加强耕地保护和改进占补平衡的意见》（2017年1月9日）等相关文件要求进行格管理，一般建设项目不得占用永久基本农田，重大建设项目选址确实难以避让永久基本农田的，必须依法依规办理。严禁通过擅自调整县乡国土空间规划，规避占用永久基本农田的审批。禁止随意砍伐防风固沙林和农田保护林。严格按照自然资源部、农业农村部、国家林业和草原局《关于严格耕地用途管制有关问题的通知》（自然资发〔2021〕166号）要求全面落实耕地用途管制。</w:t>
                  </w:r>
                </w:p>
              </w:tc>
              <w:tc>
                <w:tcPr>
                  <w:tcW w:w="1783" w:type="dxa"/>
                  <w:tcBorders>
                    <w:tl2br w:val="nil"/>
                    <w:tr2bl w:val="nil"/>
                  </w:tcBorders>
                  <w:vAlign w:val="center"/>
                </w:tcPr>
                <w:p>
                  <w:pPr>
                    <w:pStyle w:val="68"/>
                    <w:adjustRightInd/>
                    <w:snapToGrid/>
                    <w:spacing w:before="0"/>
                    <w:ind w:right="0"/>
                    <w:jc w:val="both"/>
                    <w:rPr>
                      <w:rFonts w:hint="default"/>
                      <w:color w:val="auto"/>
                      <w:szCs w:val="21"/>
                      <w:lang w:val="en-US" w:eastAsia="zh-CN"/>
                    </w:rPr>
                  </w:pPr>
                  <w:r>
                    <w:rPr>
                      <w:rFonts w:hint="default" w:ascii="Times New Roman" w:hAnsi="Times New Roman" w:cs="Times New Roman"/>
                      <w:color w:val="auto"/>
                      <w:szCs w:val="21"/>
                      <w:lang w:val="en-US" w:eastAsia="zh-CN"/>
                    </w:rPr>
                    <w:t>符合。</w:t>
                  </w:r>
                  <w:r>
                    <w:rPr>
                      <w:rFonts w:hint="default" w:ascii="Times New Roman" w:hAnsi="Times New Roman" w:cs="Times New Roman"/>
                      <w:color w:val="auto"/>
                      <w:szCs w:val="21"/>
                    </w:rPr>
                    <w:t>扩建项目主要从事</w:t>
                  </w:r>
                  <w:r>
                    <w:rPr>
                      <w:rStyle w:val="180"/>
                      <w:rFonts w:hint="default" w:ascii="Times New Roman" w:hAnsi="Times New Roman" w:cs="Times New Roman"/>
                      <w:color w:val="auto"/>
                      <w:sz w:val="21"/>
                      <w:szCs w:val="21"/>
                    </w:rPr>
                    <w:t>复合膜和复合袋生产</w:t>
                  </w:r>
                  <w:r>
                    <w:rPr>
                      <w:rStyle w:val="180"/>
                      <w:rFonts w:hint="default" w:ascii="Times New Roman" w:hAnsi="Times New Roman" w:cs="Times New Roman"/>
                      <w:color w:val="auto"/>
                      <w:sz w:val="21"/>
                      <w:szCs w:val="21"/>
                      <w:lang w:eastAsia="zh-CN"/>
                    </w:rPr>
                    <w:t>，</w:t>
                  </w:r>
                  <w:r>
                    <w:rPr>
                      <w:rStyle w:val="180"/>
                      <w:rFonts w:hint="default" w:ascii="Times New Roman" w:hAnsi="Times New Roman" w:cs="Times New Roman"/>
                      <w:color w:val="auto"/>
                      <w:sz w:val="21"/>
                      <w:szCs w:val="21"/>
                      <w:lang w:val="en-US" w:eastAsia="zh-CN"/>
                    </w:rPr>
                    <w:t>位于福州临空经济区，不涉及左列1.2.4.5.6.7.9的内容；</w:t>
                  </w:r>
                  <w:r>
                    <w:rPr>
                      <w:rFonts w:hint="eastAsia"/>
                      <w:color w:val="auto"/>
                      <w:szCs w:val="21"/>
                    </w:rPr>
                    <w:t>扩建项目</w:t>
                  </w:r>
                  <w:r>
                    <w:rPr>
                      <w:rStyle w:val="180"/>
                      <w:rFonts w:hint="eastAsia" w:cs="Times New Roman"/>
                      <w:color w:val="auto"/>
                      <w:sz w:val="21"/>
                      <w:szCs w:val="21"/>
                      <w:lang w:val="en-US" w:eastAsia="zh-CN"/>
                    </w:rPr>
                    <w:t>位于福建省福州市长乐区漳港街道渡桥村，不属于</w:t>
                  </w:r>
                  <w:r>
                    <w:rPr>
                      <w:rFonts w:hint="eastAsia"/>
                      <w:color w:val="auto"/>
                      <w:szCs w:val="21"/>
                      <w:lang w:val="en-US" w:eastAsia="zh-CN"/>
                    </w:rPr>
                    <w:t>通风廊道和主导风向的上风向，不涉及左列</w:t>
                  </w:r>
                  <w:r>
                    <w:rPr>
                      <w:rFonts w:hint="default" w:ascii="Times New Roman" w:hAnsi="Times New Roman" w:cs="Times New Roman"/>
                      <w:color w:val="auto"/>
                      <w:szCs w:val="21"/>
                      <w:lang w:val="en-US" w:eastAsia="zh-CN"/>
                    </w:rPr>
                    <w:t>3</w:t>
                  </w:r>
                  <w:r>
                    <w:rPr>
                      <w:rFonts w:hint="eastAsia"/>
                      <w:color w:val="auto"/>
                      <w:szCs w:val="21"/>
                      <w:lang w:val="en-US" w:eastAsia="zh-CN"/>
                    </w:rPr>
                    <w:t>的内容；扩建项目水环境北洋水网，不属于</w:t>
                  </w:r>
                  <w:r>
                    <w:rPr>
                      <w:rFonts w:hint="default" w:ascii="Times New Roman" w:hAnsi="Times New Roman" w:cs="Times New Roman"/>
                      <w:color w:val="auto"/>
                      <w:szCs w:val="21"/>
                      <w:lang w:val="en-US" w:eastAsia="zh-CN"/>
                    </w:rPr>
                    <w:t>重要敏感水体及富营养化湖库生态缓冲带</w:t>
                  </w:r>
                  <w:r>
                    <w:rPr>
                      <w:rFonts w:hint="eastAsia" w:cs="Times New Roman"/>
                      <w:color w:val="auto"/>
                      <w:szCs w:val="21"/>
                      <w:lang w:val="en-US" w:eastAsia="zh-CN"/>
                    </w:rPr>
                    <w:t>，不涉及左列8的内容；扩建项目租赁福州市长乐区力驰针纺有限公司厂房，属于工业用地，不涉及基本农田，不涉及左列10的内容。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dxa"/>
                  <w:vMerge w:val="continue"/>
                  <w:tcBorders>
                    <w:tl2br w:val="nil"/>
                    <w:tr2bl w:val="nil"/>
                  </w:tcBorders>
                  <w:vAlign w:val="center"/>
                </w:tcPr>
                <w:p>
                  <w:pPr>
                    <w:pStyle w:val="68"/>
                    <w:adjustRightInd/>
                    <w:snapToGrid/>
                    <w:spacing w:before="0"/>
                    <w:ind w:right="0"/>
                    <w:rPr>
                      <w:rFonts w:hint="eastAsia"/>
                      <w:color w:val="auto"/>
                      <w:szCs w:val="21"/>
                      <w:lang w:val="en-US" w:eastAsia="zh-CN"/>
                    </w:rPr>
                  </w:pPr>
                </w:p>
              </w:tc>
              <w:tc>
                <w:tcPr>
                  <w:tcW w:w="811" w:type="dxa"/>
                  <w:tcBorders>
                    <w:tl2br w:val="nil"/>
                    <w:tr2bl w:val="nil"/>
                  </w:tcBorders>
                  <w:vAlign w:val="center"/>
                </w:tcPr>
                <w:p>
                  <w:pPr>
                    <w:pStyle w:val="68"/>
                    <w:adjustRightInd/>
                    <w:snapToGrid/>
                    <w:spacing w:before="0"/>
                    <w:ind w:right="0"/>
                    <w:rPr>
                      <w:rFonts w:hint="default"/>
                      <w:color w:val="auto"/>
                      <w:szCs w:val="21"/>
                      <w:lang w:val="en-US" w:eastAsia="zh-CN"/>
                    </w:rPr>
                  </w:pPr>
                  <w:r>
                    <w:rPr>
                      <w:rFonts w:hint="eastAsia"/>
                      <w:color w:val="auto"/>
                      <w:szCs w:val="21"/>
                      <w:lang w:val="en-US" w:eastAsia="zh-CN"/>
                    </w:rPr>
                    <w:t>污染物排放管控</w:t>
                  </w:r>
                </w:p>
              </w:tc>
              <w:tc>
                <w:tcPr>
                  <w:tcW w:w="3688" w:type="dxa"/>
                  <w:tcBorders>
                    <w:tl2br w:val="nil"/>
                    <w:tr2bl w:val="nil"/>
                  </w:tcBorders>
                  <w:vAlign w:val="center"/>
                </w:tcPr>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工业类新（改、扩）建项目新增主要污染物（水污染物化学需氧量、氨氮和大气污染物二氧化硫、氮氧化物）排放总量指标应符合区域环境质量和总量控制要求，立足于通过“以新带老”、削减存量，努力实现区域、企业自身总量平衡。总量指标来源、审核和监督管理按照“榕环保综〔2017〕90号”等相关文件执行。</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2.新、改、扩建涉VOCs排放项目，应从源头加强控制，使用低（无）VOCs含量的原辅材料，实施新建项目VOCs排放区域内1.2及以上倍量替代。</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3.严格控制新建、改建、扩建钢铁、水泥、平板玻璃、有色金属冶炼、化工等工业项目。新改扩建钢铁、火电项目应执行超低排放限值，有色项目应当执行大气污染物特别排放限值。重点控制区新建化工、石化应当执行大气污染物特别排放限值。</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4.氟化工、印染、电镀等行业企业实行水污染物特别排放限值。</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5.新、改、扩建重点行业［2］建设项目要遵循重点重金属污染物排放“等量替代”原则，总量来源原则上应是同一重点行业内的削减量，当同一重点行业无法满足时可从其他重点行业调剂。</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6.每小时35（含）—65蒸吨燃煤锅炉和位于县级及以上城市建成区内保留的燃煤、燃油、燃生物质锅炉，原则上2024年底前必须全面实现超低排放。7.水泥行业新改扩建项目严格对照超低排放、能效标杆水平建设实施；现有项目超低排放改造应按文件（闽环规〔2023〕2号）的时限要求分步推进，2025年底前全面完成［3］［4］。</w:t>
                  </w:r>
                </w:p>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8.化工园区新建项目实施“禁限控”化学物质管控措施，项目在开展环境影响评价时应严格落实相关要求，严格涉新污染物建设项目源头防控和准入管理。以印染、皮革、农药、医药、涂料等行业为重点，推进有毒有害化学物质替代。严格落实废药品、废农药以及抗生素生产过程中产生的废母液、废反应基和废培养基等废物的收集利用处置要求。</w:t>
                  </w:r>
                </w:p>
              </w:tc>
              <w:tc>
                <w:tcPr>
                  <w:tcW w:w="1783" w:type="dxa"/>
                  <w:tcBorders>
                    <w:tl2br w:val="nil"/>
                    <w:tr2bl w:val="nil"/>
                  </w:tcBorders>
                  <w:vAlign w:val="center"/>
                </w:tcPr>
                <w:p>
                  <w:pPr>
                    <w:pStyle w:val="68"/>
                    <w:adjustRightInd/>
                    <w:snapToGrid/>
                    <w:spacing w:before="0"/>
                    <w:ind w:right="0"/>
                    <w:jc w:val="both"/>
                    <w:rPr>
                      <w:rFonts w:hint="default"/>
                      <w:color w:val="auto"/>
                      <w:szCs w:val="21"/>
                      <w:lang w:val="en-US" w:eastAsia="zh-CN"/>
                    </w:rPr>
                  </w:pPr>
                  <w:r>
                    <w:rPr>
                      <w:rFonts w:hint="eastAsia"/>
                      <w:color w:val="auto"/>
                      <w:szCs w:val="21"/>
                      <w:lang w:val="en-US" w:eastAsia="zh-CN"/>
                    </w:rPr>
                    <w:t>符合。扩建项目不涉及二氧化硫和氮氧化物，不涉及生产废水排放，生活污水的化学需氧量和氨氮指标已纳入长乐区滨海污水处理厂；扩建项目使用低VOCs含量的油墨和粘合剂，新增VOCs排放量为1.134t/a，按要求实行倍量替代；</w:t>
                  </w:r>
                  <w:r>
                    <w:rPr>
                      <w:rFonts w:hint="default" w:ascii="Times New Roman" w:hAnsi="Times New Roman" w:cs="Times New Roman"/>
                      <w:color w:val="auto"/>
                      <w:szCs w:val="21"/>
                    </w:rPr>
                    <w:t>扩建项目</w:t>
                  </w:r>
                  <w:r>
                    <w:rPr>
                      <w:rFonts w:hint="eastAsia" w:cs="Times New Roman"/>
                      <w:color w:val="auto"/>
                      <w:szCs w:val="21"/>
                      <w:lang w:val="en-US" w:eastAsia="zh-CN"/>
                    </w:rPr>
                    <w:t>属于临空经济区，</w:t>
                  </w:r>
                  <w:r>
                    <w:rPr>
                      <w:rFonts w:hint="default" w:ascii="Times New Roman" w:hAnsi="Times New Roman" w:cs="Times New Roman"/>
                      <w:color w:val="auto"/>
                      <w:szCs w:val="21"/>
                    </w:rPr>
                    <w:t>主要从事</w:t>
                  </w:r>
                  <w:r>
                    <w:rPr>
                      <w:rStyle w:val="180"/>
                      <w:rFonts w:hint="default" w:ascii="Times New Roman" w:hAnsi="Times New Roman" w:cs="Times New Roman"/>
                      <w:color w:val="auto"/>
                      <w:sz w:val="21"/>
                      <w:szCs w:val="21"/>
                    </w:rPr>
                    <w:t>复合膜和复合袋生产</w:t>
                  </w:r>
                  <w:r>
                    <w:rPr>
                      <w:rStyle w:val="180"/>
                      <w:rFonts w:hint="default" w:ascii="Times New Roman" w:hAnsi="Times New Roman" w:cs="Times New Roman"/>
                      <w:color w:val="auto"/>
                      <w:sz w:val="21"/>
                      <w:szCs w:val="21"/>
                      <w:lang w:eastAsia="zh-CN"/>
                    </w:rPr>
                    <w:t>，</w:t>
                  </w:r>
                  <w:r>
                    <w:rPr>
                      <w:rStyle w:val="180"/>
                      <w:rFonts w:hint="eastAsia" w:cs="Times New Roman"/>
                      <w:color w:val="auto"/>
                      <w:sz w:val="21"/>
                      <w:szCs w:val="21"/>
                      <w:lang w:val="en-US" w:eastAsia="zh-CN"/>
                    </w:rPr>
                    <w:t>不涉及使用燃煤、燃油、燃生物质锅炉，</w:t>
                  </w:r>
                  <w:r>
                    <w:rPr>
                      <w:rStyle w:val="180"/>
                      <w:rFonts w:hint="default" w:ascii="Times New Roman" w:hAnsi="Times New Roman" w:cs="Times New Roman"/>
                      <w:color w:val="auto"/>
                      <w:sz w:val="21"/>
                      <w:szCs w:val="21"/>
                      <w:lang w:val="en-US" w:eastAsia="zh-CN"/>
                    </w:rPr>
                    <w:t>不涉及左列3</w:t>
                  </w:r>
                  <w:r>
                    <w:rPr>
                      <w:rStyle w:val="180"/>
                      <w:rFonts w:hint="eastAsia" w:ascii="Times New Roman" w:hAnsi="Times New Roman" w:cs="Times New Roman"/>
                      <w:color w:val="auto"/>
                      <w:sz w:val="21"/>
                      <w:szCs w:val="21"/>
                      <w:lang w:val="en-US" w:eastAsia="zh-CN"/>
                    </w:rPr>
                    <w:t>.4.5.6.7.8</w:t>
                  </w:r>
                  <w:r>
                    <w:rPr>
                      <w:rStyle w:val="180"/>
                      <w:rFonts w:hint="default" w:ascii="Times New Roman" w:hAnsi="Times New Roman" w:cs="Times New Roman"/>
                      <w:color w:val="auto"/>
                      <w:sz w:val="21"/>
                      <w:szCs w:val="21"/>
                      <w:lang w:val="en-US" w:eastAsia="zh-CN"/>
                    </w:rPr>
                    <w:t>的内容</w:t>
                  </w:r>
                  <w:r>
                    <w:rPr>
                      <w:rStyle w:val="180"/>
                      <w:rFonts w:hint="eastAsia" w:ascii="Times New Roman" w:hAnsi="Times New Roman"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dxa"/>
                  <w:vMerge w:val="continue"/>
                  <w:tcBorders>
                    <w:tl2br w:val="nil"/>
                    <w:tr2bl w:val="nil"/>
                  </w:tcBorders>
                  <w:vAlign w:val="center"/>
                </w:tcPr>
                <w:p>
                  <w:pPr>
                    <w:pStyle w:val="68"/>
                    <w:adjustRightInd/>
                    <w:snapToGrid/>
                    <w:spacing w:before="0"/>
                    <w:ind w:right="0"/>
                    <w:rPr>
                      <w:rFonts w:hint="eastAsia"/>
                      <w:color w:val="auto"/>
                      <w:szCs w:val="21"/>
                      <w:lang w:val="en-US" w:eastAsia="zh-CN"/>
                    </w:rPr>
                  </w:pPr>
                </w:p>
              </w:tc>
              <w:tc>
                <w:tcPr>
                  <w:tcW w:w="811" w:type="dxa"/>
                  <w:tcBorders>
                    <w:tl2br w:val="nil"/>
                    <w:tr2bl w:val="nil"/>
                  </w:tcBorders>
                  <w:vAlign w:val="center"/>
                </w:tcPr>
                <w:p>
                  <w:pPr>
                    <w:pStyle w:val="68"/>
                    <w:adjustRightInd/>
                    <w:snapToGrid/>
                    <w:spacing w:before="0"/>
                    <w:ind w:right="0"/>
                    <w:rPr>
                      <w:rFonts w:hint="default"/>
                      <w:color w:val="auto"/>
                      <w:szCs w:val="21"/>
                      <w:lang w:val="en-US" w:eastAsia="zh-CN"/>
                    </w:rPr>
                  </w:pPr>
                  <w:r>
                    <w:rPr>
                      <w:rFonts w:hint="eastAsia"/>
                      <w:color w:val="auto"/>
                      <w:szCs w:val="21"/>
                      <w:lang w:val="en-US" w:eastAsia="zh-CN"/>
                    </w:rPr>
                    <w:t>资源开发效率利用</w:t>
                  </w:r>
                </w:p>
              </w:tc>
              <w:tc>
                <w:tcPr>
                  <w:tcW w:w="3688" w:type="dxa"/>
                  <w:tcBorders>
                    <w:tl2br w:val="nil"/>
                    <w:tr2bl w:val="nil"/>
                  </w:tcBorders>
                  <w:vAlign w:val="center"/>
                </w:tcPr>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1.到2024年底，全市范围内每小时10蒸吨及以下燃煤锅炉全面淘汰；到2025年底，全市范围内每小时35蒸吨以下燃煤锅炉通过集中供热、清洁能源替代、深度治理等方式全面实现转型、升级、退出，县级及以上城市建成区在用锅炉（燃煤、燃油、燃生物质）全面改用电能等清洁能源或治理达到超低排放水平；禁止新建每小时35蒸吨以下燃煤锅炉，以及每小时10蒸吨及以下燃生物质和其他使用高污染燃料的锅炉。集中供热管网覆盖范围内禁止新建、扩建分散燃煤、燃油等供热锅炉。2.按照“提气、转电、控煤”的发展思路，推动陶瓷行业进一步优化用能结构，实现能源消费清洁低碳化。</w:t>
                  </w:r>
                </w:p>
              </w:tc>
              <w:tc>
                <w:tcPr>
                  <w:tcW w:w="1783" w:type="dxa"/>
                  <w:tcBorders>
                    <w:tl2br w:val="nil"/>
                    <w:tr2bl w:val="nil"/>
                  </w:tcBorders>
                  <w:vAlign w:val="center"/>
                </w:tcPr>
                <w:p>
                  <w:pPr>
                    <w:pStyle w:val="68"/>
                    <w:adjustRightInd/>
                    <w:snapToGrid/>
                    <w:spacing w:before="0"/>
                    <w:ind w:right="0"/>
                    <w:jc w:val="both"/>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符合。扩建项目使用电清洁能源，不涉及</w:t>
                  </w:r>
                  <w:r>
                    <w:rPr>
                      <w:rStyle w:val="180"/>
                      <w:rFonts w:hint="default" w:ascii="Times New Roman" w:hAnsi="Times New Roman" w:cs="Times New Roman"/>
                      <w:color w:val="auto"/>
                      <w:sz w:val="21"/>
                      <w:szCs w:val="21"/>
                      <w:lang w:val="en-US" w:eastAsia="zh-CN"/>
                    </w:rPr>
                    <w:t>使用燃煤、燃油、燃生物质锅炉，不涉及左列1.2的内容。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dxa"/>
                  <w:vMerge w:val="restart"/>
                  <w:tcBorders>
                    <w:tl2br w:val="nil"/>
                    <w:tr2bl w:val="nil"/>
                  </w:tcBorders>
                  <w:vAlign w:val="center"/>
                </w:tcPr>
                <w:p>
                  <w:pPr>
                    <w:pStyle w:val="68"/>
                    <w:adjustRightInd/>
                    <w:snapToGrid/>
                    <w:spacing w:before="0"/>
                    <w:ind w:right="0"/>
                    <w:rPr>
                      <w:color w:val="auto"/>
                      <w:szCs w:val="21"/>
                    </w:rPr>
                  </w:pPr>
                  <w:r>
                    <w:rPr>
                      <w:rFonts w:hint="eastAsia"/>
                      <w:color w:val="auto"/>
                      <w:szCs w:val="21"/>
                    </w:rPr>
                    <w:t>福州临空经济区</w:t>
                  </w:r>
                </w:p>
              </w:tc>
              <w:tc>
                <w:tcPr>
                  <w:tcW w:w="811" w:type="dxa"/>
                  <w:tcBorders>
                    <w:tl2br w:val="nil"/>
                    <w:tr2bl w:val="nil"/>
                  </w:tcBorders>
                  <w:vAlign w:val="center"/>
                </w:tcPr>
                <w:p>
                  <w:pPr>
                    <w:pStyle w:val="68"/>
                    <w:adjustRightInd/>
                    <w:snapToGrid/>
                    <w:spacing w:before="0"/>
                    <w:ind w:right="0"/>
                    <w:rPr>
                      <w:color w:val="auto"/>
                      <w:szCs w:val="21"/>
                    </w:rPr>
                  </w:pPr>
                  <w:r>
                    <w:rPr>
                      <w:rFonts w:hint="eastAsia"/>
                      <w:color w:val="auto"/>
                      <w:szCs w:val="21"/>
                    </w:rPr>
                    <w:t>空间布局约束</w:t>
                  </w:r>
                </w:p>
              </w:tc>
              <w:tc>
                <w:tcPr>
                  <w:tcW w:w="3688" w:type="dxa"/>
                  <w:tcBorders>
                    <w:tl2br w:val="nil"/>
                    <w:tr2bl w:val="nil"/>
                  </w:tcBorders>
                  <w:vAlign w:val="center"/>
                </w:tcPr>
                <w:p>
                  <w:pPr>
                    <w:pStyle w:val="68"/>
                    <w:adjustRightInd/>
                    <w:snapToGrid/>
                    <w:spacing w:before="0"/>
                    <w:ind w:right="0"/>
                    <w:jc w:val="both"/>
                    <w:rPr>
                      <w:rFonts w:hint="eastAsia"/>
                      <w:color w:val="auto"/>
                      <w:szCs w:val="21"/>
                    </w:rPr>
                  </w:pPr>
                  <w:r>
                    <w:rPr>
                      <w:rFonts w:hint="eastAsia"/>
                      <w:color w:val="auto"/>
                      <w:szCs w:val="21"/>
                    </w:rPr>
                    <w:t>1.禁止建设《环境保护综合名录》等负面清单中“高污染、高环境风险”产品相关生产项目。禁止建设向厂外排放含重金属、持久性有机污染物等水污染物的新、改、扩建项目。</w:t>
                  </w:r>
                </w:p>
                <w:p>
                  <w:pPr>
                    <w:pStyle w:val="68"/>
                    <w:adjustRightInd/>
                    <w:snapToGrid/>
                    <w:spacing w:before="0"/>
                    <w:ind w:right="0"/>
                    <w:jc w:val="both"/>
                    <w:rPr>
                      <w:rFonts w:hint="eastAsia"/>
                      <w:color w:val="auto"/>
                      <w:szCs w:val="21"/>
                    </w:rPr>
                  </w:pPr>
                  <w:r>
                    <w:rPr>
                      <w:rFonts w:hint="eastAsia"/>
                      <w:color w:val="auto"/>
                      <w:szCs w:val="21"/>
                    </w:rPr>
                    <w:t>2.禁止冶炼项目，禁止新建电镀、石化、化工项目，现有低端印染企业应逐步退出。严格控制工业涂装等高VOCs排放的项目建设。</w:t>
                  </w:r>
                </w:p>
                <w:p>
                  <w:pPr>
                    <w:pStyle w:val="68"/>
                    <w:adjustRightInd/>
                    <w:snapToGrid/>
                    <w:spacing w:before="0"/>
                    <w:ind w:right="0"/>
                    <w:jc w:val="both"/>
                    <w:rPr>
                      <w:rFonts w:hint="eastAsia"/>
                      <w:color w:val="auto"/>
                      <w:szCs w:val="21"/>
                    </w:rPr>
                  </w:pPr>
                  <w:r>
                    <w:rPr>
                      <w:rFonts w:hint="eastAsia"/>
                      <w:color w:val="auto"/>
                      <w:szCs w:val="21"/>
                    </w:rPr>
                    <w:t>3.与居住区等大气环境敏感区相邻的地块禁止引进大气污染物排放量大的企业；合理设置环保控制带，控制带内禁止新增居民住宅、学校、医院等敏感目标</w:t>
                  </w:r>
                </w:p>
                <w:p>
                  <w:pPr>
                    <w:pStyle w:val="68"/>
                    <w:adjustRightInd/>
                    <w:snapToGrid/>
                    <w:spacing w:before="0"/>
                    <w:ind w:right="0"/>
                    <w:jc w:val="both"/>
                    <w:rPr>
                      <w:rFonts w:hint="eastAsia"/>
                      <w:color w:val="auto"/>
                      <w:szCs w:val="21"/>
                    </w:rPr>
                  </w:pPr>
                  <w:r>
                    <w:rPr>
                      <w:rFonts w:hint="eastAsia"/>
                      <w:color w:val="auto"/>
                      <w:szCs w:val="21"/>
                    </w:rPr>
                    <w:t>4.优化排污口设置，防止对经济区周边各类海洋生态保护区或敏感区造成不利影响。</w:t>
                  </w:r>
                </w:p>
                <w:p>
                  <w:pPr>
                    <w:pStyle w:val="68"/>
                    <w:adjustRightInd/>
                    <w:snapToGrid/>
                    <w:spacing w:before="0"/>
                    <w:ind w:right="0"/>
                    <w:jc w:val="both"/>
                    <w:rPr>
                      <w:rFonts w:hint="eastAsia"/>
                      <w:color w:val="auto"/>
                      <w:szCs w:val="21"/>
                    </w:rPr>
                  </w:pPr>
                  <w:r>
                    <w:rPr>
                      <w:rFonts w:hint="eastAsia"/>
                      <w:color w:val="auto"/>
                      <w:szCs w:val="21"/>
                    </w:rPr>
                    <w:t>5.将园区内海滨森林公园划入禁止建设区。在保护区周边布局无污染、轻污染的产业，保护区内禁止新建排污口。6.在长乐国际机场净空保护区范围内的各类建筑物、构筑物等必须满足净空及导航电磁环境的相关要求。</w:t>
                  </w:r>
                </w:p>
                <w:p>
                  <w:pPr>
                    <w:pStyle w:val="68"/>
                    <w:adjustRightInd/>
                    <w:snapToGrid/>
                    <w:spacing w:before="0"/>
                    <w:ind w:right="0"/>
                    <w:jc w:val="both"/>
                    <w:rPr>
                      <w:color w:val="auto"/>
                      <w:szCs w:val="21"/>
                    </w:rPr>
                  </w:pPr>
                  <w:r>
                    <w:rPr>
                      <w:rFonts w:hint="eastAsia"/>
                      <w:color w:val="auto"/>
                      <w:szCs w:val="21"/>
                    </w:rPr>
                    <w:t>7.园区内涉及基本农田的区域在土地性质调整及占补措施落实前应暂缓开发。</w:t>
                  </w:r>
                </w:p>
              </w:tc>
              <w:tc>
                <w:tcPr>
                  <w:tcW w:w="1783" w:type="dxa"/>
                  <w:tcBorders>
                    <w:tl2br w:val="nil"/>
                    <w:tr2bl w:val="nil"/>
                  </w:tcBorders>
                  <w:vAlign w:val="center"/>
                </w:tcPr>
                <w:p>
                  <w:pPr>
                    <w:pStyle w:val="68"/>
                    <w:adjustRightInd/>
                    <w:snapToGrid/>
                    <w:spacing w:before="0"/>
                    <w:ind w:right="0"/>
                    <w:jc w:val="both"/>
                    <w:rPr>
                      <w:rFonts w:hint="default" w:eastAsia="宋体"/>
                      <w:color w:val="auto"/>
                      <w:szCs w:val="21"/>
                      <w:lang w:val="en-US" w:eastAsia="zh-CN"/>
                    </w:rPr>
                  </w:pPr>
                  <w:r>
                    <w:rPr>
                      <w:rFonts w:hint="default" w:ascii="Times New Roman" w:hAnsi="Times New Roman" w:cs="Times New Roman"/>
                      <w:color w:val="auto"/>
                      <w:szCs w:val="21"/>
                    </w:rPr>
                    <w:t>符合。扩建项目</w:t>
                  </w:r>
                  <w:r>
                    <w:rPr>
                      <w:rFonts w:hint="eastAsia"/>
                      <w:color w:val="auto"/>
                      <w:szCs w:val="21"/>
                    </w:rPr>
                    <w:t>主要从事复合膜和复合袋生产，</w:t>
                  </w:r>
                  <w:r>
                    <w:rPr>
                      <w:rFonts w:hint="default" w:ascii="Times New Roman" w:hAnsi="Times New Roman" w:cs="Times New Roman"/>
                      <w:color w:val="auto"/>
                      <w:szCs w:val="21"/>
                      <w:lang w:val="en-US" w:eastAsia="zh-CN"/>
                    </w:rPr>
                    <w:t>不属于</w:t>
                  </w:r>
                  <w:r>
                    <w:rPr>
                      <w:rFonts w:hint="default" w:ascii="Times New Roman" w:hAnsi="Times New Roman" w:cs="Times New Roman"/>
                      <w:color w:val="auto"/>
                      <w:szCs w:val="21"/>
                    </w:rPr>
                    <w:t>《环境保护综合名录》等负面清单中“高污染、高环境风险”产品相关生产项目</w:t>
                  </w:r>
                  <w:r>
                    <w:rPr>
                      <w:rFonts w:hint="eastAsia" w:ascii="Times New Roman" w:hAnsi="Times New Roman" w:cs="Times New Roman"/>
                      <w:color w:val="auto"/>
                      <w:szCs w:val="21"/>
                      <w:lang w:eastAsia="zh-CN"/>
                    </w:rPr>
                    <w:t>；</w:t>
                  </w:r>
                  <w:r>
                    <w:rPr>
                      <w:rFonts w:hint="eastAsia" w:ascii="Times New Roman" w:hAnsi="Times New Roman" w:cs="Times New Roman"/>
                      <w:color w:val="auto"/>
                      <w:szCs w:val="21"/>
                      <w:lang w:val="en-US" w:eastAsia="zh-CN"/>
                    </w:rPr>
                    <w:t>不属于</w:t>
                  </w:r>
                  <w:r>
                    <w:rPr>
                      <w:rFonts w:hint="eastAsia"/>
                      <w:color w:val="auto"/>
                      <w:szCs w:val="21"/>
                    </w:rPr>
                    <w:t>冶炼</w:t>
                  </w:r>
                  <w:r>
                    <w:rPr>
                      <w:rFonts w:hint="eastAsia"/>
                      <w:color w:val="auto"/>
                      <w:szCs w:val="21"/>
                      <w:lang w:eastAsia="zh-CN"/>
                    </w:rPr>
                    <w:t>、</w:t>
                  </w:r>
                  <w:r>
                    <w:rPr>
                      <w:rFonts w:hint="eastAsia"/>
                      <w:color w:val="auto"/>
                      <w:szCs w:val="21"/>
                      <w:lang w:val="en-US" w:eastAsia="zh-CN"/>
                    </w:rPr>
                    <w:t>电镀、石化、化工、印染、工业涂装项目；扩建项目</w:t>
                  </w:r>
                  <w:r>
                    <w:rPr>
                      <w:rFonts w:hint="eastAsia"/>
                      <w:color w:val="auto"/>
                      <w:szCs w:val="21"/>
                    </w:rPr>
                    <w:t>位于福建省福州市长乐区漳港街道渡桥村，</w:t>
                  </w:r>
                  <w:r>
                    <w:rPr>
                      <w:rFonts w:hint="eastAsia"/>
                      <w:color w:val="auto"/>
                      <w:szCs w:val="21"/>
                      <w:lang w:val="en-US" w:eastAsia="zh-CN"/>
                    </w:rPr>
                    <w:t>最近敏感目标为230m的华刘村，不属于与</w:t>
                  </w:r>
                  <w:r>
                    <w:rPr>
                      <w:rFonts w:hint="eastAsia"/>
                      <w:color w:val="auto"/>
                      <w:szCs w:val="21"/>
                    </w:rPr>
                    <w:t>居住区等大气环境敏感区相邻的地块</w:t>
                  </w:r>
                  <w:r>
                    <w:rPr>
                      <w:rFonts w:hint="eastAsia"/>
                      <w:color w:val="auto"/>
                      <w:szCs w:val="21"/>
                      <w:lang w:eastAsia="zh-CN"/>
                    </w:rPr>
                    <w:t>，</w:t>
                  </w:r>
                  <w:r>
                    <w:rPr>
                      <w:rStyle w:val="180"/>
                      <w:rFonts w:hint="default" w:ascii="Times New Roman" w:hAnsi="Times New Roman"/>
                      <w:color w:val="auto"/>
                      <w:sz w:val="21"/>
                      <w:szCs w:val="21"/>
                    </w:rPr>
                    <w:t>预测扩建项目卫生防护距离50m，卫生防护距离范围内</w:t>
                  </w:r>
                  <w:r>
                    <w:rPr>
                      <w:rStyle w:val="180"/>
                      <w:rFonts w:hint="eastAsia"/>
                      <w:color w:val="auto"/>
                      <w:sz w:val="21"/>
                      <w:szCs w:val="21"/>
                      <w:lang w:val="en-US" w:eastAsia="zh-CN"/>
                    </w:rPr>
                    <w:t>无敏感目标；外排废水为生活污水，经化粪池处理后接入市政污水管网，排入长乐区滨海污水处理厂深度处理，不直接排入</w:t>
                  </w:r>
                  <w:r>
                    <w:rPr>
                      <w:rFonts w:hint="eastAsia"/>
                      <w:color w:val="auto"/>
                      <w:szCs w:val="21"/>
                    </w:rPr>
                    <w:t>经济区周边各类海洋生态保护区或敏感区</w:t>
                  </w:r>
                  <w:r>
                    <w:rPr>
                      <w:rStyle w:val="180"/>
                      <w:rFonts w:hint="eastAsia"/>
                      <w:color w:val="auto"/>
                      <w:sz w:val="21"/>
                      <w:szCs w:val="21"/>
                      <w:lang w:val="en-US" w:eastAsia="zh-CN"/>
                    </w:rPr>
                    <w:t>；扩建项目</w:t>
                  </w:r>
                  <w:r>
                    <w:rPr>
                      <w:rFonts w:hint="eastAsia"/>
                      <w:color w:val="auto"/>
                      <w:szCs w:val="21"/>
                    </w:rPr>
                    <w:t>位于福建省福州市长乐区漳港街道渡桥村，</w:t>
                  </w:r>
                  <w:r>
                    <w:rPr>
                      <w:rFonts w:hint="eastAsia"/>
                      <w:color w:val="auto"/>
                      <w:szCs w:val="21"/>
                      <w:lang w:val="en-US" w:eastAsia="zh-CN"/>
                    </w:rPr>
                    <w:t>租赁</w:t>
                  </w:r>
                  <w:r>
                    <w:rPr>
                      <w:color w:val="auto"/>
                    </w:rPr>
                    <w:t>福州市长乐区力驰针纺有限公司厂房</w:t>
                  </w:r>
                  <w:r>
                    <w:rPr>
                      <w:rFonts w:hint="eastAsia"/>
                      <w:color w:val="auto"/>
                      <w:lang w:val="en-US" w:eastAsia="zh-CN"/>
                    </w:rPr>
                    <w:t>建设，不涉及左列5.6.7的内容。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60" w:hRule="atLeast"/>
                <w:jc w:val="center"/>
              </w:trPr>
              <w:tc>
                <w:tcPr>
                  <w:tcW w:w="810" w:type="dxa"/>
                  <w:vMerge w:val="continue"/>
                  <w:tcBorders>
                    <w:tl2br w:val="nil"/>
                    <w:tr2bl w:val="nil"/>
                  </w:tcBorders>
                  <w:vAlign w:val="center"/>
                </w:tcPr>
                <w:p>
                  <w:pPr>
                    <w:pStyle w:val="68"/>
                    <w:adjustRightInd/>
                    <w:snapToGrid/>
                    <w:spacing w:before="0"/>
                    <w:ind w:right="0"/>
                    <w:rPr>
                      <w:color w:val="auto"/>
                      <w:szCs w:val="21"/>
                    </w:rPr>
                  </w:pPr>
                </w:p>
              </w:tc>
              <w:tc>
                <w:tcPr>
                  <w:tcW w:w="811" w:type="dxa"/>
                  <w:tcBorders>
                    <w:tl2br w:val="nil"/>
                    <w:tr2bl w:val="nil"/>
                  </w:tcBorders>
                  <w:shd w:val="clear" w:color="auto" w:fill="auto"/>
                  <w:vAlign w:val="center"/>
                </w:tcPr>
                <w:p>
                  <w:pPr>
                    <w:pStyle w:val="68"/>
                    <w:adjustRightInd/>
                    <w:snapToGrid/>
                    <w:spacing w:before="0"/>
                    <w:ind w:right="0" w:rightChars="0"/>
                    <w:rPr>
                      <w:rFonts w:ascii="Times New Roman" w:hAnsi="Times New Roman" w:eastAsia="宋体" w:cs="Times New Roman"/>
                      <w:color w:val="auto"/>
                      <w:kern w:val="2"/>
                      <w:sz w:val="21"/>
                      <w:szCs w:val="21"/>
                      <w:lang w:val="en-US" w:eastAsia="zh-CN" w:bidi="ar-SA"/>
                    </w:rPr>
                  </w:pPr>
                  <w:r>
                    <w:rPr>
                      <w:rFonts w:hint="eastAsia"/>
                      <w:color w:val="auto"/>
                      <w:szCs w:val="21"/>
                    </w:rPr>
                    <w:t>污染物排放管控</w:t>
                  </w:r>
                </w:p>
              </w:tc>
              <w:tc>
                <w:tcPr>
                  <w:tcW w:w="3688" w:type="dxa"/>
                  <w:tcBorders>
                    <w:tl2br w:val="nil"/>
                    <w:tr2bl w:val="nil"/>
                  </w:tcBorders>
                  <w:vAlign w:val="center"/>
                </w:tcPr>
                <w:p>
                  <w:pPr>
                    <w:pStyle w:val="68"/>
                    <w:numPr>
                      <w:ilvl w:val="0"/>
                      <w:numId w:val="0"/>
                    </w:numPr>
                    <w:adjustRightInd/>
                    <w:snapToGrid/>
                    <w:spacing w:before="0"/>
                    <w:ind w:right="0" w:rightChars="0"/>
                    <w:jc w:val="both"/>
                    <w:rPr>
                      <w:color w:val="auto"/>
                      <w:szCs w:val="21"/>
                    </w:rPr>
                  </w:pPr>
                  <w:r>
                    <w:rPr>
                      <w:rFonts w:hint="eastAsia"/>
                      <w:color w:val="auto"/>
                      <w:szCs w:val="21"/>
                      <w:lang w:val="en-US" w:eastAsia="zh-CN"/>
                    </w:rPr>
                    <w:t>1.</w:t>
                  </w:r>
                  <w:r>
                    <w:rPr>
                      <w:rFonts w:hint="eastAsia"/>
                      <w:color w:val="auto"/>
                      <w:szCs w:val="21"/>
                    </w:rPr>
                    <w:t>加强食品企业恶臭污染控制，防止恶臭扰民。</w:t>
                  </w:r>
                </w:p>
                <w:p>
                  <w:pPr>
                    <w:pStyle w:val="68"/>
                    <w:adjustRightInd/>
                    <w:snapToGrid/>
                    <w:spacing w:before="0"/>
                    <w:ind w:right="0"/>
                    <w:jc w:val="both"/>
                    <w:rPr>
                      <w:rFonts w:hint="eastAsia"/>
                      <w:color w:val="auto"/>
                      <w:szCs w:val="21"/>
                    </w:rPr>
                  </w:pPr>
                  <w:r>
                    <w:rPr>
                      <w:rFonts w:hint="eastAsia"/>
                      <w:color w:val="auto"/>
                      <w:szCs w:val="21"/>
                    </w:rPr>
                    <w:t>2.涉新增VOCs排放项目，VOCs排放实行区域内倍量替代。</w:t>
                  </w:r>
                </w:p>
                <w:p>
                  <w:pPr>
                    <w:pStyle w:val="68"/>
                    <w:adjustRightInd/>
                    <w:snapToGrid/>
                    <w:spacing w:before="0"/>
                    <w:ind w:right="0"/>
                    <w:jc w:val="both"/>
                    <w:rPr>
                      <w:rFonts w:hint="eastAsia"/>
                      <w:color w:val="auto"/>
                      <w:szCs w:val="21"/>
                    </w:rPr>
                  </w:pPr>
                  <w:r>
                    <w:rPr>
                      <w:rFonts w:hint="eastAsia"/>
                      <w:color w:val="auto"/>
                      <w:szCs w:val="21"/>
                    </w:rPr>
                    <w:t>3.新、扩、改项目清洁生产水平应达到国内先进以上水平。</w:t>
                  </w:r>
                </w:p>
                <w:p>
                  <w:pPr>
                    <w:pStyle w:val="68"/>
                    <w:adjustRightInd/>
                    <w:snapToGrid/>
                    <w:spacing w:before="0"/>
                    <w:ind w:right="0"/>
                    <w:jc w:val="both"/>
                    <w:rPr>
                      <w:color w:val="auto"/>
                      <w:szCs w:val="21"/>
                    </w:rPr>
                  </w:pPr>
                  <w:r>
                    <w:rPr>
                      <w:rFonts w:hint="eastAsia"/>
                      <w:color w:val="auto"/>
                      <w:szCs w:val="21"/>
                    </w:rPr>
                    <w:t>4.企业应使用天然气、电能、太阳能等清洁能源，鼓励燃气锅炉实施低氮改造。</w:t>
                  </w:r>
                </w:p>
              </w:tc>
              <w:tc>
                <w:tcPr>
                  <w:tcW w:w="1783" w:type="dxa"/>
                  <w:tcBorders>
                    <w:tl2br w:val="nil"/>
                    <w:tr2bl w:val="nil"/>
                  </w:tcBorders>
                  <w:vAlign w:val="center"/>
                </w:tcPr>
                <w:p>
                  <w:pPr>
                    <w:pStyle w:val="68"/>
                    <w:adjustRightInd/>
                    <w:snapToGrid/>
                    <w:spacing w:before="0"/>
                    <w:ind w:right="0"/>
                    <w:jc w:val="both"/>
                    <w:rPr>
                      <w:rFonts w:hint="default" w:eastAsia="宋体"/>
                      <w:color w:val="auto"/>
                      <w:szCs w:val="21"/>
                      <w:lang w:val="en-US" w:eastAsia="zh-CN"/>
                    </w:rPr>
                  </w:pPr>
                  <w:r>
                    <w:rPr>
                      <w:rFonts w:hint="eastAsia"/>
                      <w:color w:val="auto"/>
                      <w:szCs w:val="21"/>
                    </w:rPr>
                    <w:t>符合。扩建项目主要从事复合膜和复合袋生产，</w:t>
                  </w:r>
                  <w:r>
                    <w:rPr>
                      <w:rFonts w:hint="eastAsia"/>
                      <w:color w:val="auto"/>
                      <w:szCs w:val="21"/>
                      <w:lang w:val="en-US" w:eastAsia="zh-CN"/>
                    </w:rPr>
                    <w:t>不属于食品企业；扩建项目</w:t>
                  </w:r>
                  <w:r>
                    <w:rPr>
                      <w:rFonts w:hint="eastAsia"/>
                      <w:color w:val="auto"/>
                      <w:szCs w:val="21"/>
                    </w:rPr>
                    <w:t>涉VOCs排放，建设单位将严格按照文件规定要求对VOCs排放实行等量或倍量替代</w:t>
                  </w:r>
                  <w:r>
                    <w:rPr>
                      <w:rFonts w:hint="eastAsia"/>
                      <w:color w:val="auto"/>
                      <w:szCs w:val="21"/>
                      <w:lang w:eastAsia="zh-CN"/>
                    </w:rPr>
                    <w:t>；</w:t>
                  </w:r>
                  <w:r>
                    <w:rPr>
                      <w:rFonts w:hint="eastAsia"/>
                      <w:color w:val="auto"/>
                      <w:szCs w:val="21"/>
                      <w:lang w:val="en-US" w:eastAsia="zh-CN"/>
                    </w:rPr>
                    <w:t>扩建项目</w:t>
                  </w:r>
                  <w:r>
                    <w:rPr>
                      <w:rFonts w:hint="eastAsia"/>
                      <w:color w:val="auto"/>
                      <w:szCs w:val="21"/>
                    </w:rPr>
                    <w:t>清洁生产水平应达到国内先进以上水平</w:t>
                  </w:r>
                  <w:r>
                    <w:rPr>
                      <w:rFonts w:hint="eastAsia"/>
                      <w:color w:val="auto"/>
                      <w:szCs w:val="21"/>
                      <w:lang w:eastAsia="zh-CN"/>
                    </w:rPr>
                    <w:t>；</w:t>
                  </w:r>
                  <w:r>
                    <w:rPr>
                      <w:rFonts w:hint="eastAsia"/>
                      <w:color w:val="auto"/>
                      <w:szCs w:val="21"/>
                      <w:lang w:val="en-US" w:eastAsia="zh-CN"/>
                    </w:rPr>
                    <w:t>扩建项目使用电清洁能源，不涉及燃气锅炉使用。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0" w:type="dxa"/>
                  <w:vMerge w:val="continue"/>
                  <w:tcBorders>
                    <w:tl2br w:val="nil"/>
                    <w:tr2bl w:val="nil"/>
                  </w:tcBorders>
                  <w:vAlign w:val="center"/>
                </w:tcPr>
                <w:p>
                  <w:pPr>
                    <w:pStyle w:val="68"/>
                    <w:adjustRightInd/>
                    <w:snapToGrid/>
                    <w:spacing w:before="0"/>
                    <w:ind w:right="0"/>
                    <w:rPr>
                      <w:color w:val="auto"/>
                      <w:szCs w:val="21"/>
                    </w:rPr>
                  </w:pPr>
                </w:p>
              </w:tc>
              <w:tc>
                <w:tcPr>
                  <w:tcW w:w="811" w:type="dxa"/>
                  <w:tcBorders>
                    <w:tl2br w:val="nil"/>
                    <w:tr2bl w:val="nil"/>
                  </w:tcBorders>
                  <w:shd w:val="clear" w:color="auto" w:fill="auto"/>
                  <w:vAlign w:val="center"/>
                </w:tcPr>
                <w:p>
                  <w:pPr>
                    <w:pStyle w:val="68"/>
                    <w:adjustRightInd/>
                    <w:snapToGrid/>
                    <w:spacing w:before="0"/>
                    <w:ind w:right="0" w:rightChars="0"/>
                    <w:rPr>
                      <w:rFonts w:ascii="Times New Roman" w:hAnsi="Times New Roman" w:eastAsia="宋体" w:cs="Times New Roman"/>
                      <w:color w:val="auto"/>
                      <w:kern w:val="2"/>
                      <w:sz w:val="21"/>
                      <w:szCs w:val="21"/>
                      <w:lang w:val="en-US" w:eastAsia="zh-CN" w:bidi="ar-SA"/>
                    </w:rPr>
                  </w:pPr>
                  <w:r>
                    <w:rPr>
                      <w:rFonts w:hint="eastAsia"/>
                      <w:color w:val="auto"/>
                      <w:szCs w:val="21"/>
                    </w:rPr>
                    <w:t>环境风险防控</w:t>
                  </w:r>
                </w:p>
              </w:tc>
              <w:tc>
                <w:tcPr>
                  <w:tcW w:w="3688"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1.建立健全环境风险防控体系，制定环境风险应急预案，建设事故应急池，成立应急组织机构，防止生产事故过程中产生的可能严重污染水体的消防废水、废液直接排入水体。2.应采取有效措施防止园区建设对区域地下水、土壤造成污染。</w:t>
                  </w:r>
                </w:p>
              </w:tc>
              <w:tc>
                <w:tcPr>
                  <w:tcW w:w="1783"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符合。建项目主要从事复合膜和复合袋生产，严格落实后文环境风险分析及防治措施中的风险防范措施；扩建项目危废仓库、溶剂房、油墨仓库、粘合剂仓库等设置防渗防漏措施，防止泄漏物污染地表水、地下水和土壤环境。</w:t>
                  </w:r>
                </w:p>
              </w:tc>
            </w:tr>
          </w:tbl>
          <w:p>
            <w:pPr>
              <w:pStyle w:val="93"/>
              <w:adjustRightInd/>
              <w:snapToGrid/>
              <w:ind w:firstLine="480"/>
              <w:rPr>
                <w:rFonts w:cs="Times New Roman"/>
                <w:color w:val="auto"/>
                <w:sz w:val="24"/>
                <w:szCs w:val="24"/>
              </w:rPr>
            </w:pPr>
            <w:r>
              <w:rPr>
                <w:rFonts w:cs="Times New Roman"/>
                <w:bCs/>
                <w:snapToGrid w:val="0"/>
                <w:color w:val="auto"/>
                <w:kern w:val="0"/>
                <w:sz w:val="24"/>
              </w:rPr>
              <w:t>根据上述分析，扩建项目与</w:t>
            </w:r>
            <w:r>
              <w:rPr>
                <w:rFonts w:hint="eastAsia" w:cs="Times New Roman"/>
                <w:bCs/>
                <w:snapToGrid w:val="0"/>
                <w:color w:val="auto"/>
                <w:kern w:val="0"/>
                <w:sz w:val="24"/>
              </w:rPr>
              <w:t>《关于发布福州市2024年生态环境分区管控动态更新成果的通知》（榕环保综</w:t>
            </w:r>
            <w:r>
              <w:rPr>
                <w:rFonts w:hint="eastAsia" w:cs="Times New Roman"/>
                <w:bCs/>
                <w:snapToGrid w:val="0"/>
                <w:color w:val="auto"/>
                <w:kern w:val="0"/>
                <w:sz w:val="24"/>
                <w:lang w:eastAsia="zh-CN"/>
              </w:rPr>
              <w:t>〔2025〕1号</w:t>
            </w:r>
            <w:r>
              <w:rPr>
                <w:rFonts w:hint="eastAsia" w:cs="Times New Roman"/>
                <w:bCs/>
                <w:snapToGrid w:val="0"/>
                <w:color w:val="auto"/>
                <w:kern w:val="0"/>
                <w:sz w:val="24"/>
              </w:rPr>
              <w:t>）</w:t>
            </w:r>
            <w:r>
              <w:rPr>
                <w:rFonts w:cs="Times New Roman"/>
                <w:bCs/>
                <w:snapToGrid w:val="0"/>
                <w:color w:val="auto"/>
                <w:kern w:val="0"/>
                <w:sz w:val="24"/>
              </w:rPr>
              <w:t>中的相关规定是符合的。</w:t>
            </w:r>
          </w:p>
          <w:p>
            <w:pPr>
              <w:pStyle w:val="159"/>
              <w:spacing w:line="359" w:lineRule="auto"/>
              <w:ind w:right="103"/>
              <w:rPr>
                <w:rFonts w:ascii="Times New Roman" w:hAnsi="Times New Roman" w:cs="Times New Roman"/>
                <w:b/>
                <w:bCs/>
                <w:color w:val="auto"/>
                <w:spacing w:val="-2"/>
                <w:lang w:eastAsia="zh-CN"/>
              </w:rPr>
            </w:pPr>
            <w:r>
              <w:rPr>
                <w:rFonts w:hint="eastAsia" w:ascii="Times New Roman" w:hAnsi="Times New Roman" w:cs="Times New Roman"/>
                <w:b/>
                <w:bCs/>
                <w:color w:val="auto"/>
                <w:spacing w:val="-2"/>
                <w:lang w:val="en-US" w:eastAsia="zh-CN"/>
              </w:rPr>
              <w:t>6</w:t>
            </w:r>
            <w:r>
              <w:rPr>
                <w:rFonts w:hint="eastAsia" w:ascii="Times New Roman" w:hAnsi="Times New Roman" w:cs="Times New Roman"/>
                <w:b/>
                <w:bCs/>
                <w:color w:val="auto"/>
                <w:spacing w:val="-2"/>
                <w:lang w:eastAsia="zh-CN"/>
              </w:rPr>
              <w:t>、相关环保政策符合性分析</w:t>
            </w:r>
          </w:p>
          <w:p>
            <w:pPr>
              <w:pStyle w:val="159"/>
              <w:ind w:left="109" w:right="103" w:firstLine="428"/>
              <w:rPr>
                <w:rFonts w:ascii="Times New Roman" w:hAnsi="Times New Roman" w:cs="Times New Roman"/>
                <w:bCs/>
                <w:snapToGrid w:val="0"/>
                <w:color w:val="auto"/>
                <w:kern w:val="0"/>
                <w:szCs w:val="21"/>
                <w:lang w:eastAsia="zh-CN"/>
              </w:rPr>
            </w:pPr>
            <w:r>
              <w:rPr>
                <w:rFonts w:hint="eastAsia" w:ascii="Times New Roman" w:hAnsi="Times New Roman" w:cs="Times New Roman"/>
                <w:bCs/>
                <w:snapToGrid w:val="0"/>
                <w:color w:val="auto"/>
                <w:kern w:val="0"/>
                <w:szCs w:val="21"/>
                <w:lang w:eastAsia="zh-CN"/>
              </w:rPr>
              <w:t>项目与相关环保政策的符合性分析详见</w:t>
            </w:r>
            <w:r>
              <w:rPr>
                <w:rFonts w:hint="eastAsia" w:ascii="Times New Roman" w:hAnsi="Times New Roman" w:cs="Times New Roman"/>
                <w:b/>
                <w:snapToGrid w:val="0"/>
                <w:color w:val="auto"/>
                <w:kern w:val="0"/>
                <w:szCs w:val="21"/>
                <w:lang w:eastAsia="zh-CN"/>
              </w:rPr>
              <w:t>表1.1-</w:t>
            </w:r>
            <w:r>
              <w:rPr>
                <w:rFonts w:hint="eastAsia" w:ascii="Times New Roman" w:hAnsi="Times New Roman" w:cs="Times New Roman"/>
                <w:b/>
                <w:snapToGrid w:val="0"/>
                <w:color w:val="auto"/>
                <w:kern w:val="0"/>
                <w:szCs w:val="21"/>
                <w:lang w:val="en-US" w:eastAsia="zh-CN"/>
              </w:rPr>
              <w:t>5</w:t>
            </w:r>
            <w:r>
              <w:rPr>
                <w:rFonts w:hint="eastAsia" w:ascii="Times New Roman" w:hAnsi="Times New Roman" w:cs="Times New Roman"/>
                <w:bCs/>
                <w:snapToGrid w:val="0"/>
                <w:color w:val="auto"/>
                <w:kern w:val="0"/>
                <w:szCs w:val="21"/>
                <w:lang w:eastAsia="zh-CN"/>
              </w:rPr>
              <w:t>。</w:t>
            </w:r>
          </w:p>
          <w:p>
            <w:pPr>
              <w:pStyle w:val="159"/>
              <w:spacing w:before="182"/>
              <w:ind w:left="109" w:right="103" w:firstLine="428"/>
              <w:jc w:val="center"/>
              <w:rPr>
                <w:rFonts w:ascii="Times New Roman" w:hAnsi="Times New Roman" w:cs="Times New Roman"/>
                <w:b/>
                <w:snapToGrid w:val="0"/>
                <w:color w:val="auto"/>
                <w:kern w:val="0"/>
                <w:szCs w:val="21"/>
                <w:lang w:eastAsia="zh-CN"/>
              </w:rPr>
            </w:pPr>
            <w:r>
              <w:rPr>
                <w:rFonts w:ascii="Times New Roman" w:hAnsi="Times New Roman" w:cs="Times New Roman"/>
                <w:b/>
                <w:snapToGrid w:val="0"/>
                <w:color w:val="auto"/>
                <w:kern w:val="0"/>
                <w:szCs w:val="21"/>
                <w:lang w:eastAsia="zh-CN"/>
              </w:rPr>
              <w:t>表</w:t>
            </w:r>
            <w:r>
              <w:rPr>
                <w:rFonts w:hint="eastAsia" w:ascii="Times New Roman" w:hAnsi="Times New Roman" w:cs="Times New Roman"/>
                <w:b/>
                <w:snapToGrid w:val="0"/>
                <w:color w:val="auto"/>
                <w:kern w:val="0"/>
                <w:szCs w:val="21"/>
                <w:lang w:eastAsia="zh-CN"/>
              </w:rPr>
              <w:t>1.1-</w:t>
            </w:r>
            <w:r>
              <w:rPr>
                <w:rFonts w:hint="eastAsia" w:ascii="Times New Roman" w:hAnsi="Times New Roman" w:cs="Times New Roman"/>
                <w:b/>
                <w:snapToGrid w:val="0"/>
                <w:color w:val="auto"/>
                <w:kern w:val="0"/>
                <w:szCs w:val="21"/>
                <w:lang w:val="en-US" w:eastAsia="zh-CN"/>
              </w:rPr>
              <w:t>5</w:t>
            </w:r>
            <w:r>
              <w:rPr>
                <w:rFonts w:hint="eastAsia" w:ascii="Times New Roman" w:hAnsi="Times New Roman" w:cs="Times New Roman"/>
                <w:b/>
                <w:snapToGrid w:val="0"/>
                <w:color w:val="auto"/>
                <w:kern w:val="0"/>
                <w:szCs w:val="21"/>
                <w:lang w:eastAsia="zh-CN"/>
              </w:rPr>
              <w:t xml:space="preserve">  相关环保政策</w:t>
            </w:r>
          </w:p>
          <w:tbl>
            <w:tblPr>
              <w:tblStyle w:val="36"/>
              <w:tblW w:w="709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96"/>
              <w:gridCol w:w="315"/>
              <w:gridCol w:w="3345"/>
              <w:gridCol w:w="23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tcBorders>
                    <w:tl2br w:val="nil"/>
                    <w:tr2bl w:val="nil"/>
                  </w:tcBorders>
                  <w:vAlign w:val="center"/>
                </w:tcPr>
                <w:p>
                  <w:pPr>
                    <w:pStyle w:val="68"/>
                    <w:adjustRightInd/>
                    <w:snapToGrid/>
                    <w:spacing w:before="0"/>
                    <w:ind w:right="0"/>
                    <w:rPr>
                      <w:b/>
                      <w:bCs/>
                      <w:color w:val="auto"/>
                      <w:szCs w:val="21"/>
                    </w:rPr>
                  </w:pPr>
                  <w:r>
                    <w:rPr>
                      <w:rFonts w:hint="eastAsia"/>
                      <w:b/>
                      <w:bCs/>
                      <w:color w:val="auto"/>
                      <w:szCs w:val="21"/>
                    </w:rPr>
                    <w:t>相关政策和规范</w:t>
                  </w:r>
                </w:p>
              </w:tc>
              <w:tc>
                <w:tcPr>
                  <w:tcW w:w="3660" w:type="dxa"/>
                  <w:gridSpan w:val="2"/>
                  <w:tcBorders>
                    <w:tl2br w:val="nil"/>
                    <w:tr2bl w:val="nil"/>
                  </w:tcBorders>
                  <w:vAlign w:val="center"/>
                </w:tcPr>
                <w:p>
                  <w:pPr>
                    <w:pStyle w:val="68"/>
                    <w:adjustRightInd/>
                    <w:snapToGrid/>
                    <w:spacing w:before="0"/>
                    <w:ind w:right="0"/>
                    <w:rPr>
                      <w:b/>
                      <w:bCs/>
                      <w:color w:val="auto"/>
                      <w:szCs w:val="21"/>
                    </w:rPr>
                  </w:pPr>
                  <w:r>
                    <w:rPr>
                      <w:rFonts w:hint="eastAsia"/>
                      <w:b/>
                      <w:bCs/>
                      <w:color w:val="auto"/>
                      <w:szCs w:val="21"/>
                    </w:rPr>
                    <w:t>具体要求</w:t>
                  </w:r>
                </w:p>
              </w:tc>
              <w:tc>
                <w:tcPr>
                  <w:tcW w:w="2335" w:type="dxa"/>
                  <w:tcBorders>
                    <w:tl2br w:val="nil"/>
                    <w:tr2bl w:val="nil"/>
                  </w:tcBorders>
                  <w:vAlign w:val="center"/>
                </w:tcPr>
                <w:p>
                  <w:pPr>
                    <w:pStyle w:val="68"/>
                    <w:adjustRightInd/>
                    <w:snapToGrid/>
                    <w:spacing w:before="0"/>
                    <w:ind w:right="0"/>
                    <w:rPr>
                      <w:b/>
                      <w:bCs/>
                      <w:color w:val="auto"/>
                      <w:szCs w:val="21"/>
                    </w:rPr>
                  </w:pPr>
                  <w:r>
                    <w:rPr>
                      <w:b/>
                      <w:bCs/>
                      <w:color w:val="auto"/>
                      <w:szCs w:val="21"/>
                    </w:rPr>
                    <w:t>本项目符合性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restart"/>
                  <w:tcBorders>
                    <w:tl2br w:val="nil"/>
                    <w:tr2bl w:val="nil"/>
                  </w:tcBorders>
                  <w:vAlign w:val="center"/>
                </w:tcPr>
                <w:p>
                  <w:pPr>
                    <w:pStyle w:val="68"/>
                    <w:adjustRightInd/>
                    <w:snapToGrid/>
                    <w:spacing w:before="0"/>
                    <w:ind w:right="0"/>
                    <w:rPr>
                      <w:color w:val="auto"/>
                      <w:szCs w:val="21"/>
                    </w:rPr>
                  </w:pPr>
                  <w:r>
                    <w:rPr>
                      <w:rFonts w:hint="eastAsia"/>
                      <w:color w:val="auto"/>
                      <w:szCs w:val="21"/>
                    </w:rPr>
                    <w:t>挥发性有机物（VOCs）污染防治技术政策</w:t>
                  </w:r>
                </w:p>
              </w:tc>
              <w:tc>
                <w:tcPr>
                  <w:tcW w:w="315" w:type="dxa"/>
                  <w:vMerge w:val="restart"/>
                  <w:tcBorders>
                    <w:tl2br w:val="nil"/>
                    <w:tr2bl w:val="nil"/>
                  </w:tcBorders>
                  <w:vAlign w:val="center"/>
                </w:tcPr>
                <w:p>
                  <w:pPr>
                    <w:pStyle w:val="68"/>
                    <w:adjustRightInd/>
                    <w:snapToGrid/>
                    <w:spacing w:before="0"/>
                    <w:ind w:right="0"/>
                    <w:rPr>
                      <w:color w:val="auto"/>
                      <w:szCs w:val="21"/>
                    </w:rPr>
                  </w:pPr>
                  <w:r>
                    <w:rPr>
                      <w:rFonts w:hint="eastAsia"/>
                      <w:color w:val="auto"/>
                      <w:szCs w:val="21"/>
                    </w:rPr>
                    <w:t>国家</w:t>
                  </w: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对生产装置排放的含VOC；工艺排气宜优先回收利用，不能（或不能完全）回收利用的经处理后达标排放。</w:t>
                  </w:r>
                </w:p>
              </w:tc>
              <w:tc>
                <w:tcPr>
                  <w:tcW w:w="2335" w:type="dxa"/>
                  <w:vMerge w:val="restart"/>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符合。扩建项目产生VOCs废气排放量小，不具备回收价值；产生的VOCs属于低浓度废气，密闭微负压收集后经</w:t>
                  </w:r>
                  <w:r>
                    <w:rPr>
                      <w:rFonts w:hint="eastAsia"/>
                      <w:color w:val="auto"/>
                      <w:szCs w:val="21"/>
                      <w:lang w:val="en-US" w:eastAsia="zh-CN"/>
                    </w:rPr>
                    <w:t>喷淋塔+</w:t>
                  </w:r>
                  <w:r>
                    <w:rPr>
                      <w:rFonts w:hint="eastAsia"/>
                      <w:color w:val="auto"/>
                      <w:szCs w:val="21"/>
                    </w:rPr>
                    <w:t>二级</w:t>
                  </w:r>
                  <w:r>
                    <w:rPr>
                      <w:rStyle w:val="180"/>
                      <w:rFonts w:hint="eastAsia"/>
                      <w:color w:val="auto"/>
                      <w:sz w:val="21"/>
                      <w:szCs w:val="21"/>
                      <w:lang w:eastAsia="zh-CN"/>
                    </w:rPr>
                    <w:t>颗粒</w:t>
                  </w:r>
                  <w:r>
                    <w:rPr>
                      <w:rStyle w:val="180"/>
                      <w:rFonts w:hint="default" w:ascii="Times New Roman"/>
                      <w:color w:val="auto"/>
                      <w:sz w:val="21"/>
                      <w:szCs w:val="21"/>
                    </w:rPr>
                    <w:t>活性炭</w:t>
                  </w:r>
                  <w:r>
                    <w:rPr>
                      <w:rFonts w:hint="eastAsia"/>
                      <w:color w:val="auto"/>
                      <w:szCs w:val="21"/>
                    </w:rPr>
                    <w:t>吸附处理后达标排放。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continue"/>
                  <w:tcBorders>
                    <w:tl2br w:val="nil"/>
                    <w:tr2bl w:val="nil"/>
                  </w:tcBorders>
                  <w:vAlign w:val="center"/>
                </w:tcPr>
                <w:p>
                  <w:pPr>
                    <w:pStyle w:val="68"/>
                    <w:adjustRightInd/>
                    <w:snapToGrid/>
                    <w:spacing w:before="0"/>
                    <w:ind w:right="0"/>
                    <w:rPr>
                      <w:color w:val="auto"/>
                      <w:szCs w:val="21"/>
                    </w:rPr>
                  </w:pPr>
                </w:p>
              </w:tc>
              <w:tc>
                <w:tcPr>
                  <w:tcW w:w="315" w:type="dxa"/>
                  <w:vMerge w:val="continue"/>
                  <w:tcBorders>
                    <w:tl2br w:val="nil"/>
                    <w:tr2bl w:val="nil"/>
                  </w:tcBorders>
                  <w:vAlign w:val="center"/>
                </w:tcPr>
                <w:p>
                  <w:pPr>
                    <w:pStyle w:val="68"/>
                    <w:adjustRightInd/>
                    <w:snapToGrid/>
                    <w:spacing w:before="0"/>
                    <w:ind w:right="0"/>
                    <w:rPr>
                      <w:color w:val="auto"/>
                      <w:szCs w:val="21"/>
                    </w:rPr>
                  </w:pP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对于含高浓度VOCs的废气，宜优先采用冷凝回收、吸附回收技术进行回收利用，并辅助以其他治理技术实现达标排放；对于含中等浓度VOCs的废气，可采用吸附技术回收有机溶剂，或采用催化燃烧和热力焚烧技术净化后达标排放。当采用催化燃烧和热力焚烧技术进行净化时，应进行余热回收利用；对于含低浓度VOCs的废气，有回收价值时可采用吸附技术、吸收技术对有机溶剂回收后达标排放；不宜回收时，可采用吸附浓缩燃烧技术、生物技术、吸收技术、等离子体技术或紫外光高级氧化技术等净化后达标排放。</w:t>
                  </w:r>
                </w:p>
              </w:tc>
              <w:tc>
                <w:tcPr>
                  <w:tcW w:w="2335" w:type="dxa"/>
                  <w:vMerge w:val="continue"/>
                  <w:tcBorders>
                    <w:tl2br w:val="nil"/>
                    <w:tr2bl w:val="nil"/>
                  </w:tcBorders>
                  <w:vAlign w:val="center"/>
                </w:tcPr>
                <w:p>
                  <w:pPr>
                    <w:pStyle w:val="68"/>
                    <w:adjustRightInd/>
                    <w:snapToGrid/>
                    <w:spacing w:before="0"/>
                    <w:ind w:right="0"/>
                    <w:jc w:val="both"/>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continue"/>
                  <w:tcBorders>
                    <w:tl2br w:val="nil"/>
                    <w:tr2bl w:val="nil"/>
                  </w:tcBorders>
                  <w:vAlign w:val="center"/>
                </w:tcPr>
                <w:p>
                  <w:pPr>
                    <w:pStyle w:val="68"/>
                    <w:adjustRightInd/>
                    <w:snapToGrid/>
                    <w:spacing w:before="0"/>
                    <w:ind w:right="0"/>
                    <w:rPr>
                      <w:color w:val="auto"/>
                      <w:szCs w:val="21"/>
                    </w:rPr>
                  </w:pPr>
                </w:p>
              </w:tc>
              <w:tc>
                <w:tcPr>
                  <w:tcW w:w="315" w:type="dxa"/>
                  <w:vMerge w:val="continue"/>
                  <w:tcBorders>
                    <w:tl2br w:val="nil"/>
                    <w:tr2bl w:val="nil"/>
                  </w:tcBorders>
                  <w:vAlign w:val="center"/>
                </w:tcPr>
                <w:p>
                  <w:pPr>
                    <w:pStyle w:val="68"/>
                    <w:adjustRightInd/>
                    <w:snapToGrid/>
                    <w:spacing w:before="0"/>
                    <w:ind w:right="0"/>
                    <w:rPr>
                      <w:color w:val="auto"/>
                      <w:szCs w:val="21"/>
                    </w:rPr>
                  </w:pP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对于不能再生的过滤材料、吸附剂及催化剂等净化材料，应按照国家固体废物管理的相关规定处理处置。</w:t>
                  </w:r>
                </w:p>
              </w:tc>
              <w:tc>
                <w:tcPr>
                  <w:tcW w:w="233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符合。扩建项目产生的废活性炭收集暂存于危废仓库，定期委托</w:t>
                  </w:r>
                  <w:r>
                    <w:rPr>
                      <w:rFonts w:hint="eastAsia"/>
                      <w:color w:val="auto"/>
                      <w:szCs w:val="21"/>
                      <w:lang w:val="en-US" w:eastAsia="zh-CN"/>
                    </w:rPr>
                    <w:t>有</w:t>
                  </w:r>
                  <w:r>
                    <w:rPr>
                      <w:rFonts w:hint="eastAsia"/>
                      <w:color w:val="auto"/>
                      <w:szCs w:val="21"/>
                    </w:rPr>
                    <w:t>危废资质的单位处置。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continue"/>
                  <w:tcBorders>
                    <w:tl2br w:val="nil"/>
                    <w:tr2bl w:val="nil"/>
                  </w:tcBorders>
                  <w:vAlign w:val="center"/>
                </w:tcPr>
                <w:p>
                  <w:pPr>
                    <w:pStyle w:val="68"/>
                    <w:adjustRightInd/>
                    <w:snapToGrid/>
                    <w:spacing w:before="0"/>
                    <w:ind w:right="0"/>
                    <w:rPr>
                      <w:color w:val="auto"/>
                      <w:szCs w:val="21"/>
                    </w:rPr>
                  </w:pPr>
                </w:p>
              </w:tc>
              <w:tc>
                <w:tcPr>
                  <w:tcW w:w="315" w:type="dxa"/>
                  <w:vMerge w:val="continue"/>
                  <w:tcBorders>
                    <w:tl2br w:val="nil"/>
                    <w:tr2bl w:val="nil"/>
                  </w:tcBorders>
                  <w:vAlign w:val="center"/>
                </w:tcPr>
                <w:p>
                  <w:pPr>
                    <w:pStyle w:val="68"/>
                    <w:adjustRightInd/>
                    <w:snapToGrid/>
                    <w:spacing w:before="0"/>
                    <w:ind w:right="0"/>
                    <w:rPr>
                      <w:color w:val="auto"/>
                      <w:szCs w:val="21"/>
                    </w:rPr>
                  </w:pP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鼓励企业自行开展VOCs监测，并及时主动向当地环保行政主管部门报送监测结果。</w:t>
                  </w:r>
                </w:p>
              </w:tc>
              <w:tc>
                <w:tcPr>
                  <w:tcW w:w="233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符合。企业自行开展VOCs监测，每年需监测1次，并及时主动向当地环保行政主管部门报送监测结果。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continue"/>
                  <w:tcBorders>
                    <w:tl2br w:val="nil"/>
                    <w:tr2bl w:val="nil"/>
                  </w:tcBorders>
                  <w:vAlign w:val="center"/>
                </w:tcPr>
                <w:p>
                  <w:pPr>
                    <w:pStyle w:val="68"/>
                    <w:adjustRightInd/>
                    <w:snapToGrid/>
                    <w:spacing w:before="0"/>
                    <w:ind w:right="0"/>
                    <w:rPr>
                      <w:color w:val="auto"/>
                      <w:szCs w:val="21"/>
                    </w:rPr>
                  </w:pPr>
                </w:p>
              </w:tc>
              <w:tc>
                <w:tcPr>
                  <w:tcW w:w="315" w:type="dxa"/>
                  <w:vMerge w:val="continue"/>
                  <w:tcBorders>
                    <w:tl2br w:val="nil"/>
                    <w:tr2bl w:val="nil"/>
                  </w:tcBorders>
                  <w:vAlign w:val="center"/>
                </w:tcPr>
                <w:p>
                  <w:pPr>
                    <w:pStyle w:val="68"/>
                    <w:adjustRightInd/>
                    <w:snapToGrid/>
                    <w:spacing w:before="0"/>
                    <w:ind w:right="0"/>
                    <w:rPr>
                      <w:color w:val="auto"/>
                      <w:szCs w:val="21"/>
                    </w:rPr>
                  </w:pP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企业应建立健全VOCs治理设施的运行维护规程和台账等日常管理制度，并根据工艺要求定期对各类设备、电气、自控仪表等进行检修维护，确保设施的稳定运行。</w:t>
                  </w:r>
                </w:p>
              </w:tc>
              <w:tc>
                <w:tcPr>
                  <w:tcW w:w="233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符合。企业应建立健全VOCs治理设施的运行维护规程和台账等日常管理制度，并根据工艺要求定期对各类设备、电气、自控仪表等进行检修维护，确保设施的稳定运行。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96" w:type="dxa"/>
                  <w:vMerge w:val="restart"/>
                  <w:tcBorders>
                    <w:tl2br w:val="nil"/>
                    <w:tr2bl w:val="nil"/>
                  </w:tcBorders>
                  <w:vAlign w:val="center"/>
                </w:tcPr>
                <w:p>
                  <w:pPr>
                    <w:pStyle w:val="68"/>
                    <w:adjustRightInd/>
                    <w:snapToGrid/>
                    <w:spacing w:before="0"/>
                    <w:ind w:right="0"/>
                    <w:rPr>
                      <w:color w:val="auto"/>
                      <w:szCs w:val="21"/>
                    </w:rPr>
                  </w:pPr>
                  <w:r>
                    <w:rPr>
                      <w:rFonts w:hint="eastAsia"/>
                      <w:color w:val="auto"/>
                      <w:szCs w:val="21"/>
                    </w:rPr>
                    <w:t>重点行业挥发性有机物综合治理方案（环大气〔2019〕53号）</w:t>
                  </w:r>
                </w:p>
              </w:tc>
              <w:tc>
                <w:tcPr>
                  <w:tcW w:w="315" w:type="dxa"/>
                  <w:vMerge w:val="restart"/>
                  <w:tcBorders>
                    <w:tl2br w:val="nil"/>
                    <w:tr2bl w:val="nil"/>
                  </w:tcBorders>
                  <w:vAlign w:val="center"/>
                </w:tcPr>
                <w:p>
                  <w:pPr>
                    <w:pStyle w:val="68"/>
                    <w:adjustRightInd/>
                    <w:snapToGrid/>
                    <w:spacing w:before="0"/>
                    <w:ind w:right="0"/>
                    <w:rPr>
                      <w:color w:val="auto"/>
                      <w:szCs w:val="21"/>
                    </w:rPr>
                  </w:pPr>
                  <w:r>
                    <w:rPr>
                      <w:rFonts w:hint="eastAsia"/>
                      <w:color w:val="auto"/>
                      <w:szCs w:val="21"/>
                    </w:rPr>
                    <w:t>国家</w:t>
                  </w: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大力推进源头替代。通过使用水性、粉末、高固体分、无溶剂、辐射固化等低VOCs含量的涂料，水性、辐射固化、植物基等低VOCs含量的油墨，从源头减少VOCs产生。</w:t>
                  </w:r>
                </w:p>
              </w:tc>
              <w:tc>
                <w:tcPr>
                  <w:tcW w:w="2335" w:type="dxa"/>
                  <w:tcBorders>
                    <w:tl2br w:val="nil"/>
                    <w:tr2bl w:val="nil"/>
                  </w:tcBorders>
                  <w:vAlign w:val="center"/>
                </w:tcPr>
                <w:p>
                  <w:pPr>
                    <w:pStyle w:val="68"/>
                    <w:wordWrap w:val="0"/>
                    <w:adjustRightInd/>
                    <w:snapToGrid/>
                    <w:spacing w:before="0" w:line="260" w:lineRule="auto"/>
                    <w:ind w:right="0"/>
                    <w:jc w:val="both"/>
                    <w:rPr>
                      <w:color w:val="auto"/>
                      <w:szCs w:val="21"/>
                    </w:rPr>
                  </w:pPr>
                  <w:r>
                    <w:rPr>
                      <w:rFonts w:hint="eastAsia"/>
                      <w:color w:val="auto"/>
                      <w:szCs w:val="21"/>
                    </w:rPr>
                    <w:t>符合。根据成分报告（见附件12），扩建项目印刷工序采用的油性油墨挥发性有机物含量59.7%及以下，符合GB38507-2020《油墨中可挥发性有机化合物（VOCs）含量的限值》中油性凹印油墨</w:t>
                  </w:r>
                  <w:r>
                    <w:rPr>
                      <w:rFonts w:ascii="Arial" w:hAnsi="Arial" w:cs="Arial"/>
                      <w:color w:val="auto"/>
                      <w:szCs w:val="21"/>
                    </w:rPr>
                    <w:t>≤</w:t>
                  </w:r>
                  <w:r>
                    <w:rPr>
                      <w:rFonts w:hint="eastAsia"/>
                      <w:color w:val="auto"/>
                      <w:szCs w:val="21"/>
                    </w:rPr>
                    <w:t>75%的要求，采用的水性油墨挥发性有机物含量22%，符合GB38507-2020《油墨中可挥发性有机化合物（VOCs）含量的限值》中水性凹印油墨</w:t>
                  </w:r>
                  <w:r>
                    <w:rPr>
                      <w:rFonts w:ascii="Arial" w:hAnsi="Arial" w:cs="Arial"/>
                      <w:color w:val="auto"/>
                      <w:szCs w:val="21"/>
                    </w:rPr>
                    <w:t>≤</w:t>
                  </w:r>
                  <w:r>
                    <w:rPr>
                      <w:rFonts w:hint="eastAsia"/>
                      <w:color w:val="auto"/>
                      <w:szCs w:val="21"/>
                    </w:rPr>
                    <w:t>30%的要求。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continue"/>
                  <w:tcBorders>
                    <w:tl2br w:val="nil"/>
                    <w:tr2bl w:val="nil"/>
                  </w:tcBorders>
                  <w:vAlign w:val="center"/>
                </w:tcPr>
                <w:p>
                  <w:pPr>
                    <w:pStyle w:val="68"/>
                    <w:adjustRightInd/>
                    <w:snapToGrid/>
                    <w:spacing w:before="0"/>
                    <w:ind w:right="0"/>
                    <w:rPr>
                      <w:color w:val="auto"/>
                      <w:szCs w:val="21"/>
                    </w:rPr>
                  </w:pPr>
                </w:p>
              </w:tc>
              <w:tc>
                <w:tcPr>
                  <w:tcW w:w="315" w:type="dxa"/>
                  <w:vMerge w:val="continue"/>
                  <w:tcBorders>
                    <w:tl2br w:val="nil"/>
                    <w:tr2bl w:val="nil"/>
                  </w:tcBorders>
                  <w:vAlign w:val="center"/>
                </w:tcPr>
                <w:p>
                  <w:pPr>
                    <w:pStyle w:val="68"/>
                    <w:adjustRightInd/>
                    <w:snapToGrid/>
                    <w:spacing w:before="0"/>
                    <w:ind w:right="0"/>
                    <w:rPr>
                      <w:color w:val="auto"/>
                      <w:szCs w:val="21"/>
                    </w:rPr>
                  </w:pP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全面加强无组织排放控制。重点对含VOCs物料（包括含VOCs原辅材料、含VOCs产品、含VOCs废料以及有机聚合物材料等）储存、转移和输送、设备与管线组件泄漏、敞开液面逸散以及工艺过程等五类排放源实施管控，通过采取设备与场所密闭、工艺改进、废气有效收集等措施，削减VOCs无组织排放。加强设备与场所密闭管理。推进使用先进生产工艺。提高废气收集率。加强设备与管线组件泄漏控制。</w:t>
                  </w:r>
                </w:p>
              </w:tc>
              <w:tc>
                <w:tcPr>
                  <w:tcW w:w="2335" w:type="dxa"/>
                  <w:tcBorders>
                    <w:tl2br w:val="nil"/>
                    <w:tr2bl w:val="nil"/>
                  </w:tcBorders>
                  <w:vAlign w:val="center"/>
                </w:tcPr>
                <w:p>
                  <w:pPr>
                    <w:pStyle w:val="68"/>
                    <w:adjustRightInd/>
                    <w:snapToGrid/>
                    <w:spacing w:before="0"/>
                    <w:ind w:right="0"/>
                    <w:jc w:val="both"/>
                    <w:rPr>
                      <w:color w:val="auto"/>
                    </w:rPr>
                  </w:pPr>
                  <w:r>
                    <w:rPr>
                      <w:rFonts w:hint="eastAsia"/>
                      <w:color w:val="auto"/>
                      <w:szCs w:val="21"/>
                    </w:rPr>
                    <w:t>符合。扩建项目含VOCs的原辅材料均采用密闭桶包装存放，集中存放在各仓库；</w:t>
                  </w:r>
                  <w:r>
                    <w:rPr>
                      <w:rFonts w:hint="eastAsia"/>
                      <w:color w:val="auto"/>
                    </w:rPr>
                    <w:t>使用过程中随取随开，用后应及时密闭。</w:t>
                  </w:r>
                </w:p>
                <w:p>
                  <w:pPr>
                    <w:pStyle w:val="68"/>
                    <w:adjustRightInd/>
                    <w:snapToGrid/>
                    <w:spacing w:before="0"/>
                    <w:ind w:right="0"/>
                    <w:jc w:val="both"/>
                    <w:rPr>
                      <w:color w:val="auto"/>
                      <w:szCs w:val="21"/>
                    </w:rPr>
                  </w:pPr>
                  <w:r>
                    <w:rPr>
                      <w:rFonts w:hint="eastAsia"/>
                      <w:color w:val="auto"/>
                      <w:szCs w:val="21"/>
                    </w:rPr>
                    <w:t>产生VOCs的生产工序在密闭空间内，微负压收集后采用1套</w:t>
                  </w:r>
                  <w:r>
                    <w:rPr>
                      <w:rFonts w:hint="eastAsia"/>
                      <w:color w:val="auto"/>
                      <w:szCs w:val="21"/>
                      <w:lang w:val="en-US" w:eastAsia="zh-CN"/>
                    </w:rPr>
                    <w:t>喷淋塔+</w:t>
                  </w:r>
                  <w:r>
                    <w:rPr>
                      <w:rFonts w:hint="eastAsia"/>
                      <w:color w:val="auto"/>
                      <w:szCs w:val="21"/>
                    </w:rPr>
                    <w:t>二级</w:t>
                  </w:r>
                  <w:r>
                    <w:rPr>
                      <w:rStyle w:val="180"/>
                      <w:rFonts w:hint="eastAsia"/>
                      <w:color w:val="auto"/>
                      <w:sz w:val="21"/>
                      <w:szCs w:val="21"/>
                      <w:lang w:eastAsia="zh-CN"/>
                    </w:rPr>
                    <w:t>颗粒</w:t>
                  </w:r>
                  <w:r>
                    <w:rPr>
                      <w:rStyle w:val="180"/>
                      <w:rFonts w:hint="default" w:ascii="Times New Roman"/>
                      <w:color w:val="auto"/>
                      <w:sz w:val="21"/>
                      <w:szCs w:val="21"/>
                    </w:rPr>
                    <w:t>活性炭</w:t>
                  </w:r>
                  <w:r>
                    <w:rPr>
                      <w:rFonts w:hint="eastAsia"/>
                      <w:color w:val="auto"/>
                    </w:rPr>
                    <w:t>吸附装置处理后通过1根23m高的排气筒排放。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501" w:hRule="atLeast"/>
                <w:jc w:val="center"/>
              </w:trPr>
              <w:tc>
                <w:tcPr>
                  <w:tcW w:w="1096" w:type="dxa"/>
                  <w:vMerge w:val="restart"/>
                  <w:tcBorders>
                    <w:tl2br w:val="nil"/>
                    <w:tr2bl w:val="nil"/>
                  </w:tcBorders>
                  <w:vAlign w:val="center"/>
                </w:tcPr>
                <w:p>
                  <w:pPr>
                    <w:pStyle w:val="68"/>
                    <w:adjustRightInd/>
                    <w:snapToGrid/>
                    <w:spacing w:before="0"/>
                    <w:ind w:right="0"/>
                    <w:rPr>
                      <w:color w:val="auto"/>
                      <w:szCs w:val="21"/>
                    </w:rPr>
                  </w:pPr>
                  <w:r>
                    <w:rPr>
                      <w:rFonts w:hint="eastAsia"/>
                      <w:color w:val="auto"/>
                      <w:szCs w:val="21"/>
                    </w:rPr>
                    <w:t>福建省2020年挥发性有机物治理攻</w:t>
                  </w:r>
                </w:p>
                <w:p>
                  <w:pPr>
                    <w:pStyle w:val="68"/>
                    <w:adjustRightInd/>
                    <w:snapToGrid/>
                    <w:spacing w:before="0"/>
                    <w:ind w:right="0"/>
                    <w:rPr>
                      <w:color w:val="auto"/>
                      <w:szCs w:val="21"/>
                    </w:rPr>
                  </w:pPr>
                  <w:r>
                    <w:rPr>
                      <w:rFonts w:hint="eastAsia"/>
                      <w:color w:val="auto"/>
                      <w:szCs w:val="21"/>
                    </w:rPr>
                    <w:t>坚实施方案（闽环保大气〔2020〕6号）</w:t>
                  </w:r>
                </w:p>
              </w:tc>
              <w:tc>
                <w:tcPr>
                  <w:tcW w:w="315" w:type="dxa"/>
                  <w:vMerge w:val="restart"/>
                  <w:tcBorders>
                    <w:tl2br w:val="nil"/>
                    <w:tr2bl w:val="nil"/>
                  </w:tcBorders>
                  <w:vAlign w:val="center"/>
                </w:tcPr>
                <w:p>
                  <w:pPr>
                    <w:pStyle w:val="68"/>
                    <w:adjustRightInd/>
                    <w:snapToGrid/>
                    <w:spacing w:before="0"/>
                    <w:ind w:right="0"/>
                    <w:rPr>
                      <w:color w:val="auto"/>
                      <w:szCs w:val="21"/>
                    </w:rPr>
                  </w:pPr>
                  <w:r>
                    <w:rPr>
                      <w:rFonts w:hint="eastAsia"/>
                      <w:color w:val="auto"/>
                      <w:szCs w:val="21"/>
                    </w:rPr>
                    <w:t>地方</w:t>
                  </w: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全面落实标准要求，强化无组织排放控制。企业在无组织排放排查整治过程中，在保证安全的前提下，加强含VOCs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VOCs物料的包装容器、含VOCs废料（渣、液）、废吸附剂等通过加盖、封装等方式密闭，妥善存放，集中清运，交有资质的单位处置，不得随意丢弃；处置单位在贮存、清洗、破碎等环节应按要求对VOCs无组织排放废气进行收集、处理。高VOCs含量废水的集输、储存和处理环节，应加盖密闭。按时对盛装过VOCs物料的包装容器、含VOCs废料（渣、液）、废吸附剂等集中清运一次，交有资质的单位处置。</w:t>
                  </w:r>
                </w:p>
              </w:tc>
              <w:tc>
                <w:tcPr>
                  <w:tcW w:w="2335" w:type="dxa"/>
                  <w:tcBorders>
                    <w:tl2br w:val="nil"/>
                    <w:tr2bl w:val="nil"/>
                  </w:tcBorders>
                  <w:vAlign w:val="center"/>
                </w:tcPr>
                <w:p>
                  <w:pPr>
                    <w:pStyle w:val="68"/>
                    <w:adjustRightInd/>
                    <w:snapToGrid/>
                    <w:spacing w:before="0"/>
                    <w:ind w:right="0"/>
                    <w:jc w:val="both"/>
                    <w:rPr>
                      <w:color w:val="auto"/>
                    </w:rPr>
                  </w:pPr>
                  <w:r>
                    <w:rPr>
                      <w:rFonts w:hint="eastAsia"/>
                      <w:color w:val="auto"/>
                      <w:szCs w:val="21"/>
                    </w:rPr>
                    <w:t>符合。扩建项目含VOCs的原辅材料均采用密闭桶包装存放，集中存放在各仓库；</w:t>
                  </w:r>
                  <w:r>
                    <w:rPr>
                      <w:rFonts w:hint="eastAsia"/>
                      <w:color w:val="auto"/>
                    </w:rPr>
                    <w:t>使用过程中随取随开，用后应及时密闭。</w:t>
                  </w:r>
                </w:p>
                <w:p>
                  <w:pPr>
                    <w:pStyle w:val="68"/>
                    <w:adjustRightInd/>
                    <w:snapToGrid/>
                    <w:spacing w:before="0"/>
                    <w:ind w:right="0"/>
                    <w:jc w:val="both"/>
                    <w:rPr>
                      <w:color w:val="auto"/>
                      <w:szCs w:val="21"/>
                    </w:rPr>
                  </w:pPr>
                  <w:r>
                    <w:rPr>
                      <w:rFonts w:hint="eastAsia"/>
                      <w:color w:val="auto"/>
                      <w:szCs w:val="21"/>
                    </w:rPr>
                    <w:t>产生VOCs的生产工序在密闭空间内，微负压收集后采用1套</w:t>
                  </w:r>
                  <w:r>
                    <w:rPr>
                      <w:rFonts w:hint="eastAsia"/>
                      <w:color w:val="auto"/>
                      <w:szCs w:val="21"/>
                      <w:lang w:val="en-US" w:eastAsia="zh-CN"/>
                    </w:rPr>
                    <w:t>喷淋塔+</w:t>
                  </w:r>
                  <w:r>
                    <w:rPr>
                      <w:rFonts w:hint="eastAsia"/>
                      <w:color w:val="auto"/>
                      <w:szCs w:val="21"/>
                    </w:rPr>
                    <w:t>二级</w:t>
                  </w:r>
                  <w:r>
                    <w:rPr>
                      <w:rStyle w:val="180"/>
                      <w:rFonts w:hint="eastAsia"/>
                      <w:color w:val="auto"/>
                      <w:sz w:val="21"/>
                      <w:szCs w:val="21"/>
                      <w:lang w:eastAsia="zh-CN"/>
                    </w:rPr>
                    <w:t>颗粒</w:t>
                  </w:r>
                  <w:r>
                    <w:rPr>
                      <w:rStyle w:val="180"/>
                      <w:rFonts w:hint="default" w:ascii="Times New Roman"/>
                      <w:color w:val="auto"/>
                      <w:sz w:val="21"/>
                      <w:szCs w:val="21"/>
                    </w:rPr>
                    <w:t>活性炭</w:t>
                  </w:r>
                  <w:r>
                    <w:rPr>
                      <w:rFonts w:hint="eastAsia"/>
                      <w:color w:val="auto"/>
                    </w:rPr>
                    <w:t>吸附装置处理后通过1根23m高的排气筒排放。处理VOCs废气产生废活性炭暂存于危废仓库，定期（一般半年清运一次）由有危废资质单位处置。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continue"/>
                  <w:tcBorders>
                    <w:tl2br w:val="nil"/>
                    <w:tr2bl w:val="nil"/>
                  </w:tcBorders>
                  <w:vAlign w:val="center"/>
                </w:tcPr>
                <w:p>
                  <w:pPr>
                    <w:pStyle w:val="68"/>
                    <w:adjustRightInd/>
                    <w:snapToGrid/>
                    <w:spacing w:before="0"/>
                    <w:ind w:right="0"/>
                    <w:rPr>
                      <w:color w:val="auto"/>
                      <w:szCs w:val="21"/>
                    </w:rPr>
                  </w:pPr>
                </w:p>
              </w:tc>
              <w:tc>
                <w:tcPr>
                  <w:tcW w:w="315" w:type="dxa"/>
                  <w:vMerge w:val="continue"/>
                  <w:tcBorders>
                    <w:tl2br w:val="nil"/>
                    <w:tr2bl w:val="nil"/>
                  </w:tcBorders>
                  <w:vAlign w:val="center"/>
                </w:tcPr>
                <w:p>
                  <w:pPr>
                    <w:pStyle w:val="68"/>
                    <w:adjustRightInd/>
                    <w:snapToGrid/>
                    <w:spacing w:before="0"/>
                    <w:ind w:right="0"/>
                    <w:rPr>
                      <w:color w:val="auto"/>
                      <w:szCs w:val="21"/>
                    </w:rPr>
                  </w:pP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将无组织排放转变为有组织排放进行控制，优先采用密闭设备、在密闭空间中操作或采用全密闭集气罩收集方式；对于采用局部集气罩的，应根据废气排放特点合理选择收集点位，距集气罩开口面最远处的VOCs无组织排放位置，控制风速不低于0.3米/秒，达不到要求的通过更换大功率风机、增设烟道风机、增加垂帘等方式及时改造；加强生产车间密闭管理，在符合安全生产、工业卫生相关规定前提下，采用自动卷帘门、密闭性好的塑钢门窗等，在非必要时保持关闭。</w:t>
                  </w:r>
                </w:p>
              </w:tc>
              <w:tc>
                <w:tcPr>
                  <w:tcW w:w="233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符合。扩建</w:t>
                  </w:r>
                  <w:r>
                    <w:rPr>
                      <w:rFonts w:hint="eastAsia"/>
                      <w:color w:val="auto"/>
                    </w:rPr>
                    <w:t>项目</w:t>
                  </w:r>
                  <w:r>
                    <w:rPr>
                      <w:rFonts w:hint="eastAsia"/>
                      <w:color w:val="auto"/>
                      <w:szCs w:val="21"/>
                    </w:rPr>
                    <w:t>产生VOCs的生产工序在密闭空间内，微负压收集后采用1套</w:t>
                  </w:r>
                  <w:r>
                    <w:rPr>
                      <w:rFonts w:hint="eastAsia"/>
                      <w:color w:val="auto"/>
                      <w:szCs w:val="21"/>
                      <w:lang w:val="en-US" w:eastAsia="zh-CN"/>
                    </w:rPr>
                    <w:t>喷淋塔+</w:t>
                  </w:r>
                  <w:r>
                    <w:rPr>
                      <w:rFonts w:hint="eastAsia"/>
                      <w:color w:val="auto"/>
                      <w:szCs w:val="21"/>
                    </w:rPr>
                    <w:t>二级</w:t>
                  </w:r>
                  <w:r>
                    <w:rPr>
                      <w:rStyle w:val="180"/>
                      <w:rFonts w:hint="eastAsia"/>
                      <w:color w:val="auto"/>
                      <w:sz w:val="21"/>
                      <w:szCs w:val="21"/>
                      <w:lang w:eastAsia="zh-CN"/>
                    </w:rPr>
                    <w:t>颗粒</w:t>
                  </w:r>
                  <w:r>
                    <w:rPr>
                      <w:rStyle w:val="180"/>
                      <w:rFonts w:hint="default" w:ascii="Times New Roman"/>
                      <w:color w:val="auto"/>
                      <w:sz w:val="21"/>
                      <w:szCs w:val="21"/>
                    </w:rPr>
                    <w:t>活性炭</w:t>
                  </w:r>
                  <w:r>
                    <w:rPr>
                      <w:rFonts w:hint="eastAsia"/>
                      <w:color w:val="auto"/>
                    </w:rPr>
                    <w:t>吸附装置处理后通过1根23m高的排气筒排放。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vMerge w:val="continue"/>
                  <w:tcBorders>
                    <w:tl2br w:val="nil"/>
                    <w:tr2bl w:val="nil"/>
                  </w:tcBorders>
                  <w:vAlign w:val="center"/>
                </w:tcPr>
                <w:p>
                  <w:pPr>
                    <w:pStyle w:val="68"/>
                    <w:adjustRightInd/>
                    <w:snapToGrid/>
                    <w:spacing w:before="0"/>
                    <w:ind w:right="0"/>
                    <w:rPr>
                      <w:color w:val="auto"/>
                      <w:szCs w:val="21"/>
                    </w:rPr>
                  </w:pPr>
                </w:p>
              </w:tc>
              <w:tc>
                <w:tcPr>
                  <w:tcW w:w="315" w:type="dxa"/>
                  <w:vMerge w:val="continue"/>
                  <w:tcBorders>
                    <w:tl2br w:val="nil"/>
                    <w:tr2bl w:val="nil"/>
                  </w:tcBorders>
                  <w:vAlign w:val="center"/>
                </w:tcPr>
                <w:p>
                  <w:pPr>
                    <w:pStyle w:val="68"/>
                    <w:adjustRightInd/>
                    <w:snapToGrid/>
                    <w:spacing w:before="0"/>
                    <w:ind w:right="0"/>
                    <w:rPr>
                      <w:color w:val="auto"/>
                      <w:szCs w:val="21"/>
                    </w:rPr>
                  </w:pPr>
                </w:p>
              </w:tc>
              <w:tc>
                <w:tcPr>
                  <w:tcW w:w="3345" w:type="dxa"/>
                  <w:tcBorders>
                    <w:tl2br w:val="nil"/>
                    <w:tr2bl w:val="nil"/>
                  </w:tcBorders>
                  <w:vAlign w:val="center"/>
                </w:tcPr>
                <w:p>
                  <w:pPr>
                    <w:pStyle w:val="159"/>
                    <w:spacing w:before="33" w:line="249" w:lineRule="auto"/>
                    <w:ind w:right="34"/>
                    <w:rPr>
                      <w:rFonts w:ascii="Times New Roman" w:hAnsi="Times New Roman"/>
                      <w:color w:val="auto"/>
                      <w:sz w:val="21"/>
                      <w:szCs w:val="21"/>
                      <w:lang w:eastAsia="zh-CN"/>
                    </w:rPr>
                  </w:pPr>
                  <w:r>
                    <w:rPr>
                      <w:color w:val="auto"/>
                      <w:spacing w:val="6"/>
                      <w:sz w:val="21"/>
                      <w:szCs w:val="21"/>
                      <w:lang w:eastAsia="zh-CN"/>
                    </w:rPr>
                    <w:t>聚焦治污设施</w:t>
                  </w:r>
                  <w:r>
                    <w:rPr>
                      <w:rFonts w:ascii="Times New Roman" w:hAnsi="Times New Roman" w:eastAsia="Times New Roman" w:cs="Times New Roman"/>
                      <w:color w:val="auto"/>
                      <w:spacing w:val="6"/>
                      <w:sz w:val="21"/>
                      <w:szCs w:val="21"/>
                      <w:lang w:eastAsia="zh-CN"/>
                    </w:rPr>
                    <w:t>“</w:t>
                  </w:r>
                  <w:r>
                    <w:rPr>
                      <w:color w:val="auto"/>
                      <w:spacing w:val="6"/>
                      <w:sz w:val="21"/>
                      <w:szCs w:val="21"/>
                      <w:lang w:eastAsia="zh-CN"/>
                    </w:rPr>
                    <w:t>三率</w:t>
                  </w:r>
                  <w:r>
                    <w:rPr>
                      <w:rFonts w:ascii="Times New Roman" w:hAnsi="Times New Roman" w:eastAsia="Times New Roman" w:cs="Times New Roman"/>
                      <w:color w:val="auto"/>
                      <w:spacing w:val="6"/>
                      <w:sz w:val="21"/>
                      <w:szCs w:val="21"/>
                      <w:lang w:eastAsia="zh-CN"/>
                    </w:rPr>
                    <w:t>”</w:t>
                  </w:r>
                  <w:r>
                    <w:rPr>
                      <w:color w:val="auto"/>
                      <w:spacing w:val="6"/>
                      <w:sz w:val="21"/>
                      <w:szCs w:val="21"/>
                      <w:lang w:eastAsia="zh-CN"/>
                    </w:rPr>
                    <w:t>，提升综</w:t>
                  </w:r>
                  <w:r>
                    <w:rPr>
                      <w:color w:val="auto"/>
                      <w:spacing w:val="14"/>
                      <w:sz w:val="21"/>
                      <w:szCs w:val="21"/>
                      <w:lang w:eastAsia="zh-CN"/>
                    </w:rPr>
                    <w:t>合治理效率。按照</w:t>
                  </w:r>
                  <w:r>
                    <w:rPr>
                      <w:rFonts w:ascii="Times New Roman" w:hAnsi="Times New Roman" w:eastAsia="Times New Roman" w:cs="Times New Roman"/>
                      <w:color w:val="auto"/>
                      <w:spacing w:val="14"/>
                      <w:sz w:val="21"/>
                      <w:szCs w:val="21"/>
                      <w:lang w:eastAsia="zh-CN"/>
                    </w:rPr>
                    <w:t>“</w:t>
                  </w:r>
                  <w:r>
                    <w:rPr>
                      <w:color w:val="auto"/>
                      <w:spacing w:val="14"/>
                      <w:sz w:val="21"/>
                      <w:szCs w:val="21"/>
                      <w:lang w:eastAsia="zh-CN"/>
                    </w:rPr>
                    <w:t>应收尽收</w:t>
                  </w:r>
                  <w:r>
                    <w:rPr>
                      <w:rFonts w:ascii="Times New Roman" w:hAnsi="Times New Roman" w:eastAsia="Times New Roman" w:cs="Times New Roman"/>
                      <w:color w:val="auto"/>
                      <w:spacing w:val="14"/>
                      <w:sz w:val="21"/>
                      <w:szCs w:val="21"/>
                      <w:lang w:eastAsia="zh-CN"/>
                    </w:rPr>
                    <w:t>”</w:t>
                  </w:r>
                  <w:r>
                    <w:rPr>
                      <w:color w:val="auto"/>
                      <w:spacing w:val="10"/>
                      <w:sz w:val="21"/>
                      <w:szCs w:val="21"/>
                      <w:lang w:eastAsia="zh-CN"/>
                    </w:rPr>
                    <w:t>的原则提升废气收集率。按照</w:t>
                  </w:r>
                  <w:r>
                    <w:rPr>
                      <w:color w:val="auto"/>
                      <w:spacing w:val="6"/>
                      <w:sz w:val="21"/>
                      <w:szCs w:val="21"/>
                      <w:lang w:eastAsia="zh-CN"/>
                    </w:rPr>
                    <w:t>与生产设备</w:t>
                  </w:r>
                  <w:r>
                    <w:rPr>
                      <w:rFonts w:ascii="Times New Roman" w:hAnsi="Times New Roman" w:eastAsia="Times New Roman" w:cs="Times New Roman"/>
                      <w:color w:val="auto"/>
                      <w:spacing w:val="6"/>
                      <w:sz w:val="21"/>
                      <w:szCs w:val="21"/>
                      <w:lang w:eastAsia="zh-CN"/>
                    </w:rPr>
                    <w:t>“</w:t>
                  </w:r>
                  <w:r>
                    <w:rPr>
                      <w:color w:val="auto"/>
                      <w:spacing w:val="6"/>
                      <w:sz w:val="21"/>
                      <w:szCs w:val="21"/>
                      <w:lang w:eastAsia="zh-CN"/>
                    </w:rPr>
                    <w:t>同启同停</w:t>
                  </w:r>
                  <w:r>
                    <w:rPr>
                      <w:rFonts w:ascii="Times New Roman" w:hAnsi="Times New Roman" w:eastAsia="Times New Roman" w:cs="Times New Roman"/>
                      <w:color w:val="auto"/>
                      <w:spacing w:val="6"/>
                      <w:sz w:val="21"/>
                      <w:szCs w:val="21"/>
                      <w:lang w:eastAsia="zh-CN"/>
                    </w:rPr>
                    <w:t>”</w:t>
                  </w:r>
                  <w:r>
                    <w:rPr>
                      <w:color w:val="auto"/>
                      <w:spacing w:val="6"/>
                      <w:sz w:val="21"/>
                      <w:szCs w:val="21"/>
                      <w:lang w:eastAsia="zh-CN"/>
                    </w:rPr>
                    <w:t>的原则</w:t>
                  </w:r>
                  <w:r>
                    <w:rPr>
                      <w:color w:val="auto"/>
                      <w:spacing w:val="4"/>
                      <w:sz w:val="21"/>
                      <w:szCs w:val="21"/>
                      <w:lang w:eastAsia="zh-CN"/>
                    </w:rPr>
                    <w:t>提升治理设施运行率。按照</w:t>
                  </w:r>
                  <w:r>
                    <w:rPr>
                      <w:rFonts w:ascii="Times New Roman" w:hAnsi="Times New Roman" w:eastAsia="Times New Roman" w:cs="Times New Roman"/>
                      <w:color w:val="auto"/>
                      <w:spacing w:val="4"/>
                      <w:sz w:val="21"/>
                      <w:szCs w:val="21"/>
                      <w:lang w:eastAsia="zh-CN"/>
                    </w:rPr>
                    <w:t>“</w:t>
                  </w:r>
                  <w:r>
                    <w:rPr>
                      <w:color w:val="auto"/>
                      <w:spacing w:val="4"/>
                      <w:sz w:val="21"/>
                      <w:szCs w:val="21"/>
                      <w:lang w:eastAsia="zh-CN"/>
                    </w:rPr>
                    <w:t>适</w:t>
                  </w:r>
                  <w:r>
                    <w:rPr>
                      <w:color w:val="auto"/>
                      <w:spacing w:val="13"/>
                      <w:sz w:val="21"/>
                      <w:szCs w:val="21"/>
                      <w:lang w:eastAsia="zh-CN"/>
                    </w:rPr>
                    <w:t>宜高效</w:t>
                  </w:r>
                  <w:r>
                    <w:rPr>
                      <w:rFonts w:ascii="Times New Roman" w:hAnsi="Times New Roman" w:eastAsia="Times New Roman" w:cs="Times New Roman"/>
                      <w:color w:val="auto"/>
                      <w:spacing w:val="13"/>
                      <w:sz w:val="21"/>
                      <w:szCs w:val="21"/>
                      <w:lang w:eastAsia="zh-CN"/>
                    </w:rPr>
                    <w:t>”</w:t>
                  </w:r>
                  <w:r>
                    <w:rPr>
                      <w:color w:val="auto"/>
                      <w:spacing w:val="13"/>
                      <w:sz w:val="21"/>
                      <w:szCs w:val="21"/>
                      <w:lang w:eastAsia="zh-CN"/>
                    </w:rPr>
                    <w:t>的原则提高治理设施</w:t>
                  </w:r>
                  <w:r>
                    <w:rPr>
                      <w:color w:val="auto"/>
                      <w:spacing w:val="10"/>
                      <w:sz w:val="21"/>
                      <w:szCs w:val="21"/>
                      <w:lang w:eastAsia="zh-CN"/>
                    </w:rPr>
                    <w:t>去除率，不得稀释排放。企业新建治污设施或对现有治污设施实施改造，应依据排放废气</w:t>
                  </w:r>
                  <w:r>
                    <w:rPr>
                      <w:color w:val="auto"/>
                      <w:spacing w:val="15"/>
                      <w:sz w:val="21"/>
                      <w:szCs w:val="21"/>
                      <w:lang w:eastAsia="zh-CN"/>
                    </w:rPr>
                    <w:t>特征、</w:t>
                  </w:r>
                  <w:r>
                    <w:rPr>
                      <w:rFonts w:hint="eastAsia" w:ascii="Times New Roman" w:hAnsi="Times New Roman" w:cs="Times New Roman"/>
                      <w:color w:val="auto"/>
                      <w:sz w:val="21"/>
                      <w:szCs w:val="21"/>
                      <w:lang w:eastAsia="zh-CN"/>
                    </w:rPr>
                    <w:t>VOCs</w:t>
                  </w:r>
                  <w:r>
                    <w:rPr>
                      <w:color w:val="auto"/>
                      <w:spacing w:val="15"/>
                      <w:sz w:val="21"/>
                      <w:szCs w:val="21"/>
                      <w:lang w:eastAsia="zh-CN"/>
                    </w:rPr>
                    <w:t>组分及浓度、生</w:t>
                  </w:r>
                  <w:r>
                    <w:rPr>
                      <w:color w:val="auto"/>
                      <w:spacing w:val="2"/>
                      <w:sz w:val="21"/>
                      <w:szCs w:val="21"/>
                      <w:lang w:eastAsia="zh-CN"/>
                    </w:rPr>
                    <w:t>产工况等，合理选择治理技术，</w:t>
                  </w:r>
                  <w:r>
                    <w:rPr>
                      <w:color w:val="auto"/>
                      <w:spacing w:val="10"/>
                      <w:sz w:val="21"/>
                      <w:szCs w:val="21"/>
                      <w:lang w:eastAsia="zh-CN"/>
                    </w:rPr>
                    <w:t>对治理难度大、单一治理工艺难以稳定达标的，要采用多种技术的组合工艺。采用活性炭吸附技术的，应选择碘值不低</w:t>
                  </w:r>
                  <w:r>
                    <w:rPr>
                      <w:color w:val="auto"/>
                      <w:spacing w:val="4"/>
                      <w:sz w:val="21"/>
                      <w:szCs w:val="21"/>
                      <w:lang w:eastAsia="zh-CN"/>
                    </w:rPr>
                    <w:t>于</w:t>
                  </w:r>
                  <w:r>
                    <w:rPr>
                      <w:rFonts w:ascii="Times New Roman" w:hAnsi="Times New Roman" w:eastAsia="Times New Roman" w:cs="Times New Roman"/>
                      <w:color w:val="auto"/>
                      <w:spacing w:val="4"/>
                      <w:sz w:val="21"/>
                      <w:szCs w:val="21"/>
                      <w:lang w:eastAsia="zh-CN"/>
                    </w:rPr>
                    <w:t>800</w:t>
                  </w:r>
                  <w:r>
                    <w:rPr>
                      <w:color w:val="auto"/>
                      <w:spacing w:val="4"/>
                      <w:sz w:val="21"/>
                      <w:szCs w:val="21"/>
                      <w:lang w:eastAsia="zh-CN"/>
                    </w:rPr>
                    <w:t>毫克</w:t>
                  </w:r>
                  <w:r>
                    <w:rPr>
                      <w:rFonts w:ascii="Times New Roman" w:hAnsi="Times New Roman" w:eastAsia="Times New Roman" w:cs="Times New Roman"/>
                      <w:color w:val="auto"/>
                      <w:spacing w:val="4"/>
                      <w:sz w:val="21"/>
                      <w:szCs w:val="21"/>
                      <w:lang w:eastAsia="zh-CN"/>
                    </w:rPr>
                    <w:t>/</w:t>
                  </w:r>
                  <w:r>
                    <w:rPr>
                      <w:color w:val="auto"/>
                      <w:spacing w:val="4"/>
                      <w:sz w:val="21"/>
                      <w:szCs w:val="21"/>
                      <w:lang w:eastAsia="zh-CN"/>
                    </w:rPr>
                    <w:t>克的活性炭，并按</w:t>
                  </w:r>
                  <w:r>
                    <w:rPr>
                      <w:color w:val="auto"/>
                      <w:spacing w:val="2"/>
                      <w:sz w:val="21"/>
                      <w:szCs w:val="21"/>
                      <w:lang w:eastAsia="zh-CN"/>
                    </w:rPr>
                    <w:t>设计要求足量添加、及时更换。</w:t>
                  </w:r>
                </w:p>
              </w:tc>
              <w:tc>
                <w:tcPr>
                  <w:tcW w:w="2335" w:type="dxa"/>
                  <w:tcBorders>
                    <w:tl2br w:val="nil"/>
                    <w:tr2bl w:val="nil"/>
                  </w:tcBorders>
                  <w:vAlign w:val="center"/>
                </w:tcPr>
                <w:p>
                  <w:pPr>
                    <w:pStyle w:val="159"/>
                    <w:spacing w:before="65" w:line="227" w:lineRule="auto"/>
                    <w:rPr>
                      <w:rFonts w:hint="eastAsia"/>
                      <w:color w:val="auto"/>
                      <w:sz w:val="21"/>
                      <w:szCs w:val="21"/>
                      <w:lang w:eastAsia="zh-CN"/>
                    </w:rPr>
                  </w:pPr>
                  <w:r>
                    <w:rPr>
                      <w:rFonts w:hint="default" w:ascii="Times New Roman" w:hAnsi="Times New Roman" w:cs="Times New Roman"/>
                      <w:color w:val="auto"/>
                      <w:sz w:val="21"/>
                      <w:szCs w:val="21"/>
                      <w:lang w:eastAsia="zh-CN"/>
                    </w:rPr>
                    <w:t>符合。扩建</w:t>
                  </w:r>
                  <w:r>
                    <w:rPr>
                      <w:rFonts w:hint="default" w:ascii="Times New Roman" w:hAnsi="Times New Roman" w:cs="Times New Roman"/>
                      <w:color w:val="auto"/>
                      <w:sz w:val="21"/>
                      <w:lang w:eastAsia="zh-CN"/>
                    </w:rPr>
                    <w:t>项目</w:t>
                  </w:r>
                  <w:r>
                    <w:rPr>
                      <w:rFonts w:hint="default" w:ascii="Times New Roman" w:hAnsi="Times New Roman" w:cs="Times New Roman"/>
                      <w:color w:val="auto"/>
                      <w:sz w:val="21"/>
                      <w:szCs w:val="21"/>
                      <w:lang w:eastAsia="zh-CN"/>
                    </w:rPr>
                    <w:t>产生VOCs的生产工序在密闭空间内，微负压收集后采用</w:t>
                  </w:r>
                  <w:r>
                    <w:rPr>
                      <w:rFonts w:hint="eastAsia"/>
                      <w:color w:val="auto"/>
                      <w:sz w:val="21"/>
                      <w:szCs w:val="21"/>
                    </w:rPr>
                    <w:t>1套</w:t>
                  </w:r>
                  <w:r>
                    <w:rPr>
                      <w:rFonts w:hint="eastAsia"/>
                      <w:color w:val="auto"/>
                      <w:sz w:val="21"/>
                      <w:szCs w:val="21"/>
                      <w:lang w:val="en-US" w:eastAsia="zh-CN"/>
                    </w:rPr>
                    <w:t>喷淋塔+</w:t>
                  </w:r>
                  <w:r>
                    <w:rPr>
                      <w:rFonts w:hint="eastAsia"/>
                      <w:color w:val="auto"/>
                      <w:sz w:val="21"/>
                      <w:szCs w:val="21"/>
                    </w:rPr>
                    <w:t>二级</w:t>
                  </w:r>
                  <w:r>
                    <w:rPr>
                      <w:rStyle w:val="180"/>
                      <w:rFonts w:hint="eastAsia"/>
                      <w:color w:val="auto"/>
                      <w:sz w:val="21"/>
                      <w:szCs w:val="21"/>
                      <w:lang w:eastAsia="zh-CN"/>
                    </w:rPr>
                    <w:t>颗粒</w:t>
                  </w:r>
                  <w:r>
                    <w:rPr>
                      <w:rStyle w:val="180"/>
                      <w:rFonts w:hint="default" w:ascii="Times New Roman"/>
                      <w:color w:val="auto"/>
                      <w:sz w:val="21"/>
                      <w:szCs w:val="21"/>
                    </w:rPr>
                    <w:t>活性炭</w:t>
                  </w:r>
                  <w:r>
                    <w:rPr>
                      <w:rFonts w:hint="eastAsia"/>
                      <w:color w:val="auto"/>
                      <w:sz w:val="21"/>
                      <w:szCs w:val="21"/>
                    </w:rPr>
                    <w:t>吸附装置</w:t>
                  </w:r>
                  <w:r>
                    <w:rPr>
                      <w:rFonts w:hint="default" w:ascii="Times New Roman" w:hAnsi="Times New Roman" w:cs="Times New Roman"/>
                      <w:color w:val="auto"/>
                      <w:sz w:val="21"/>
                      <w:lang w:eastAsia="zh-CN"/>
                    </w:rPr>
                    <w:t>处理后通过1根23m高的排气筒排放。选用的</w:t>
                  </w:r>
                  <w:r>
                    <w:rPr>
                      <w:rStyle w:val="180"/>
                      <w:rFonts w:hint="eastAsia" w:ascii="Times New Roman" w:hAnsi="Times New Roman" w:cs="Times New Roman"/>
                      <w:color w:val="auto"/>
                      <w:sz w:val="21"/>
                      <w:szCs w:val="21"/>
                      <w:lang w:eastAsia="zh-CN"/>
                    </w:rPr>
                    <w:t>颗粒</w:t>
                  </w:r>
                  <w:r>
                    <w:rPr>
                      <w:rStyle w:val="180"/>
                      <w:rFonts w:hint="default" w:ascii="Times New Roman" w:hAnsi="Times New Roman" w:cs="Times New Roman"/>
                      <w:color w:val="auto"/>
                      <w:sz w:val="21"/>
                      <w:szCs w:val="21"/>
                      <w:lang w:eastAsia="zh-CN"/>
                    </w:rPr>
                    <w:t>活性炭</w:t>
                  </w:r>
                  <w:r>
                    <w:rPr>
                      <w:rFonts w:hint="default" w:ascii="Times New Roman" w:hAnsi="Times New Roman" w:cs="Times New Roman"/>
                      <w:color w:val="auto"/>
                      <w:sz w:val="21"/>
                      <w:lang w:eastAsia="zh-CN"/>
                    </w:rPr>
                    <w:t>碘值不低于800毫克/克，</w:t>
                  </w:r>
                  <w:r>
                    <w:rPr>
                      <w:rFonts w:hint="eastAsia" w:ascii="Times New Roman" w:hAnsi="Times New Roman" w:cs="Times New Roman"/>
                      <w:color w:val="auto"/>
                      <w:sz w:val="21"/>
                      <w:lang w:val="en-US" w:eastAsia="zh-CN"/>
                    </w:rPr>
                    <w:t>2</w:t>
                  </w:r>
                  <w:r>
                    <w:rPr>
                      <w:rFonts w:hint="default" w:ascii="Times New Roman" w:hAnsi="Times New Roman" w:cs="Times New Roman"/>
                      <w:color w:val="auto"/>
                      <w:sz w:val="21"/>
                      <w:lang w:eastAsia="zh-CN"/>
                    </w:rPr>
                    <w:t>个月更换一次。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tcBorders>
                    <w:tl2br w:val="nil"/>
                    <w:tr2bl w:val="nil"/>
                  </w:tcBorders>
                  <w:vAlign w:val="center"/>
                </w:tcPr>
                <w:p>
                  <w:pPr>
                    <w:pStyle w:val="68"/>
                    <w:adjustRightInd/>
                    <w:snapToGrid/>
                    <w:spacing w:before="0"/>
                    <w:ind w:right="0"/>
                    <w:rPr>
                      <w:color w:val="auto"/>
                      <w:szCs w:val="21"/>
                    </w:rPr>
                  </w:pPr>
                  <w:r>
                    <w:rPr>
                      <w:rFonts w:hint="eastAsia"/>
                      <w:color w:val="auto"/>
                      <w:szCs w:val="21"/>
                    </w:rPr>
                    <w:t>福建省打赢蓝天保卫战三年行动计划实施方案（闽政〔2018〕2号）</w:t>
                  </w:r>
                </w:p>
              </w:tc>
              <w:tc>
                <w:tcPr>
                  <w:tcW w:w="315" w:type="dxa"/>
                  <w:tcBorders>
                    <w:tl2br w:val="nil"/>
                    <w:tr2bl w:val="nil"/>
                  </w:tcBorders>
                  <w:textDirection w:val="tbRlV"/>
                  <w:vAlign w:val="center"/>
                </w:tcPr>
                <w:p>
                  <w:pPr>
                    <w:pStyle w:val="68"/>
                    <w:adjustRightInd/>
                    <w:snapToGrid/>
                    <w:spacing w:before="0"/>
                    <w:ind w:right="0"/>
                    <w:rPr>
                      <w:color w:val="auto"/>
                      <w:szCs w:val="21"/>
                    </w:rPr>
                  </w:pPr>
                  <w:r>
                    <w:rPr>
                      <w:rFonts w:hint="eastAsia"/>
                      <w:color w:val="auto"/>
                      <w:szCs w:val="21"/>
                    </w:rPr>
                    <w:t>地方</w:t>
                  </w:r>
                </w:p>
              </w:tc>
              <w:tc>
                <w:tcPr>
                  <w:tcW w:w="334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优化产业布局。福州、厦门、漳州、泉州、莆田、宁德等地要严格控制石化、化工、包装印刷、工业涂装、制鞋等高VOCs排放的项目建设，相关新建项目必须进入工业园区，新建炼化项目应符合我省石化</w:t>
                  </w:r>
                </w:p>
                <w:p>
                  <w:pPr>
                    <w:pStyle w:val="68"/>
                    <w:adjustRightInd/>
                    <w:snapToGrid/>
                    <w:spacing w:before="0"/>
                    <w:ind w:right="0"/>
                    <w:jc w:val="both"/>
                    <w:rPr>
                      <w:color w:val="auto"/>
                      <w:szCs w:val="21"/>
                    </w:rPr>
                  </w:pPr>
                  <w:r>
                    <w:rPr>
                      <w:rFonts w:hint="eastAsia"/>
                      <w:color w:val="auto"/>
                      <w:szCs w:val="21"/>
                    </w:rPr>
                    <w:t>产业总体布局的要求。</w:t>
                  </w:r>
                </w:p>
              </w:tc>
              <w:tc>
                <w:tcPr>
                  <w:tcW w:w="2335" w:type="dxa"/>
                  <w:tcBorders>
                    <w:tl2br w:val="nil"/>
                    <w:tr2bl w:val="nil"/>
                  </w:tcBorders>
                  <w:vAlign w:val="center"/>
                </w:tcPr>
                <w:p>
                  <w:pPr>
                    <w:pStyle w:val="68"/>
                    <w:adjustRightInd/>
                    <w:snapToGrid/>
                    <w:spacing w:before="0"/>
                    <w:ind w:right="0"/>
                    <w:jc w:val="both"/>
                    <w:rPr>
                      <w:color w:val="auto"/>
                      <w:szCs w:val="21"/>
                    </w:rPr>
                  </w:pPr>
                  <w:r>
                    <w:rPr>
                      <w:rFonts w:hint="eastAsia"/>
                      <w:color w:val="auto"/>
                      <w:szCs w:val="21"/>
                    </w:rPr>
                    <w:t>符合。扩建项目位于福建省福州市长乐区漳港街道渡桥村，属于福州临空经济区范围内，属于印刷行业，属于扩建项目，不属于新建项目。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96" w:type="dxa"/>
                  <w:tcBorders>
                    <w:tl2br w:val="nil"/>
                    <w:tr2bl w:val="nil"/>
                  </w:tcBorders>
                  <w:vAlign w:val="center"/>
                </w:tcPr>
                <w:p>
                  <w:pPr>
                    <w:pStyle w:val="68"/>
                    <w:adjustRightInd/>
                    <w:snapToGrid/>
                    <w:spacing w:before="0"/>
                    <w:ind w:right="0"/>
                    <w:rPr>
                      <w:color w:val="auto"/>
                      <w:szCs w:val="21"/>
                    </w:rPr>
                  </w:pPr>
                  <w:r>
                    <w:rPr>
                      <w:rFonts w:hint="eastAsia"/>
                      <w:color w:val="auto"/>
                      <w:szCs w:val="21"/>
                    </w:rPr>
                    <w:t>福州市大气污染联防联控联治工作方案（榕环保综〔2018〕386号）</w:t>
                  </w:r>
                </w:p>
              </w:tc>
              <w:tc>
                <w:tcPr>
                  <w:tcW w:w="315" w:type="dxa"/>
                  <w:tcBorders>
                    <w:tl2br w:val="nil"/>
                    <w:tr2bl w:val="nil"/>
                  </w:tcBorders>
                  <w:textDirection w:val="tbRlV"/>
                  <w:vAlign w:val="center"/>
                </w:tcPr>
                <w:p>
                  <w:pPr>
                    <w:pStyle w:val="68"/>
                    <w:adjustRightInd/>
                    <w:snapToGrid/>
                    <w:spacing w:before="0"/>
                    <w:ind w:right="0"/>
                    <w:rPr>
                      <w:color w:val="auto"/>
                      <w:szCs w:val="21"/>
                    </w:rPr>
                  </w:pPr>
                  <w:r>
                    <w:rPr>
                      <w:rFonts w:hint="eastAsia"/>
                      <w:color w:val="auto"/>
                      <w:szCs w:val="21"/>
                    </w:rPr>
                    <w:t>地方</w:t>
                  </w:r>
                </w:p>
              </w:tc>
              <w:tc>
                <w:tcPr>
                  <w:tcW w:w="3345" w:type="dxa"/>
                  <w:tcBorders>
                    <w:tl2br w:val="nil"/>
                    <w:tr2bl w:val="nil"/>
                  </w:tcBorders>
                  <w:vAlign w:val="center"/>
                </w:tcPr>
                <w:p>
                  <w:pPr>
                    <w:pStyle w:val="159"/>
                    <w:spacing w:before="65" w:line="250" w:lineRule="auto"/>
                    <w:ind w:right="34"/>
                    <w:rPr>
                      <w:rFonts w:hint="eastAsia"/>
                      <w:color w:val="auto"/>
                      <w:spacing w:val="6"/>
                      <w:sz w:val="21"/>
                      <w:szCs w:val="21"/>
                      <w:lang w:eastAsia="zh-CN"/>
                    </w:rPr>
                  </w:pPr>
                  <w:r>
                    <w:rPr>
                      <w:color w:val="auto"/>
                      <w:spacing w:val="9"/>
                      <w:sz w:val="21"/>
                      <w:szCs w:val="21"/>
                      <w:lang w:eastAsia="zh-CN"/>
                    </w:rPr>
                    <w:t>严格建设项目环境准入：禁止</w:t>
                  </w:r>
                  <w:r>
                    <w:rPr>
                      <w:color w:val="auto"/>
                      <w:spacing w:val="11"/>
                      <w:sz w:val="21"/>
                      <w:szCs w:val="21"/>
                      <w:lang w:eastAsia="zh-CN"/>
                    </w:rPr>
                    <w:t>引入高能耗、高污染和资源型行业，严格控制石化、化工、</w:t>
                  </w:r>
                  <w:r>
                    <w:rPr>
                      <w:color w:val="auto"/>
                      <w:spacing w:val="1"/>
                      <w:sz w:val="21"/>
                      <w:szCs w:val="21"/>
                      <w:lang w:eastAsia="zh-CN"/>
                    </w:rPr>
                    <w:t>包装印刷、工业涂装等高</w:t>
                  </w:r>
                  <w:r>
                    <w:rPr>
                      <w:rFonts w:hint="eastAsia" w:ascii="Times New Roman" w:hAnsi="Times New Roman" w:cs="Times New Roman"/>
                      <w:color w:val="auto"/>
                      <w:sz w:val="21"/>
                      <w:szCs w:val="21"/>
                      <w:lang w:eastAsia="zh-CN"/>
                    </w:rPr>
                    <w:t>VOCs</w:t>
                  </w:r>
                  <w:r>
                    <w:rPr>
                      <w:color w:val="auto"/>
                      <w:spacing w:val="1"/>
                      <w:sz w:val="21"/>
                      <w:szCs w:val="21"/>
                      <w:lang w:eastAsia="zh-CN"/>
                    </w:rPr>
                    <w:t>排放的项目建设，新建涉</w:t>
                  </w:r>
                  <w:r>
                    <w:rPr>
                      <w:rFonts w:hint="eastAsia" w:ascii="Times New Roman" w:hAnsi="Times New Roman" w:cs="Times New Roman"/>
                      <w:color w:val="auto"/>
                      <w:sz w:val="21"/>
                      <w:szCs w:val="21"/>
                      <w:lang w:eastAsia="zh-CN"/>
                    </w:rPr>
                    <w:t>VOCs</w:t>
                  </w:r>
                  <w:r>
                    <w:rPr>
                      <w:color w:val="auto"/>
                      <w:spacing w:val="11"/>
                      <w:sz w:val="21"/>
                      <w:szCs w:val="21"/>
                      <w:lang w:eastAsia="zh-CN"/>
                    </w:rPr>
                    <w:t>排放的重点行业项目必须进入</w:t>
                  </w:r>
                  <w:r>
                    <w:rPr>
                      <w:color w:val="auto"/>
                      <w:spacing w:val="13"/>
                      <w:sz w:val="21"/>
                      <w:szCs w:val="21"/>
                      <w:lang w:eastAsia="zh-CN"/>
                    </w:rPr>
                    <w:t>工业园区。严格涉</w:t>
                  </w:r>
                  <w:r>
                    <w:rPr>
                      <w:rFonts w:hint="eastAsia" w:ascii="Times New Roman" w:hAnsi="Times New Roman" w:cs="Times New Roman"/>
                      <w:color w:val="auto"/>
                      <w:sz w:val="21"/>
                      <w:szCs w:val="21"/>
                      <w:lang w:eastAsia="zh-CN"/>
                    </w:rPr>
                    <w:t>VOCs</w:t>
                  </w:r>
                  <w:r>
                    <w:rPr>
                      <w:color w:val="auto"/>
                      <w:spacing w:val="13"/>
                      <w:sz w:val="21"/>
                      <w:szCs w:val="21"/>
                      <w:lang w:eastAsia="zh-CN"/>
                    </w:rPr>
                    <w:t>建设</w:t>
                  </w:r>
                  <w:r>
                    <w:rPr>
                      <w:color w:val="auto"/>
                      <w:spacing w:val="1"/>
                      <w:sz w:val="21"/>
                      <w:szCs w:val="21"/>
                      <w:lang w:eastAsia="zh-CN"/>
                    </w:rPr>
                    <w:t>项目环境影响评价，</w:t>
                  </w:r>
                  <w:r>
                    <w:rPr>
                      <w:rFonts w:hint="eastAsia" w:ascii="Times New Roman" w:hAnsi="Times New Roman" w:cs="Times New Roman"/>
                      <w:color w:val="auto"/>
                      <w:sz w:val="21"/>
                      <w:szCs w:val="21"/>
                      <w:lang w:eastAsia="zh-CN"/>
                    </w:rPr>
                    <w:t>VOCs</w:t>
                  </w:r>
                  <w:r>
                    <w:rPr>
                      <w:color w:val="auto"/>
                      <w:spacing w:val="1"/>
                      <w:sz w:val="21"/>
                      <w:szCs w:val="21"/>
                      <w:lang w:eastAsia="zh-CN"/>
                    </w:rPr>
                    <w:t>排放</w:t>
                  </w:r>
                  <w:r>
                    <w:rPr>
                      <w:color w:val="auto"/>
                      <w:spacing w:val="2"/>
                      <w:sz w:val="21"/>
                      <w:szCs w:val="21"/>
                      <w:lang w:eastAsia="zh-CN"/>
                    </w:rPr>
                    <w:t>实行区域内倍量替代，新、改、</w:t>
                  </w:r>
                  <w:r>
                    <w:rPr>
                      <w:color w:val="auto"/>
                      <w:spacing w:val="14"/>
                      <w:sz w:val="21"/>
                      <w:szCs w:val="21"/>
                      <w:lang w:eastAsia="zh-CN"/>
                    </w:rPr>
                    <w:t>扩建涉</w:t>
                  </w:r>
                  <w:r>
                    <w:rPr>
                      <w:rFonts w:hint="eastAsia" w:ascii="Times New Roman" w:hAnsi="Times New Roman" w:cs="Times New Roman"/>
                      <w:color w:val="auto"/>
                      <w:sz w:val="21"/>
                      <w:szCs w:val="21"/>
                      <w:lang w:eastAsia="zh-CN"/>
                    </w:rPr>
                    <w:t>VOCs</w:t>
                  </w:r>
                  <w:r>
                    <w:rPr>
                      <w:color w:val="auto"/>
                      <w:spacing w:val="14"/>
                      <w:sz w:val="21"/>
                      <w:szCs w:val="21"/>
                      <w:lang w:eastAsia="zh-CN"/>
                    </w:rPr>
                    <w:t>排放项目，应从</w:t>
                  </w:r>
                  <w:r>
                    <w:rPr>
                      <w:color w:val="auto"/>
                      <w:spacing w:val="10"/>
                      <w:sz w:val="21"/>
                      <w:szCs w:val="21"/>
                      <w:lang w:eastAsia="zh-CN"/>
                    </w:rPr>
                    <w:t>源头加强控制，使用低（无）</w:t>
                  </w:r>
                  <w:r>
                    <w:rPr>
                      <w:rFonts w:hint="eastAsia" w:ascii="Times New Roman" w:hAnsi="Times New Roman" w:cs="Times New Roman"/>
                      <w:color w:val="auto"/>
                      <w:sz w:val="21"/>
                      <w:szCs w:val="21"/>
                      <w:lang w:eastAsia="zh-CN"/>
                    </w:rPr>
                    <w:t>VOCs</w:t>
                  </w:r>
                  <w:r>
                    <w:rPr>
                      <w:color w:val="auto"/>
                      <w:spacing w:val="1"/>
                      <w:sz w:val="21"/>
                      <w:szCs w:val="21"/>
                      <w:lang w:eastAsia="zh-CN"/>
                    </w:rPr>
                    <w:t>含量的原辅材料，加强废</w:t>
                  </w:r>
                  <w:r>
                    <w:rPr>
                      <w:color w:val="auto"/>
                      <w:spacing w:val="10"/>
                      <w:sz w:val="21"/>
                      <w:szCs w:val="21"/>
                      <w:lang w:eastAsia="zh-CN"/>
                    </w:rPr>
                    <w:t>气收集，安装高效治理设施。</w:t>
                  </w:r>
                </w:p>
              </w:tc>
              <w:tc>
                <w:tcPr>
                  <w:tcW w:w="2335" w:type="dxa"/>
                  <w:tcBorders>
                    <w:tl2br w:val="nil"/>
                    <w:tr2bl w:val="nil"/>
                  </w:tcBorders>
                  <w:vAlign w:val="center"/>
                </w:tcPr>
                <w:p>
                  <w:pPr>
                    <w:pStyle w:val="159"/>
                    <w:wordWrap w:val="0"/>
                    <w:spacing w:before="39" w:line="228" w:lineRule="auto"/>
                    <w:rPr>
                      <w:rFonts w:ascii="Times New Roman" w:hAnsi="Times New Roman" w:cs="Times New Roman"/>
                      <w:color w:val="auto"/>
                      <w:sz w:val="21"/>
                      <w:szCs w:val="21"/>
                      <w:lang w:eastAsia="zh-CN"/>
                    </w:rPr>
                  </w:pPr>
                  <w:r>
                    <w:rPr>
                      <w:rFonts w:ascii="Times New Roman" w:hAnsi="Times New Roman" w:cs="Times New Roman"/>
                      <w:color w:val="auto"/>
                      <w:sz w:val="21"/>
                      <w:szCs w:val="21"/>
                      <w:lang w:eastAsia="zh-CN"/>
                    </w:rPr>
                    <w:t>符合。</w:t>
                  </w:r>
                </w:p>
                <w:p>
                  <w:pPr>
                    <w:pStyle w:val="159"/>
                    <w:wordWrap w:val="0"/>
                    <w:spacing w:before="39" w:line="228" w:lineRule="auto"/>
                    <w:rPr>
                      <w:rFonts w:ascii="Times New Roman" w:hAnsi="Times New Roman" w:cs="Times New Roman"/>
                      <w:color w:val="auto"/>
                      <w:spacing w:val="-1"/>
                      <w:sz w:val="21"/>
                      <w:szCs w:val="21"/>
                      <w:lang w:eastAsia="zh-CN"/>
                    </w:rPr>
                  </w:pPr>
                  <w:r>
                    <w:rPr>
                      <w:rFonts w:ascii="Times New Roman" w:hAnsi="Times New Roman" w:cs="Times New Roman"/>
                      <w:color w:val="auto"/>
                      <w:sz w:val="21"/>
                      <w:szCs w:val="21"/>
                      <w:lang w:eastAsia="zh-CN"/>
                    </w:rPr>
                    <w:t>扩建项目主要从事复合膜和复合袋生产，</w:t>
                  </w:r>
                  <w:r>
                    <w:rPr>
                      <w:rFonts w:ascii="Times New Roman" w:hAnsi="Times New Roman" w:cs="Times New Roman"/>
                      <w:color w:val="auto"/>
                      <w:spacing w:val="-1"/>
                      <w:sz w:val="21"/>
                      <w:szCs w:val="21"/>
                      <w:lang w:eastAsia="zh-CN"/>
                    </w:rPr>
                    <w:t>属于印刷行业，</w:t>
                  </w:r>
                  <w:r>
                    <w:rPr>
                      <w:rFonts w:ascii="Times New Roman" w:hAnsi="Times New Roman" w:cs="Times New Roman"/>
                      <w:color w:val="auto"/>
                      <w:sz w:val="21"/>
                      <w:szCs w:val="21"/>
                      <w:lang w:eastAsia="zh-CN"/>
                    </w:rPr>
                    <w:t>位于福建省福州市长乐区漳港街道渡桥村，属于福州临空经济区范围内</w:t>
                  </w:r>
                  <w:r>
                    <w:rPr>
                      <w:rFonts w:ascii="Times New Roman" w:hAnsi="Times New Roman" w:cs="Times New Roman"/>
                      <w:color w:val="auto"/>
                      <w:spacing w:val="-1"/>
                      <w:sz w:val="21"/>
                      <w:szCs w:val="21"/>
                      <w:lang w:eastAsia="zh-CN"/>
                    </w:rPr>
                    <w:t>。</w:t>
                  </w:r>
                </w:p>
                <w:p>
                  <w:pPr>
                    <w:pStyle w:val="159"/>
                    <w:wordWrap w:val="0"/>
                    <w:spacing w:before="39" w:line="228" w:lineRule="auto"/>
                    <w:rPr>
                      <w:rFonts w:hint="eastAsia"/>
                      <w:color w:val="auto"/>
                      <w:spacing w:val="8"/>
                      <w:sz w:val="21"/>
                      <w:szCs w:val="21"/>
                      <w:lang w:eastAsia="zh-CN"/>
                    </w:rPr>
                  </w:pPr>
                  <w:r>
                    <w:rPr>
                      <w:rFonts w:ascii="Times New Roman" w:hAnsi="Times New Roman" w:cs="Times New Roman"/>
                      <w:color w:val="auto"/>
                      <w:sz w:val="21"/>
                      <w:szCs w:val="21"/>
                      <w:lang w:eastAsia="zh-CN"/>
                    </w:rPr>
                    <w:t>根据成分报告（见附件1</w:t>
                  </w:r>
                  <w:r>
                    <w:rPr>
                      <w:rFonts w:hint="eastAsia" w:ascii="Times New Roman" w:hAnsi="Times New Roman" w:cs="Times New Roman"/>
                      <w:color w:val="auto"/>
                      <w:sz w:val="21"/>
                      <w:szCs w:val="21"/>
                      <w:lang w:eastAsia="zh-CN"/>
                    </w:rPr>
                    <w:t>2</w:t>
                  </w:r>
                  <w:r>
                    <w:rPr>
                      <w:rFonts w:ascii="Times New Roman" w:hAnsi="Times New Roman" w:cs="Times New Roman"/>
                      <w:color w:val="auto"/>
                      <w:sz w:val="21"/>
                      <w:szCs w:val="21"/>
                      <w:lang w:eastAsia="zh-CN"/>
                    </w:rPr>
                    <w:t>），</w:t>
                  </w:r>
                  <w:r>
                    <w:rPr>
                      <w:rFonts w:ascii="Times New Roman" w:hAnsi="Times New Roman" w:cs="Times New Roman"/>
                      <w:color w:val="auto"/>
                      <w:spacing w:val="-1"/>
                      <w:sz w:val="21"/>
                      <w:szCs w:val="21"/>
                      <w:lang w:eastAsia="zh-CN"/>
                    </w:rPr>
                    <w:t>扩建项目使用</w:t>
                  </w:r>
                  <w:r>
                    <w:rPr>
                      <w:rFonts w:ascii="Times New Roman" w:hAnsi="Times New Roman" w:cs="Times New Roman"/>
                      <w:color w:val="auto"/>
                      <w:sz w:val="21"/>
                      <w:szCs w:val="21"/>
                      <w:lang w:eastAsia="zh-CN"/>
                    </w:rPr>
                    <w:t>油性油墨挥发性有机物含量59.7%及以下，水性油墨挥发性有机物含量22%，符合GB38507-2020《油墨中可挥发性有机化合物（VOCs）含量的限值》中油性凹印油墨≤75%的要求和水性凹印油墨≤30%的要求。</w:t>
                  </w:r>
                  <w:r>
                    <w:rPr>
                      <w:rFonts w:ascii="Times New Roman" w:hAnsi="Times New Roman" w:cs="Times New Roman"/>
                      <w:color w:val="auto"/>
                      <w:spacing w:val="-1"/>
                      <w:sz w:val="21"/>
                      <w:szCs w:val="21"/>
                      <w:lang w:eastAsia="zh-CN"/>
                    </w:rPr>
                    <w:t>扩建项目使用无溶剂</w:t>
                  </w:r>
                  <w:r>
                    <w:rPr>
                      <w:rFonts w:ascii="Times New Roman" w:hAnsi="Times New Roman" w:cs="Times New Roman"/>
                      <w:color w:val="auto"/>
                      <w:sz w:val="21"/>
                      <w:szCs w:val="21"/>
                      <w:lang w:eastAsia="zh-CN"/>
                    </w:rPr>
                    <w:t>聚氨酯粘合剂挥发性有机物含量1g/kg，</w:t>
                  </w:r>
                  <w:r>
                    <w:rPr>
                      <w:rFonts w:ascii="Times New Roman" w:hAnsi="Times New Roman" w:cs="Times New Roman"/>
                      <w:color w:val="auto"/>
                      <w:sz w:val="21"/>
                      <w:lang w:eastAsia="zh-CN"/>
                    </w:rPr>
                    <w:t>符合GB 33372-2020《胶粘剂挥发性有机化合物限量》中胶粘剂：本体型胶粘剂≤50g/kg的要求</w:t>
                  </w:r>
                  <w:r>
                    <w:rPr>
                      <w:rFonts w:hint="eastAsia" w:ascii="Times New Roman" w:hAnsi="Times New Roman" w:cs="Times New Roman"/>
                      <w:color w:val="auto"/>
                      <w:sz w:val="21"/>
                      <w:lang w:eastAsia="zh-CN"/>
                    </w:rPr>
                    <w:t>。</w:t>
                  </w:r>
                  <w:r>
                    <w:rPr>
                      <w:rFonts w:hint="eastAsia"/>
                      <w:color w:val="auto"/>
                      <w:sz w:val="21"/>
                      <w:szCs w:val="21"/>
                      <w:lang w:eastAsia="zh-CN"/>
                    </w:rPr>
                    <w:t>扩建</w:t>
                  </w:r>
                  <w:r>
                    <w:rPr>
                      <w:rFonts w:hint="eastAsia" w:ascii="Times New Roman" w:hAnsi="Times New Roman" w:cs="Times New Roman"/>
                      <w:color w:val="auto"/>
                      <w:sz w:val="21"/>
                      <w:lang w:eastAsia="zh-CN"/>
                    </w:rPr>
                    <w:t>项目产生VOCs的生产工序在密闭空间内，微负压收集后采用1套喷淋塔+二级颗粒活性炭吸附装置处理后通过1根23m高的排气筒排放。</w:t>
                  </w:r>
                  <w:r>
                    <w:rPr>
                      <w:rFonts w:hint="eastAsia" w:ascii="Times New Roman" w:hAnsi="Times New Roman" w:cs="Times New Roman"/>
                      <w:color w:val="auto"/>
                      <w:sz w:val="21"/>
                      <w:szCs w:val="21"/>
                      <w:lang w:eastAsia="zh-CN"/>
                    </w:rPr>
                    <w:t>VOCs</w:t>
                  </w:r>
                  <w:r>
                    <w:rPr>
                      <w:color w:val="auto"/>
                      <w:spacing w:val="1"/>
                      <w:sz w:val="21"/>
                      <w:szCs w:val="21"/>
                      <w:lang w:eastAsia="zh-CN"/>
                    </w:rPr>
                    <w:t>排放</w:t>
                  </w:r>
                  <w:r>
                    <w:rPr>
                      <w:color w:val="auto"/>
                      <w:spacing w:val="2"/>
                      <w:sz w:val="21"/>
                      <w:szCs w:val="21"/>
                      <w:lang w:eastAsia="zh-CN"/>
                    </w:rPr>
                    <w:t>实行区域内倍量替代，</w:t>
                  </w:r>
                  <w:r>
                    <w:rPr>
                      <w:rFonts w:ascii="Times New Roman" w:hAnsi="Times New Roman" w:cs="Times New Roman"/>
                      <w:color w:val="auto"/>
                      <w:sz w:val="21"/>
                      <w:lang w:eastAsia="zh-CN"/>
                    </w:rPr>
                    <w:t>建设单位根据环评报告核算量作为总量控制建议指标，在报环境主管部门批准认可后，向环境主管部门申请总量调剂</w:t>
                  </w:r>
                  <w:r>
                    <w:rPr>
                      <w:rFonts w:hint="eastAsia" w:ascii="Times New Roman" w:hAnsi="Times New Roman" w:cs="Times New Roman"/>
                      <w:color w:val="auto"/>
                      <w:sz w:val="21"/>
                      <w:lang w:eastAsia="zh-CN"/>
                    </w:rPr>
                    <w:t>。</w:t>
                  </w:r>
                </w:p>
              </w:tc>
            </w:tr>
          </w:tbl>
          <w:p>
            <w:pPr>
              <w:autoSpaceDE w:val="0"/>
              <w:autoSpaceDN w:val="0"/>
              <w:adjustRightInd w:val="0"/>
              <w:snapToGrid w:val="0"/>
              <w:rPr>
                <w:color w:val="auto"/>
                <w:kern w:val="0"/>
                <w:szCs w:val="21"/>
              </w:rPr>
            </w:pPr>
          </w:p>
        </w:tc>
      </w:tr>
    </w:tbl>
    <w:p>
      <w:pPr>
        <w:spacing w:line="360" w:lineRule="auto"/>
        <w:rPr>
          <w:rFonts w:eastAsia="黑体"/>
          <w:color w:val="auto"/>
          <w:sz w:val="30"/>
        </w:rPr>
        <w:sectPr>
          <w:footerReference r:id="rId5" w:type="default"/>
          <w:pgSz w:w="11906" w:h="16838"/>
          <w:pgMar w:top="1417" w:right="1417" w:bottom="1417" w:left="1474" w:header="851" w:footer="992" w:gutter="0"/>
          <w:pgNumType w:start="1"/>
          <w:cols w:space="720" w:num="1"/>
          <w:docGrid w:linePitch="312" w:charSpace="0"/>
        </w:sectPr>
      </w:pPr>
    </w:p>
    <w:p>
      <w:pPr>
        <w:pStyle w:val="99"/>
        <w:rPr>
          <w:rFonts w:hint="eastAsia"/>
          <w:color w:val="auto"/>
        </w:rPr>
      </w:pPr>
      <w:r>
        <w:rPr>
          <w:rFonts w:hint="eastAsia"/>
          <w:color w:val="auto"/>
        </w:rPr>
        <w:t>二、</w:t>
      </w:r>
      <w:r>
        <w:rPr>
          <w:color w:val="auto"/>
        </w:rPr>
        <w:t>建设项目工程分析</w:t>
      </w:r>
      <w:bookmarkEnd w:id="2"/>
    </w:p>
    <w:tbl>
      <w:tblPr>
        <w:tblStyle w:val="36"/>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2"/>
        <w:gridCol w:w="86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dxa"/>
            <w:vAlign w:val="center"/>
          </w:tcPr>
          <w:p>
            <w:pPr>
              <w:pStyle w:val="33"/>
              <w:spacing w:before="0" w:beforeAutospacing="0" w:after="0" w:afterAutospacing="0" w:line="360" w:lineRule="auto"/>
              <w:jc w:val="center"/>
              <w:rPr>
                <w:rFonts w:ascii="Times New Roman" w:hAnsi="Times New Roman"/>
                <w:b/>
                <w:color w:val="auto"/>
                <w:szCs w:val="21"/>
              </w:rPr>
            </w:pPr>
            <w:r>
              <w:rPr>
                <w:rFonts w:ascii="Times New Roman" w:hAnsi="Times New Roman"/>
                <w:b/>
                <w:color w:val="auto"/>
                <w:szCs w:val="21"/>
              </w:rPr>
              <w:t>建</w:t>
            </w:r>
          </w:p>
          <w:p>
            <w:pPr>
              <w:pStyle w:val="33"/>
              <w:spacing w:before="0" w:beforeAutospacing="0" w:after="0" w:afterAutospacing="0" w:line="360" w:lineRule="auto"/>
              <w:jc w:val="center"/>
              <w:rPr>
                <w:rFonts w:ascii="Times New Roman" w:hAnsi="Times New Roman"/>
                <w:b/>
                <w:color w:val="auto"/>
                <w:szCs w:val="21"/>
              </w:rPr>
            </w:pPr>
            <w:r>
              <w:rPr>
                <w:rFonts w:ascii="Times New Roman" w:hAnsi="Times New Roman"/>
                <w:b/>
                <w:color w:val="auto"/>
                <w:szCs w:val="21"/>
              </w:rPr>
              <w:t>设</w:t>
            </w:r>
          </w:p>
          <w:p>
            <w:pPr>
              <w:pStyle w:val="33"/>
              <w:spacing w:before="0" w:beforeAutospacing="0" w:after="0" w:afterAutospacing="0" w:line="360" w:lineRule="auto"/>
              <w:jc w:val="center"/>
              <w:rPr>
                <w:rFonts w:ascii="Times New Roman" w:hAnsi="Times New Roman"/>
                <w:b/>
                <w:color w:val="auto"/>
                <w:szCs w:val="21"/>
              </w:rPr>
            </w:pPr>
            <w:r>
              <w:rPr>
                <w:rFonts w:ascii="Times New Roman" w:hAnsi="Times New Roman"/>
                <w:b/>
                <w:color w:val="auto"/>
                <w:szCs w:val="21"/>
              </w:rPr>
              <w:t>内</w:t>
            </w:r>
          </w:p>
          <w:p>
            <w:pPr>
              <w:pStyle w:val="33"/>
              <w:spacing w:before="0" w:beforeAutospacing="0" w:after="0" w:afterAutospacing="0" w:line="360" w:lineRule="auto"/>
              <w:jc w:val="center"/>
              <w:rPr>
                <w:rFonts w:ascii="Times New Roman" w:hAnsi="Times New Roman"/>
                <w:b/>
                <w:color w:val="auto"/>
                <w:szCs w:val="21"/>
              </w:rPr>
            </w:pPr>
            <w:r>
              <w:rPr>
                <w:rFonts w:ascii="Times New Roman" w:hAnsi="Times New Roman"/>
                <w:b/>
                <w:color w:val="auto"/>
                <w:szCs w:val="21"/>
              </w:rPr>
              <w:t>容</w:t>
            </w:r>
          </w:p>
        </w:tc>
        <w:tc>
          <w:tcPr>
            <w:tcW w:w="8608" w:type="dxa"/>
          </w:tcPr>
          <w:p>
            <w:pPr>
              <w:pStyle w:val="73"/>
              <w:rPr>
                <w:rFonts w:cs="Times New Roman"/>
                <w:color w:val="auto"/>
              </w:rPr>
            </w:pPr>
            <w:r>
              <w:rPr>
                <w:rFonts w:cs="Times New Roman"/>
                <w:color w:val="auto"/>
              </w:rPr>
              <w:t>2.1</w:t>
            </w:r>
            <w:r>
              <w:rPr>
                <w:rFonts w:hint="eastAsia" w:cs="Times New Roman"/>
                <w:color w:val="auto"/>
              </w:rPr>
              <w:t>扩建</w:t>
            </w:r>
            <w:r>
              <w:rPr>
                <w:rFonts w:cs="Times New Roman"/>
                <w:color w:val="auto"/>
              </w:rPr>
              <w:t>项目由来</w:t>
            </w:r>
          </w:p>
          <w:p>
            <w:pPr>
              <w:pStyle w:val="122"/>
              <w:ind w:firstLine="480"/>
              <w:rPr>
                <w:color w:val="auto"/>
              </w:rPr>
            </w:pPr>
            <w:r>
              <w:rPr>
                <w:color w:val="auto"/>
              </w:rPr>
              <w:t>福建汇邦包装有限公司（以下简称“汇邦公司”，营业执照见附件3）成立于2015年03月24日，选址于福建省福州市长乐区航城街道霞洲村湖边溪工业区1号（租用福建省建乐鞋有限公司内的E栋厂房东侧1-4层楼及配套设施）建设年产复合膜150吨、复合袋150吨项目（以下简称“现有项目”）。</w:t>
            </w:r>
            <w:r>
              <w:rPr>
                <w:rFonts w:hint="eastAsia"/>
                <w:color w:val="auto"/>
              </w:rPr>
              <w:t>汇邦公司</w:t>
            </w:r>
            <w:r>
              <w:rPr>
                <w:color w:val="auto"/>
              </w:rPr>
              <w:t>于2016年11月委托福建省化学工业科学技术研究所编制完成了《福建汇邦包装有限公司年产复合膜150吨、复合袋150吨项目环境影响评价报告表》，并于2017年2月7日</w:t>
            </w:r>
            <w:r>
              <w:rPr>
                <w:rFonts w:hint="eastAsia"/>
                <w:color w:val="auto"/>
              </w:rPr>
              <w:t>通过</w:t>
            </w:r>
            <w:r>
              <w:rPr>
                <w:color w:val="auto"/>
              </w:rPr>
              <w:t>福州市长乐生态环境局（原长乐市环境保护局）</w:t>
            </w:r>
            <w:r>
              <w:rPr>
                <w:rFonts w:hint="eastAsia"/>
                <w:color w:val="auto"/>
              </w:rPr>
              <w:t>审批</w:t>
            </w:r>
            <w:r>
              <w:rPr>
                <w:color w:val="auto"/>
              </w:rPr>
              <w:t>（长环评</w:t>
            </w:r>
            <w:r>
              <w:rPr>
                <w:rFonts w:hint="eastAsia"/>
                <w:color w:val="auto"/>
                <w:lang w:eastAsia="zh-CN"/>
              </w:rPr>
              <w:t>〔2017〕4号</w:t>
            </w:r>
            <w:r>
              <w:rPr>
                <w:color w:val="auto"/>
              </w:rPr>
              <w:t>，</w:t>
            </w:r>
            <w:r>
              <w:rPr>
                <w:rFonts w:hint="eastAsia"/>
                <w:color w:val="auto"/>
              </w:rPr>
              <w:t>环评批复</w:t>
            </w:r>
            <w:r>
              <w:rPr>
                <w:color w:val="auto"/>
              </w:rPr>
              <w:t>见附件</w:t>
            </w:r>
            <w:r>
              <w:rPr>
                <w:rFonts w:hint="eastAsia"/>
                <w:color w:val="auto"/>
              </w:rPr>
              <w:t>9</w:t>
            </w:r>
            <w:r>
              <w:rPr>
                <w:color w:val="auto"/>
              </w:rPr>
              <w:t>）。</w:t>
            </w:r>
            <w:r>
              <w:rPr>
                <w:rFonts w:hint="eastAsia"/>
                <w:color w:val="auto"/>
              </w:rPr>
              <w:t>汇邦公司</w:t>
            </w:r>
            <w:r>
              <w:rPr>
                <w:color w:val="auto"/>
              </w:rPr>
              <w:t>于</w:t>
            </w:r>
            <w:r>
              <w:rPr>
                <w:rFonts w:hint="eastAsia"/>
                <w:color w:val="auto"/>
              </w:rPr>
              <w:t>2018年7月开展</w:t>
            </w:r>
            <w:r>
              <w:rPr>
                <w:color w:val="auto"/>
              </w:rPr>
              <w:t>年产复合膜150吨、复合袋150吨项目</w:t>
            </w:r>
            <w:r>
              <w:rPr>
                <w:rFonts w:hint="eastAsia"/>
                <w:color w:val="auto"/>
              </w:rPr>
              <w:t>竣工环保验收工作，并于2018年8月通过自主验收（验收意见见附件10）。</w:t>
            </w:r>
          </w:p>
          <w:p>
            <w:pPr>
              <w:pStyle w:val="122"/>
              <w:ind w:firstLine="480"/>
              <w:rPr>
                <w:color w:val="auto"/>
              </w:rPr>
            </w:pPr>
            <w:r>
              <w:rPr>
                <w:color w:val="auto"/>
              </w:rPr>
              <w:t>为了满足市场需求以及现有项目场地受限等原因，汇邦公司拟选址于福建省福州市长乐区漳港街道渡桥村（租赁福州市长乐区力驰针纺有限公司厂房面积10000m</w:t>
            </w:r>
            <w:r>
              <w:rPr>
                <w:color w:val="auto"/>
                <w:vertAlign w:val="superscript"/>
              </w:rPr>
              <w:t>2</w:t>
            </w:r>
            <w:r>
              <w:rPr>
                <w:color w:val="auto"/>
              </w:rPr>
              <w:t>）建设福建汇邦包装有限公司年产复合膜600吨及复合袋600吨生产项目</w:t>
            </w:r>
            <w:r>
              <w:rPr>
                <w:rFonts w:hint="eastAsia"/>
                <w:color w:val="auto"/>
              </w:rPr>
              <w:t>。该项目属于扩建性质，新增年产复合膜450吨及复合袋450吨，于</w:t>
            </w:r>
            <w:r>
              <w:rPr>
                <w:color w:val="auto"/>
              </w:rPr>
              <w:t>202</w:t>
            </w:r>
            <w:r>
              <w:rPr>
                <w:rFonts w:hint="eastAsia"/>
                <w:color w:val="auto"/>
              </w:rPr>
              <w:t>5</w:t>
            </w:r>
            <w:r>
              <w:rPr>
                <w:color w:val="auto"/>
              </w:rPr>
              <w:t>年</w:t>
            </w:r>
            <w:r>
              <w:rPr>
                <w:rFonts w:hint="eastAsia"/>
                <w:color w:val="auto"/>
              </w:rPr>
              <w:t>1</w:t>
            </w:r>
            <w:r>
              <w:rPr>
                <w:color w:val="auto"/>
              </w:rPr>
              <w:t>月</w:t>
            </w:r>
            <w:r>
              <w:rPr>
                <w:rFonts w:hint="eastAsia"/>
                <w:color w:val="auto"/>
              </w:rPr>
              <w:t>17</w:t>
            </w:r>
            <w:r>
              <w:rPr>
                <w:color w:val="auto"/>
              </w:rPr>
              <w:t>日取得</w:t>
            </w:r>
            <w:r>
              <w:rPr>
                <w:rFonts w:hint="eastAsia"/>
                <w:color w:val="auto"/>
              </w:rPr>
              <w:t>福州市长乐区工业和信息化局的</w:t>
            </w:r>
            <w:r>
              <w:rPr>
                <w:color w:val="auto"/>
              </w:rPr>
              <w:t>备案（备案编号：闽工信备〔202</w:t>
            </w:r>
            <w:r>
              <w:rPr>
                <w:rFonts w:hint="eastAsia"/>
                <w:color w:val="auto"/>
              </w:rPr>
              <w:t>5</w:t>
            </w:r>
            <w:r>
              <w:rPr>
                <w:color w:val="auto"/>
              </w:rPr>
              <w:t>〕0</w:t>
            </w:r>
            <w:r>
              <w:rPr>
                <w:rFonts w:hint="eastAsia"/>
                <w:color w:val="auto"/>
              </w:rPr>
              <w:t>0006</w:t>
            </w:r>
            <w:r>
              <w:rPr>
                <w:color w:val="auto"/>
              </w:rPr>
              <w:t>号</w:t>
            </w:r>
            <w:r>
              <w:rPr>
                <w:rFonts w:hint="eastAsia"/>
                <w:color w:val="auto"/>
              </w:rPr>
              <w:t>，见附件2</w:t>
            </w:r>
            <w:r>
              <w:rPr>
                <w:color w:val="auto"/>
              </w:rPr>
              <w:t>）</w:t>
            </w:r>
            <w:r>
              <w:rPr>
                <w:rFonts w:hint="eastAsia"/>
                <w:color w:val="auto"/>
              </w:rPr>
              <w:t>。备案主要建设内容：</w:t>
            </w:r>
            <w:r>
              <w:rPr>
                <w:color w:val="auto"/>
              </w:rPr>
              <w:t>租赁福州市长乐区力驰针纺有限公司厂房面积10000m</w:t>
            </w:r>
            <w:r>
              <w:rPr>
                <w:color w:val="auto"/>
                <w:vertAlign w:val="superscript"/>
              </w:rPr>
              <w:t>2</w:t>
            </w:r>
            <w:r>
              <w:rPr>
                <w:rFonts w:hint="eastAsia"/>
                <w:color w:val="auto"/>
              </w:rPr>
              <w:t>，购置BOPP薄膜、CPP薄膜、油墨等原辅料，购置彩印机、复合机、分切机等设备，新增年产复合膜450吨及复合袋450吨。</w:t>
            </w:r>
          </w:p>
          <w:p>
            <w:pPr>
              <w:pStyle w:val="122"/>
              <w:ind w:firstLine="482"/>
              <w:rPr>
                <w:b/>
                <w:bCs w:val="0"/>
                <w:color w:val="auto"/>
              </w:rPr>
            </w:pPr>
            <w:r>
              <w:rPr>
                <w:rFonts w:hint="eastAsia"/>
                <w:b/>
                <w:bCs w:val="0"/>
                <w:color w:val="auto"/>
              </w:rPr>
              <w:t>扩建后，汇邦公司位于</w:t>
            </w:r>
            <w:r>
              <w:rPr>
                <w:b/>
                <w:bCs w:val="0"/>
                <w:color w:val="auto"/>
              </w:rPr>
              <w:t>福建省福州市长乐区航城街道霞洲村湖边溪工业区1号（租用福建省建乐鞋有限公司内的E栋厂房东侧1-4层楼及配套设施）建设年产复合膜150吨、复合袋150吨项目</w:t>
            </w:r>
            <w:r>
              <w:rPr>
                <w:rFonts w:hint="eastAsia"/>
                <w:b/>
                <w:bCs w:val="0"/>
                <w:color w:val="auto"/>
              </w:rPr>
              <w:t>及配套设备设施保持不变；位于</w:t>
            </w:r>
            <w:r>
              <w:rPr>
                <w:b/>
                <w:bCs w:val="0"/>
                <w:color w:val="auto"/>
              </w:rPr>
              <w:t>福建省福州市长乐区漳港街道渡桥村（租赁福州市长乐区力驰针纺有限公司厂房面积10000m</w:t>
            </w:r>
            <w:r>
              <w:rPr>
                <w:b/>
                <w:bCs w:val="0"/>
                <w:color w:val="auto"/>
                <w:vertAlign w:val="superscript"/>
              </w:rPr>
              <w:t>2</w:t>
            </w:r>
            <w:r>
              <w:rPr>
                <w:b/>
                <w:bCs w:val="0"/>
                <w:color w:val="auto"/>
              </w:rPr>
              <w:t>）</w:t>
            </w:r>
            <w:r>
              <w:rPr>
                <w:rFonts w:hint="eastAsia"/>
                <w:b/>
                <w:bCs w:val="0"/>
                <w:color w:val="auto"/>
              </w:rPr>
              <w:t>建设年产复合膜450吨及复合袋450吨生产线并配套相关设备设施。</w:t>
            </w:r>
          </w:p>
          <w:p>
            <w:pPr>
              <w:pStyle w:val="122"/>
              <w:ind w:firstLine="482"/>
              <w:rPr>
                <w:b/>
                <w:bCs w:val="0"/>
                <w:color w:val="auto"/>
              </w:rPr>
            </w:pPr>
            <w:r>
              <w:rPr>
                <w:rFonts w:hint="eastAsia"/>
                <w:b/>
                <w:bCs w:val="0"/>
                <w:color w:val="auto"/>
              </w:rPr>
              <w:t>本次环评主要针对</w:t>
            </w:r>
            <w:r>
              <w:rPr>
                <w:b/>
                <w:bCs w:val="0"/>
                <w:color w:val="auto"/>
              </w:rPr>
              <w:t>福建省福州市长乐区漳港街道渡桥村</w:t>
            </w:r>
            <w:r>
              <w:rPr>
                <w:rFonts w:hint="eastAsia"/>
                <w:b/>
                <w:bCs w:val="0"/>
                <w:color w:val="auto"/>
              </w:rPr>
              <w:t>年产复合膜450吨及复合袋450吨扩建内容进行评价。</w:t>
            </w:r>
          </w:p>
          <w:p>
            <w:pPr>
              <w:pStyle w:val="122"/>
              <w:ind w:firstLine="480"/>
              <w:rPr>
                <w:color w:val="auto"/>
                <w:spacing w:val="-1"/>
              </w:rPr>
            </w:pPr>
            <w:r>
              <w:rPr>
                <w:color w:val="auto"/>
              </w:rPr>
              <w:t>根据《中华人民共和国环境保护法》、《中华人民共</w:t>
            </w:r>
            <w:r>
              <w:rPr>
                <w:color w:val="auto"/>
                <w:spacing w:val="-1"/>
              </w:rPr>
              <w:t>和国环境影响评价法》</w:t>
            </w:r>
            <w:r>
              <w:rPr>
                <w:color w:val="auto"/>
                <w:spacing w:val="7"/>
              </w:rPr>
              <w:t>等有关法律法规及国家环保部颁布的《建设</w:t>
            </w:r>
            <w:r>
              <w:rPr>
                <w:color w:val="auto"/>
                <w:spacing w:val="6"/>
              </w:rPr>
              <w:t>项目环境影响评价分类管理名录》</w:t>
            </w:r>
            <w:r>
              <w:rPr>
                <w:color w:val="auto"/>
                <w:spacing w:val="-3"/>
              </w:rPr>
              <w:t>（</w:t>
            </w:r>
            <w:r>
              <w:rPr>
                <w:rFonts w:eastAsia="Times New Roman"/>
                <w:color w:val="auto"/>
                <w:spacing w:val="-3"/>
              </w:rPr>
              <w:t>2021</w:t>
            </w:r>
            <w:r>
              <w:rPr>
                <w:color w:val="auto"/>
                <w:spacing w:val="-3"/>
              </w:rPr>
              <w:t>年版）规定，本项目属于</w:t>
            </w:r>
            <w:r>
              <w:rPr>
                <w:rFonts w:eastAsia="Times New Roman"/>
                <w:color w:val="auto"/>
                <w:spacing w:val="-3"/>
              </w:rPr>
              <w:t>“</w:t>
            </w:r>
            <w:r>
              <w:rPr>
                <w:color w:val="auto"/>
                <w:szCs w:val="21"/>
              </w:rPr>
              <w:t>二十、印刷和记录媒介复制业</w:t>
            </w:r>
            <w:r>
              <w:rPr>
                <w:rFonts w:hint="eastAsia"/>
                <w:color w:val="auto"/>
                <w:szCs w:val="21"/>
              </w:rPr>
              <w:t>23：</w:t>
            </w:r>
            <w:r>
              <w:rPr>
                <w:color w:val="auto"/>
                <w:szCs w:val="21"/>
              </w:rPr>
              <w:t>39</w:t>
            </w:r>
            <w:r>
              <w:rPr>
                <w:rFonts w:hint="eastAsia"/>
                <w:color w:val="auto"/>
                <w:szCs w:val="21"/>
              </w:rPr>
              <w:t>、</w:t>
            </w:r>
            <w:r>
              <w:rPr>
                <w:color w:val="auto"/>
                <w:szCs w:val="21"/>
              </w:rPr>
              <w:t>印刷231*</w:t>
            </w:r>
            <w:r>
              <w:rPr>
                <w:rFonts w:hint="eastAsia"/>
                <w:color w:val="auto"/>
                <w:szCs w:val="21"/>
              </w:rPr>
              <w:t>——</w:t>
            </w:r>
            <w:r>
              <w:rPr>
                <w:color w:val="auto"/>
                <w:szCs w:val="21"/>
              </w:rPr>
              <w:t>其他（激光印刷除外；年用低VOCs含量油墨10吨以下的印刷除外</w:t>
            </w:r>
            <w:r>
              <w:rPr>
                <w:rFonts w:eastAsia="Times New Roman"/>
                <w:color w:val="auto"/>
                <w:spacing w:val="-3"/>
              </w:rPr>
              <w:t>”</w:t>
            </w:r>
            <w:r>
              <w:rPr>
                <w:color w:val="auto"/>
                <w:spacing w:val="-3"/>
              </w:rPr>
              <w:t>，应编制环境影响报告表。</w:t>
            </w:r>
            <w:r>
              <w:rPr>
                <w:rFonts w:hint="eastAsia"/>
                <w:color w:val="auto"/>
                <w:spacing w:val="-3"/>
              </w:rPr>
              <w:t>具体详见</w:t>
            </w:r>
            <w:r>
              <w:rPr>
                <w:rFonts w:hint="eastAsia"/>
                <w:b/>
                <w:bCs w:val="0"/>
                <w:color w:val="auto"/>
                <w:spacing w:val="-3"/>
              </w:rPr>
              <w:t>表2.1-1</w:t>
            </w:r>
            <w:r>
              <w:rPr>
                <w:rFonts w:hint="eastAsia"/>
                <w:color w:val="auto"/>
                <w:spacing w:val="-3"/>
              </w:rPr>
              <w:t>。</w:t>
            </w:r>
          </w:p>
          <w:p>
            <w:pPr>
              <w:pStyle w:val="153"/>
              <w:spacing w:before="0" w:after="0"/>
              <w:ind w:firstLine="420"/>
              <w:rPr>
                <w:color w:val="auto"/>
              </w:rPr>
            </w:pPr>
            <w:r>
              <w:rPr>
                <w:color w:val="auto"/>
              </w:rPr>
              <w:t>表2.1-</w:t>
            </w:r>
            <w:r>
              <w:rPr>
                <w:rFonts w:hint="eastAsia"/>
                <w:color w:val="auto"/>
              </w:rPr>
              <w:t xml:space="preserve">1  </w:t>
            </w:r>
            <w:r>
              <w:rPr>
                <w:color w:val="auto"/>
              </w:rPr>
              <w:t>《建设项目环境影响评价分类管理名录》（2021年版）摘录</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4"/>
              <w:gridCol w:w="1532"/>
              <w:gridCol w:w="1730"/>
              <w:gridCol w:w="3703"/>
              <w:gridCol w:w="9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40" w:hRule="atLeast"/>
                <w:jc w:val="center"/>
              </w:trPr>
              <w:tc>
                <w:tcPr>
                  <w:tcW w:w="2086" w:type="dxa"/>
                  <w:gridSpan w:val="2"/>
                  <w:tcBorders>
                    <w:tl2br w:val="single" w:color="auto" w:sz="4" w:space="0"/>
                  </w:tcBorders>
                  <w:vAlign w:val="center"/>
                </w:tcPr>
                <w:p>
                  <w:pPr>
                    <w:pStyle w:val="156"/>
                    <w:jc w:val="right"/>
                    <w:rPr>
                      <w:rFonts w:eastAsia="宋体"/>
                      <w:color w:val="auto"/>
                    </w:rPr>
                  </w:pPr>
                  <w:r>
                    <w:rPr>
                      <w:rFonts w:eastAsia="宋体"/>
                      <w:color w:val="auto"/>
                    </w:rPr>
                    <w:t>环评类别</w:t>
                  </w:r>
                </w:p>
                <w:p>
                  <w:pPr>
                    <w:pStyle w:val="156"/>
                    <w:jc w:val="left"/>
                    <w:rPr>
                      <w:rFonts w:eastAsia="宋体"/>
                      <w:color w:val="auto"/>
                    </w:rPr>
                  </w:pPr>
                  <w:r>
                    <w:rPr>
                      <w:rFonts w:eastAsia="宋体"/>
                      <w:color w:val="auto"/>
                    </w:rPr>
                    <w:t>项目类别</w:t>
                  </w:r>
                </w:p>
              </w:tc>
              <w:tc>
                <w:tcPr>
                  <w:tcW w:w="1730" w:type="dxa"/>
                  <w:vAlign w:val="center"/>
                </w:tcPr>
                <w:p>
                  <w:pPr>
                    <w:pStyle w:val="156"/>
                    <w:rPr>
                      <w:rFonts w:eastAsia="宋体"/>
                      <w:color w:val="auto"/>
                    </w:rPr>
                  </w:pPr>
                  <w:r>
                    <w:rPr>
                      <w:rFonts w:eastAsia="宋体"/>
                      <w:color w:val="auto"/>
                    </w:rPr>
                    <w:t>报告书</w:t>
                  </w:r>
                </w:p>
              </w:tc>
              <w:tc>
                <w:tcPr>
                  <w:tcW w:w="3703" w:type="dxa"/>
                  <w:shd w:val="clear" w:color="auto" w:fill="EEECE1"/>
                  <w:vAlign w:val="center"/>
                </w:tcPr>
                <w:p>
                  <w:pPr>
                    <w:pStyle w:val="156"/>
                    <w:rPr>
                      <w:rFonts w:eastAsia="宋体"/>
                      <w:color w:val="auto"/>
                    </w:rPr>
                  </w:pPr>
                  <w:r>
                    <w:rPr>
                      <w:rFonts w:eastAsia="宋体"/>
                      <w:color w:val="auto"/>
                    </w:rPr>
                    <w:t>报告表</w:t>
                  </w:r>
                </w:p>
              </w:tc>
              <w:tc>
                <w:tcPr>
                  <w:tcW w:w="985" w:type="dxa"/>
                  <w:tcBorders>
                    <w:tl2br w:val="nil"/>
                    <w:tr2bl w:val="nil"/>
                  </w:tcBorders>
                  <w:vAlign w:val="center"/>
                </w:tcPr>
                <w:p>
                  <w:pPr>
                    <w:pStyle w:val="156"/>
                    <w:rPr>
                      <w:rFonts w:eastAsia="宋体"/>
                      <w:color w:val="auto"/>
                    </w:rPr>
                  </w:pPr>
                  <w:r>
                    <w:rPr>
                      <w:rFonts w:eastAsia="宋体"/>
                      <w:color w:val="auto"/>
                    </w:rPr>
                    <w:t>登记表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04" w:type="dxa"/>
                  <w:gridSpan w:val="5"/>
                  <w:tcBorders>
                    <w:tl2br w:val="nil"/>
                    <w:tr2bl w:val="nil"/>
                  </w:tcBorders>
                  <w:shd w:val="clear" w:color="auto" w:fill="EEECE1"/>
                  <w:vAlign w:val="center"/>
                </w:tcPr>
                <w:p>
                  <w:pPr>
                    <w:pStyle w:val="156"/>
                    <w:jc w:val="both"/>
                    <w:rPr>
                      <w:rFonts w:eastAsia="宋体"/>
                      <w:color w:val="auto"/>
                    </w:rPr>
                  </w:pPr>
                  <w:r>
                    <w:rPr>
                      <w:rFonts w:eastAsia="宋体"/>
                      <w:color w:val="auto"/>
                    </w:rPr>
                    <w:t>二十、印刷和记录媒介复制业23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54" w:type="dxa"/>
                  <w:tcBorders>
                    <w:tl2br w:val="nil"/>
                    <w:tr2bl w:val="nil"/>
                  </w:tcBorders>
                  <w:vAlign w:val="center"/>
                </w:tcPr>
                <w:p>
                  <w:pPr>
                    <w:pStyle w:val="156"/>
                    <w:rPr>
                      <w:rFonts w:eastAsia="宋体"/>
                      <w:color w:val="auto"/>
                    </w:rPr>
                  </w:pPr>
                  <w:r>
                    <w:rPr>
                      <w:rFonts w:eastAsia="宋体"/>
                      <w:color w:val="auto"/>
                    </w:rPr>
                    <w:t>39</w:t>
                  </w:r>
                </w:p>
              </w:tc>
              <w:tc>
                <w:tcPr>
                  <w:tcW w:w="1532" w:type="dxa"/>
                  <w:tcBorders>
                    <w:tl2br w:val="nil"/>
                    <w:tr2bl w:val="nil"/>
                  </w:tcBorders>
                  <w:vAlign w:val="center"/>
                </w:tcPr>
                <w:p>
                  <w:pPr>
                    <w:pStyle w:val="156"/>
                    <w:rPr>
                      <w:rFonts w:eastAsia="宋体"/>
                      <w:color w:val="auto"/>
                    </w:rPr>
                  </w:pPr>
                  <w:r>
                    <w:rPr>
                      <w:rFonts w:eastAsia="宋体"/>
                      <w:color w:val="auto"/>
                    </w:rPr>
                    <w:t>印刷231*</w:t>
                  </w:r>
                </w:p>
              </w:tc>
              <w:tc>
                <w:tcPr>
                  <w:tcW w:w="1730" w:type="dxa"/>
                  <w:tcBorders>
                    <w:tl2br w:val="nil"/>
                    <w:tr2bl w:val="nil"/>
                  </w:tcBorders>
                  <w:vAlign w:val="center"/>
                </w:tcPr>
                <w:p>
                  <w:pPr>
                    <w:pStyle w:val="156"/>
                    <w:rPr>
                      <w:rFonts w:eastAsia="宋体"/>
                      <w:color w:val="auto"/>
                    </w:rPr>
                  </w:pPr>
                  <w:r>
                    <w:rPr>
                      <w:rFonts w:hint="eastAsia" w:eastAsia="宋体"/>
                      <w:color w:val="auto"/>
                    </w:rPr>
                    <w:t>年用溶剂油墨10吨及以上的</w:t>
                  </w:r>
                </w:p>
              </w:tc>
              <w:tc>
                <w:tcPr>
                  <w:tcW w:w="3703" w:type="dxa"/>
                  <w:tcBorders>
                    <w:tl2br w:val="nil"/>
                    <w:tr2bl w:val="nil"/>
                  </w:tcBorders>
                  <w:shd w:val="clear" w:color="auto" w:fill="EEECE1"/>
                  <w:vAlign w:val="center"/>
                </w:tcPr>
                <w:p>
                  <w:pPr>
                    <w:pStyle w:val="156"/>
                    <w:rPr>
                      <w:rFonts w:eastAsia="宋体"/>
                      <w:color w:val="auto"/>
                    </w:rPr>
                  </w:pPr>
                  <w:r>
                    <w:rPr>
                      <w:rFonts w:eastAsia="宋体"/>
                      <w:color w:val="auto"/>
                    </w:rPr>
                    <w:t>其他（激光印刷除外；年用低VOCs含量油墨10吨以下的印刷除外</w:t>
                  </w:r>
                </w:p>
              </w:tc>
              <w:tc>
                <w:tcPr>
                  <w:tcW w:w="985" w:type="dxa"/>
                  <w:tcBorders>
                    <w:tl2br w:val="nil"/>
                    <w:tr2bl w:val="nil"/>
                  </w:tcBorders>
                  <w:vAlign w:val="center"/>
                </w:tcPr>
                <w:p>
                  <w:pPr>
                    <w:pStyle w:val="156"/>
                    <w:rPr>
                      <w:rFonts w:eastAsia="宋体"/>
                      <w:color w:val="auto"/>
                    </w:rPr>
                  </w:pPr>
                  <w:r>
                    <w:rPr>
                      <w:rFonts w:eastAsia="宋体"/>
                      <w:color w:val="auto"/>
                    </w:rPr>
                    <w:t>/</w:t>
                  </w:r>
                </w:p>
              </w:tc>
            </w:tr>
          </w:tbl>
          <w:p>
            <w:pPr>
              <w:pStyle w:val="103"/>
              <w:ind w:left="0" w:leftChars="0" w:firstLine="468"/>
              <w:rPr>
                <w:color w:val="auto"/>
              </w:rPr>
            </w:pPr>
            <w:r>
              <w:rPr>
                <w:color w:val="auto"/>
                <w:spacing w:val="-3"/>
              </w:rPr>
              <w:t>因此，</w:t>
            </w:r>
            <w:r>
              <w:rPr>
                <w:rFonts w:hint="eastAsia"/>
                <w:color w:val="auto"/>
                <w:spacing w:val="-3"/>
              </w:rPr>
              <w:t>汇邦公司</w:t>
            </w:r>
            <w:r>
              <w:rPr>
                <w:color w:val="auto"/>
                <w:spacing w:val="-4"/>
              </w:rPr>
              <w:t>委托</w:t>
            </w:r>
            <w:r>
              <w:rPr>
                <w:rFonts w:hint="eastAsia"/>
                <w:color w:val="auto"/>
                <w:spacing w:val="-4"/>
              </w:rPr>
              <w:t>环评公司</w:t>
            </w:r>
            <w:r>
              <w:rPr>
                <w:color w:val="auto"/>
              </w:rPr>
              <w:t>编制《福建汇邦包装有限公司年产复合膜600吨及复合袋600吨生产项目</w:t>
            </w:r>
            <w:r>
              <w:rPr>
                <w:color w:val="auto"/>
                <w:spacing w:val="-1"/>
              </w:rPr>
              <w:t>环境影响报</w:t>
            </w:r>
            <w:r>
              <w:rPr>
                <w:color w:val="auto"/>
              </w:rPr>
              <w:t>告表》。</w:t>
            </w:r>
            <w:r>
              <w:rPr>
                <w:rFonts w:hint="eastAsia"/>
                <w:color w:val="auto"/>
                <w:spacing w:val="-4"/>
              </w:rPr>
              <w:t>环评公司</w:t>
            </w:r>
            <w:r>
              <w:rPr>
                <w:color w:val="auto"/>
              </w:rPr>
              <w:t>接受委托后</w:t>
            </w:r>
            <w:r>
              <w:rPr>
                <w:rFonts w:hint="eastAsia"/>
                <w:color w:val="auto"/>
              </w:rPr>
              <w:t>立即</w:t>
            </w:r>
            <w:r>
              <w:rPr>
                <w:color w:val="auto"/>
              </w:rPr>
              <w:t>派技术人员</w:t>
            </w:r>
            <w:r>
              <w:rPr>
                <w:rFonts w:hint="eastAsia"/>
                <w:color w:val="auto"/>
              </w:rPr>
              <w:t>进行</w:t>
            </w:r>
            <w:r>
              <w:rPr>
                <w:color w:val="auto"/>
              </w:rPr>
              <w:t>现场踏勘和</w:t>
            </w:r>
            <w:r>
              <w:rPr>
                <w:color w:val="auto"/>
                <w:spacing w:val="-1"/>
              </w:rPr>
              <w:t>收集有关资料，并依照</w:t>
            </w:r>
            <w:r>
              <w:rPr>
                <w:color w:val="auto"/>
              </w:rPr>
              <w:t>《中华人民共和国环境影响评价法》等有关规定编制成报告表，供建设单位报福</w:t>
            </w:r>
            <w:r>
              <w:rPr>
                <w:color w:val="auto"/>
                <w:spacing w:val="-1"/>
              </w:rPr>
              <w:t>州市长乐生态环境局审批。</w:t>
            </w:r>
          </w:p>
          <w:p>
            <w:pPr>
              <w:pStyle w:val="73"/>
              <w:rPr>
                <w:rFonts w:cs="Times New Roman"/>
                <w:color w:val="auto"/>
              </w:rPr>
            </w:pPr>
            <w:r>
              <w:rPr>
                <w:rFonts w:cs="Times New Roman"/>
                <w:color w:val="auto"/>
              </w:rPr>
              <w:t>2.2</w:t>
            </w:r>
            <w:r>
              <w:rPr>
                <w:rFonts w:hint="eastAsia" w:cs="Times New Roman"/>
                <w:color w:val="auto"/>
              </w:rPr>
              <w:t>扩建</w:t>
            </w:r>
            <w:r>
              <w:rPr>
                <w:rFonts w:cs="Times New Roman"/>
                <w:color w:val="auto"/>
              </w:rPr>
              <w:t>项目工程概况</w:t>
            </w:r>
          </w:p>
          <w:p>
            <w:pPr>
              <w:pStyle w:val="91"/>
              <w:rPr>
                <w:color w:val="auto"/>
              </w:rPr>
            </w:pPr>
            <w:r>
              <w:rPr>
                <w:color w:val="auto"/>
              </w:rPr>
              <w:t>（1）项目名称：年产复合膜600吨及复合袋600吨生产项目</w:t>
            </w:r>
          </w:p>
          <w:p>
            <w:pPr>
              <w:pStyle w:val="103"/>
              <w:spacing w:after="0"/>
              <w:ind w:left="0" w:leftChars="0" w:firstLine="480"/>
              <w:rPr>
                <w:color w:val="auto"/>
              </w:rPr>
            </w:pPr>
            <w:r>
              <w:rPr>
                <w:color w:val="auto"/>
              </w:rPr>
              <w:t>（2）建设单位：福建汇邦包装有限公司</w:t>
            </w:r>
          </w:p>
          <w:p>
            <w:pPr>
              <w:pStyle w:val="91"/>
              <w:rPr>
                <w:color w:val="auto"/>
              </w:rPr>
            </w:pPr>
            <w:r>
              <w:rPr>
                <w:color w:val="auto"/>
              </w:rPr>
              <w:t>（3）建设地点：福建省福州市长乐区漳港街道渡桥村</w:t>
            </w:r>
            <w:r>
              <w:rPr>
                <w:rFonts w:hint="eastAsia"/>
                <w:color w:val="auto"/>
              </w:rPr>
              <w:t>，</w:t>
            </w:r>
            <w:r>
              <w:rPr>
                <w:rFonts w:hint="eastAsia"/>
                <w:color w:val="auto"/>
                <w:szCs w:val="24"/>
              </w:rPr>
              <w:t>地理位置图见附图1。</w:t>
            </w:r>
          </w:p>
          <w:p>
            <w:pPr>
              <w:pStyle w:val="91"/>
              <w:rPr>
                <w:color w:val="auto"/>
              </w:rPr>
            </w:pPr>
            <w:r>
              <w:rPr>
                <w:color w:val="auto"/>
              </w:rPr>
              <w:t>（4）总投资：</w:t>
            </w:r>
            <w:r>
              <w:rPr>
                <w:rFonts w:hint="eastAsia"/>
                <w:color w:val="auto"/>
              </w:rPr>
              <w:t>2000</w:t>
            </w:r>
            <w:r>
              <w:rPr>
                <w:color w:val="auto"/>
              </w:rPr>
              <w:t>万元</w:t>
            </w:r>
          </w:p>
          <w:p>
            <w:pPr>
              <w:pStyle w:val="91"/>
              <w:rPr>
                <w:color w:val="auto"/>
              </w:rPr>
            </w:pPr>
            <w:r>
              <w:rPr>
                <w:color w:val="auto"/>
              </w:rPr>
              <w:t>（5）</w:t>
            </w:r>
            <w:r>
              <w:rPr>
                <w:rFonts w:hint="eastAsia"/>
                <w:color w:val="auto"/>
              </w:rPr>
              <w:t>性质：扩建</w:t>
            </w:r>
          </w:p>
          <w:p>
            <w:pPr>
              <w:pStyle w:val="122"/>
              <w:ind w:firstLine="480"/>
              <w:rPr>
                <w:b/>
                <w:bCs w:val="0"/>
                <w:color w:val="auto"/>
              </w:rPr>
            </w:pPr>
            <w:r>
              <w:rPr>
                <w:color w:val="auto"/>
              </w:rPr>
              <w:t>（</w:t>
            </w:r>
            <w:r>
              <w:rPr>
                <w:rFonts w:hint="eastAsia"/>
                <w:color w:val="auto"/>
              </w:rPr>
              <w:t>6</w:t>
            </w:r>
            <w:r>
              <w:rPr>
                <w:color w:val="auto"/>
              </w:rPr>
              <w:t>）工程规模：</w:t>
            </w:r>
            <w:r>
              <w:rPr>
                <w:rFonts w:hint="eastAsia"/>
                <w:color w:val="auto"/>
              </w:rPr>
              <w:t>选址于</w:t>
            </w:r>
            <w:r>
              <w:rPr>
                <w:color w:val="auto"/>
              </w:rPr>
              <w:t>福建省福州市长乐区漳港街道渡桥村（租赁福州市长乐区力驰针纺有限公司厂房面积10000m</w:t>
            </w:r>
            <w:r>
              <w:rPr>
                <w:color w:val="auto"/>
                <w:vertAlign w:val="superscript"/>
              </w:rPr>
              <w:t>2</w:t>
            </w:r>
            <w:r>
              <w:rPr>
                <w:color w:val="auto"/>
              </w:rPr>
              <w:t>）</w:t>
            </w:r>
            <w:r>
              <w:rPr>
                <w:rFonts w:hint="eastAsia"/>
                <w:color w:val="auto"/>
              </w:rPr>
              <w:t>建设年产复合膜450吨及复合袋450吨生产线并配套相关设备设施。</w:t>
            </w:r>
          </w:p>
          <w:p>
            <w:pPr>
              <w:pStyle w:val="91"/>
              <w:rPr>
                <w:color w:val="auto"/>
              </w:rPr>
            </w:pPr>
            <w:r>
              <w:rPr>
                <w:color w:val="auto"/>
              </w:rPr>
              <w:t>（</w:t>
            </w:r>
            <w:r>
              <w:rPr>
                <w:rFonts w:hint="eastAsia"/>
                <w:color w:val="auto"/>
              </w:rPr>
              <w:t>7</w:t>
            </w:r>
            <w:r>
              <w:rPr>
                <w:color w:val="auto"/>
              </w:rPr>
              <w:t>）生产规模：</w:t>
            </w:r>
            <w:r>
              <w:rPr>
                <w:rFonts w:hint="eastAsia"/>
                <w:bCs/>
                <w:color w:val="auto"/>
              </w:rPr>
              <w:t>年产复合膜450吨及复合袋450吨</w:t>
            </w:r>
          </w:p>
          <w:p>
            <w:pPr>
              <w:pStyle w:val="91"/>
              <w:rPr>
                <w:color w:val="auto"/>
              </w:rPr>
            </w:pPr>
            <w:r>
              <w:rPr>
                <w:color w:val="auto"/>
              </w:rPr>
              <w:t>（</w:t>
            </w:r>
            <w:r>
              <w:rPr>
                <w:rFonts w:hint="eastAsia"/>
                <w:color w:val="auto"/>
              </w:rPr>
              <w:t>8</w:t>
            </w:r>
            <w:r>
              <w:rPr>
                <w:color w:val="auto"/>
              </w:rPr>
              <w:t>）生产定员：</w:t>
            </w:r>
            <w:r>
              <w:rPr>
                <w:rFonts w:hint="eastAsia"/>
                <w:color w:val="auto"/>
              </w:rPr>
              <w:t>60人，全部住厂（依托</w:t>
            </w:r>
            <w:r>
              <w:rPr>
                <w:bCs/>
                <w:color w:val="auto"/>
              </w:rPr>
              <w:t>福州市长乐区力驰针纺有限公司</w:t>
            </w:r>
            <w:r>
              <w:rPr>
                <w:rFonts w:hint="eastAsia"/>
                <w:bCs/>
                <w:color w:val="auto"/>
              </w:rPr>
              <w:t>的宿舍楼，</w:t>
            </w:r>
            <w:r>
              <w:rPr>
                <w:rFonts w:hint="eastAsia"/>
                <w:color w:val="auto"/>
              </w:rPr>
              <w:t>不设食堂）</w:t>
            </w:r>
          </w:p>
          <w:p>
            <w:pPr>
              <w:pStyle w:val="48"/>
              <w:ind w:firstLine="480"/>
              <w:rPr>
                <w:color w:val="auto"/>
              </w:rPr>
            </w:pPr>
            <w:r>
              <w:rPr>
                <w:color w:val="auto"/>
              </w:rPr>
              <w:t>（</w:t>
            </w:r>
            <w:r>
              <w:rPr>
                <w:rFonts w:hint="eastAsia"/>
                <w:color w:val="auto"/>
              </w:rPr>
              <w:t>9</w:t>
            </w:r>
            <w:r>
              <w:rPr>
                <w:color w:val="auto"/>
              </w:rPr>
              <w:t>）工作制度：</w:t>
            </w:r>
            <w:r>
              <w:rPr>
                <w:rFonts w:hint="eastAsia"/>
                <w:color w:val="auto"/>
              </w:rPr>
              <w:t>每天一班制</w:t>
            </w:r>
            <w:r>
              <w:rPr>
                <w:color w:val="auto"/>
              </w:rPr>
              <w:t>，每班8小时</w:t>
            </w:r>
            <w:r>
              <w:rPr>
                <w:rFonts w:hint="eastAsia"/>
                <w:color w:val="auto"/>
              </w:rPr>
              <w:t>（白天）</w:t>
            </w:r>
            <w:r>
              <w:rPr>
                <w:color w:val="auto"/>
              </w:rPr>
              <w:t>，年工作</w:t>
            </w:r>
            <w:r>
              <w:rPr>
                <w:rFonts w:hint="eastAsia"/>
                <w:color w:val="auto"/>
              </w:rPr>
              <w:t>30</w:t>
            </w:r>
            <w:r>
              <w:rPr>
                <w:color w:val="auto"/>
              </w:rPr>
              <w:t>0天</w:t>
            </w:r>
          </w:p>
          <w:p>
            <w:pPr>
              <w:pStyle w:val="73"/>
              <w:outlineLvl w:val="9"/>
              <w:rPr>
                <w:rFonts w:cs="Times New Roman"/>
                <w:color w:val="auto"/>
              </w:rPr>
            </w:pPr>
            <w:r>
              <w:rPr>
                <w:rFonts w:cs="Times New Roman"/>
                <w:color w:val="auto"/>
              </w:rPr>
              <w:t>2.3</w:t>
            </w:r>
            <w:r>
              <w:rPr>
                <w:rFonts w:hint="eastAsia" w:cs="Times New Roman"/>
                <w:color w:val="auto"/>
              </w:rPr>
              <w:t>扩建</w:t>
            </w:r>
            <w:r>
              <w:rPr>
                <w:rFonts w:cs="Times New Roman"/>
                <w:color w:val="auto"/>
              </w:rPr>
              <w:t>项目主要建设内容</w:t>
            </w:r>
          </w:p>
          <w:p>
            <w:pPr>
              <w:pStyle w:val="48"/>
              <w:ind w:firstLine="480"/>
              <w:rPr>
                <w:color w:val="auto"/>
              </w:rPr>
            </w:pPr>
            <w:r>
              <w:rPr>
                <w:rFonts w:hint="eastAsia"/>
                <w:bCs/>
                <w:color w:val="auto"/>
              </w:rPr>
              <w:t>扩建</w:t>
            </w:r>
            <w:r>
              <w:rPr>
                <w:bCs/>
                <w:color w:val="auto"/>
              </w:rPr>
              <w:t>项目</w:t>
            </w:r>
            <w:r>
              <w:rPr>
                <w:rFonts w:hint="eastAsia"/>
                <w:bCs/>
                <w:color w:val="auto"/>
              </w:rPr>
              <w:t>与现有项目</w:t>
            </w:r>
            <w:r>
              <w:rPr>
                <w:bCs/>
                <w:color w:val="auto"/>
              </w:rPr>
              <w:t>建设地点</w:t>
            </w:r>
            <w:r>
              <w:rPr>
                <w:rFonts w:hint="eastAsia"/>
                <w:bCs/>
                <w:color w:val="auto"/>
              </w:rPr>
              <w:t>不一致，扩建项目选址于福建省福州市长乐区漳港街道渡桥村，租赁福州市长乐区力驰针纺有限公司厂房面积10000m</w:t>
            </w:r>
            <w:r>
              <w:rPr>
                <w:rFonts w:hint="eastAsia"/>
                <w:bCs/>
                <w:color w:val="auto"/>
                <w:vertAlign w:val="superscript"/>
              </w:rPr>
              <w:t>2</w:t>
            </w:r>
            <w:r>
              <w:rPr>
                <w:rFonts w:hint="eastAsia"/>
                <w:bCs/>
                <w:color w:val="auto"/>
              </w:rPr>
              <w:t>建设年产复合膜450吨及复合袋450吨生产线并配套相关设备设施。扩建</w:t>
            </w:r>
            <w:r>
              <w:rPr>
                <w:rFonts w:hint="eastAsia"/>
                <w:color w:val="auto"/>
              </w:rPr>
              <w:t>项目包括主体工程、公用工程、环保工程等，扩建项目主要建设内容一览表见</w:t>
            </w:r>
            <w:r>
              <w:rPr>
                <w:rFonts w:hint="eastAsia"/>
                <w:b/>
                <w:bCs/>
                <w:color w:val="auto"/>
              </w:rPr>
              <w:t>表2.3-1</w:t>
            </w:r>
            <w:r>
              <w:rPr>
                <w:rFonts w:hint="eastAsia"/>
                <w:color w:val="auto"/>
              </w:rPr>
              <w:t>。扩建项目厂区各层平面布置图见</w:t>
            </w:r>
            <w:r>
              <w:rPr>
                <w:rFonts w:hint="eastAsia"/>
                <w:b/>
                <w:bCs/>
                <w:color w:val="auto"/>
              </w:rPr>
              <w:t>附图4</w:t>
            </w:r>
            <w:r>
              <w:rPr>
                <w:rFonts w:hint="eastAsia"/>
                <w:color w:val="auto"/>
              </w:rPr>
              <w:t>。</w:t>
            </w:r>
          </w:p>
          <w:p>
            <w:pPr>
              <w:pStyle w:val="48"/>
              <w:spacing w:line="240" w:lineRule="auto"/>
              <w:ind w:firstLine="0" w:firstLineChars="0"/>
              <w:jc w:val="center"/>
              <w:rPr>
                <w:bCs/>
                <w:color w:val="auto"/>
              </w:rPr>
            </w:pPr>
            <w:r>
              <w:rPr>
                <w:b/>
                <w:bCs/>
                <w:color w:val="auto"/>
              </w:rPr>
              <w:t>表2.</w:t>
            </w:r>
            <w:r>
              <w:rPr>
                <w:rFonts w:hint="eastAsia"/>
                <w:b/>
                <w:bCs/>
                <w:color w:val="auto"/>
              </w:rPr>
              <w:t>3</w:t>
            </w:r>
            <w:r>
              <w:rPr>
                <w:b/>
                <w:bCs/>
                <w:color w:val="auto"/>
              </w:rPr>
              <w:t>-1</w:t>
            </w:r>
            <w:r>
              <w:rPr>
                <w:rFonts w:hint="eastAsia"/>
                <w:b/>
                <w:bCs/>
                <w:color w:val="auto"/>
              </w:rPr>
              <w:t xml:space="preserve">  扩建项目</w:t>
            </w:r>
            <w:r>
              <w:rPr>
                <w:b/>
                <w:bCs/>
                <w:color w:val="auto"/>
              </w:rPr>
              <w:t>主要建设内容一览表</w:t>
            </w:r>
          </w:p>
          <w:tbl>
            <w:tblPr>
              <w:tblStyle w:val="36"/>
              <w:tblW w:w="8504" w:type="dxa"/>
              <w:jc w:val="center"/>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Layout w:type="fixed"/>
              <w:tblCellMar>
                <w:top w:w="0" w:type="dxa"/>
                <w:left w:w="0" w:type="dxa"/>
                <w:bottom w:w="0" w:type="dxa"/>
                <w:right w:w="0" w:type="dxa"/>
              </w:tblCellMar>
            </w:tblPr>
            <w:tblGrid>
              <w:gridCol w:w="1122"/>
              <w:gridCol w:w="971"/>
              <w:gridCol w:w="1979"/>
              <w:gridCol w:w="4432"/>
            </w:tblGrid>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PrEx>
              <w:trPr>
                <w:trHeight w:val="290" w:hRule="atLeast"/>
                <w:jc w:val="center"/>
              </w:trPr>
              <w:tc>
                <w:tcPr>
                  <w:tcW w:w="1122" w:type="dxa"/>
                  <w:tcMar>
                    <w:top w:w="15" w:type="dxa"/>
                    <w:left w:w="108" w:type="dxa"/>
                    <w:bottom w:w="0" w:type="dxa"/>
                    <w:right w:w="108" w:type="dxa"/>
                  </w:tcMar>
                  <w:vAlign w:val="center"/>
                </w:tcPr>
                <w:p>
                  <w:pPr>
                    <w:jc w:val="center"/>
                    <w:rPr>
                      <w:bCs/>
                      <w:color w:val="auto"/>
                      <w:szCs w:val="21"/>
                    </w:rPr>
                  </w:pPr>
                  <w:r>
                    <w:rPr>
                      <w:bCs/>
                      <w:color w:val="auto"/>
                      <w:szCs w:val="21"/>
                    </w:rPr>
                    <w:t>工程类别</w:t>
                  </w:r>
                </w:p>
              </w:tc>
              <w:tc>
                <w:tcPr>
                  <w:tcW w:w="2950" w:type="dxa"/>
                  <w:gridSpan w:val="2"/>
                  <w:tcMar>
                    <w:top w:w="15" w:type="dxa"/>
                    <w:left w:w="108" w:type="dxa"/>
                    <w:bottom w:w="0" w:type="dxa"/>
                    <w:right w:w="108" w:type="dxa"/>
                  </w:tcMar>
                  <w:vAlign w:val="center"/>
                </w:tcPr>
                <w:p>
                  <w:pPr>
                    <w:jc w:val="center"/>
                    <w:rPr>
                      <w:bCs/>
                      <w:color w:val="auto"/>
                      <w:szCs w:val="21"/>
                    </w:rPr>
                  </w:pPr>
                  <w:r>
                    <w:rPr>
                      <w:bCs/>
                      <w:color w:val="auto"/>
                      <w:szCs w:val="21"/>
                    </w:rPr>
                    <w:t>工程建设内容</w:t>
                  </w:r>
                </w:p>
              </w:tc>
              <w:tc>
                <w:tcPr>
                  <w:tcW w:w="4432" w:type="dxa"/>
                  <w:tcMar>
                    <w:top w:w="15" w:type="dxa"/>
                    <w:left w:w="108" w:type="dxa"/>
                    <w:bottom w:w="0" w:type="dxa"/>
                    <w:right w:w="108" w:type="dxa"/>
                  </w:tcMar>
                  <w:vAlign w:val="center"/>
                </w:tcPr>
                <w:p>
                  <w:pPr>
                    <w:jc w:val="center"/>
                    <w:rPr>
                      <w:bCs/>
                      <w:color w:val="auto"/>
                      <w:szCs w:val="21"/>
                    </w:rPr>
                  </w:pPr>
                  <w:r>
                    <w:rPr>
                      <w:bCs/>
                      <w:color w:val="auto"/>
                      <w:szCs w:val="21"/>
                    </w:rPr>
                    <w:t>备注</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restart"/>
                  <w:tcMar>
                    <w:top w:w="15" w:type="dxa"/>
                    <w:left w:w="108" w:type="dxa"/>
                    <w:bottom w:w="0" w:type="dxa"/>
                    <w:right w:w="108" w:type="dxa"/>
                  </w:tcMar>
                  <w:vAlign w:val="center"/>
                </w:tcPr>
                <w:p>
                  <w:pPr>
                    <w:jc w:val="center"/>
                    <w:rPr>
                      <w:bCs/>
                      <w:color w:val="auto"/>
                      <w:szCs w:val="21"/>
                    </w:rPr>
                  </w:pPr>
                  <w:r>
                    <w:rPr>
                      <w:bCs/>
                      <w:color w:val="auto"/>
                      <w:szCs w:val="21"/>
                    </w:rPr>
                    <w:t>主体工程</w:t>
                  </w:r>
                </w:p>
              </w:tc>
              <w:tc>
                <w:tcPr>
                  <w:tcW w:w="2950" w:type="dxa"/>
                  <w:gridSpan w:val="2"/>
                  <w:vAlign w:val="center"/>
                </w:tcPr>
                <w:p>
                  <w:pPr>
                    <w:jc w:val="center"/>
                    <w:rPr>
                      <w:bCs/>
                      <w:color w:val="auto"/>
                      <w:szCs w:val="21"/>
                    </w:rPr>
                  </w:pPr>
                  <w:r>
                    <w:rPr>
                      <w:rFonts w:hint="eastAsia"/>
                      <w:bCs/>
                      <w:color w:val="auto"/>
                      <w:szCs w:val="21"/>
                    </w:rPr>
                    <w:t>厂房一楼</w:t>
                  </w:r>
                </w:p>
              </w:tc>
              <w:tc>
                <w:tcPr>
                  <w:tcW w:w="4432" w:type="dxa"/>
                  <w:tcMar>
                    <w:top w:w="15" w:type="dxa"/>
                    <w:left w:w="108" w:type="dxa"/>
                    <w:bottom w:w="0" w:type="dxa"/>
                    <w:right w:w="108" w:type="dxa"/>
                  </w:tcMar>
                  <w:vAlign w:val="center"/>
                </w:tcPr>
                <w:p>
                  <w:pPr>
                    <w:jc w:val="center"/>
                    <w:rPr>
                      <w:bCs/>
                      <w:color w:val="auto"/>
                      <w:szCs w:val="21"/>
                    </w:rPr>
                  </w:pPr>
                  <w:r>
                    <w:rPr>
                      <w:rFonts w:hint="eastAsia"/>
                      <w:bCs/>
                      <w:color w:val="auto"/>
                      <w:szCs w:val="21"/>
                    </w:rPr>
                    <w:t>主要包含配电井、印刷机、复合机、</w:t>
                  </w:r>
                  <w:r>
                    <w:rPr>
                      <w:rFonts w:hint="eastAsia"/>
                      <w:bCs/>
                      <w:color w:val="auto"/>
                      <w:szCs w:val="21"/>
                      <w:highlight w:val="none"/>
                    </w:rPr>
                    <w:t>熟化</w:t>
                  </w:r>
                  <w:r>
                    <w:rPr>
                      <w:rFonts w:hint="eastAsia"/>
                      <w:bCs/>
                      <w:color w:val="auto"/>
                      <w:szCs w:val="21"/>
                      <w:highlight w:val="none"/>
                      <w:lang w:val="en-US" w:eastAsia="zh-CN"/>
                    </w:rPr>
                    <w:t>箱</w:t>
                  </w:r>
                  <w:r>
                    <w:rPr>
                      <w:rFonts w:hint="eastAsia"/>
                      <w:bCs/>
                      <w:color w:val="auto"/>
                      <w:szCs w:val="21"/>
                    </w:rPr>
                    <w:t>、</w:t>
                  </w:r>
                  <w:r>
                    <w:rPr>
                      <w:rFonts w:hint="eastAsia"/>
                      <w:bCs/>
                      <w:color w:val="auto"/>
                      <w:szCs w:val="21"/>
                      <w:highlight w:val="none"/>
                      <w:lang w:val="en-US" w:eastAsia="zh-CN"/>
                    </w:rPr>
                    <w:t>品检机</w:t>
                  </w:r>
                  <w:r>
                    <w:rPr>
                      <w:rFonts w:hint="eastAsia"/>
                      <w:bCs/>
                      <w:color w:val="auto"/>
                      <w:szCs w:val="21"/>
                      <w:highlight w:val="none"/>
                    </w:rPr>
                    <w:t>、</w:t>
                  </w:r>
                  <w:r>
                    <w:rPr>
                      <w:rFonts w:hint="eastAsia"/>
                      <w:bCs/>
                      <w:color w:val="auto"/>
                      <w:szCs w:val="21"/>
                    </w:rPr>
                    <w:t>溶剂房、危废仓库、一般工业固废仓库、卫生间</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122" w:type="dxa"/>
                  <w:vMerge w:val="continue"/>
                  <w:tcMar>
                    <w:top w:w="15" w:type="dxa"/>
                    <w:left w:w="108" w:type="dxa"/>
                    <w:bottom w:w="0" w:type="dxa"/>
                    <w:right w:w="108" w:type="dxa"/>
                  </w:tcMar>
                  <w:vAlign w:val="center"/>
                </w:tcPr>
                <w:p>
                  <w:pPr>
                    <w:jc w:val="center"/>
                    <w:rPr>
                      <w:bCs/>
                      <w:color w:val="auto"/>
                      <w:szCs w:val="21"/>
                      <w:highlight w:val="yellow"/>
                    </w:rPr>
                  </w:pPr>
                </w:p>
              </w:tc>
              <w:tc>
                <w:tcPr>
                  <w:tcW w:w="2950" w:type="dxa"/>
                  <w:gridSpan w:val="2"/>
                  <w:vAlign w:val="center"/>
                </w:tcPr>
                <w:p>
                  <w:pPr>
                    <w:jc w:val="center"/>
                    <w:rPr>
                      <w:bCs/>
                      <w:color w:val="auto"/>
                      <w:szCs w:val="21"/>
                    </w:rPr>
                  </w:pPr>
                  <w:r>
                    <w:rPr>
                      <w:rFonts w:hint="eastAsia"/>
                      <w:bCs/>
                      <w:color w:val="auto"/>
                      <w:szCs w:val="21"/>
                    </w:rPr>
                    <w:t>厂房二楼</w:t>
                  </w:r>
                </w:p>
              </w:tc>
              <w:tc>
                <w:tcPr>
                  <w:tcW w:w="4432" w:type="dxa"/>
                  <w:tcMar>
                    <w:top w:w="15" w:type="dxa"/>
                    <w:left w:w="108" w:type="dxa"/>
                    <w:bottom w:w="0" w:type="dxa"/>
                    <w:right w:w="108" w:type="dxa"/>
                  </w:tcMar>
                  <w:vAlign w:val="center"/>
                </w:tcPr>
                <w:p>
                  <w:pPr>
                    <w:jc w:val="center"/>
                    <w:rPr>
                      <w:bCs/>
                      <w:color w:val="auto"/>
                      <w:szCs w:val="21"/>
                    </w:rPr>
                  </w:pPr>
                  <w:r>
                    <w:rPr>
                      <w:rFonts w:hint="eastAsia"/>
                      <w:bCs/>
                      <w:color w:val="auto"/>
                      <w:szCs w:val="21"/>
                    </w:rPr>
                    <w:t>主要包含配电井、制袋机、合掌机、品检机、检测中心、卫生间</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continue"/>
                  <w:tcMar>
                    <w:top w:w="15" w:type="dxa"/>
                    <w:left w:w="108" w:type="dxa"/>
                    <w:bottom w:w="0" w:type="dxa"/>
                    <w:right w:w="108" w:type="dxa"/>
                  </w:tcMar>
                  <w:vAlign w:val="center"/>
                </w:tcPr>
                <w:p>
                  <w:pPr>
                    <w:jc w:val="center"/>
                    <w:rPr>
                      <w:bCs/>
                      <w:color w:val="auto"/>
                      <w:szCs w:val="21"/>
                      <w:highlight w:val="yellow"/>
                    </w:rPr>
                  </w:pPr>
                </w:p>
              </w:tc>
              <w:tc>
                <w:tcPr>
                  <w:tcW w:w="2950" w:type="dxa"/>
                  <w:gridSpan w:val="2"/>
                  <w:vAlign w:val="center"/>
                </w:tcPr>
                <w:p>
                  <w:pPr>
                    <w:jc w:val="center"/>
                    <w:rPr>
                      <w:bCs/>
                      <w:color w:val="auto"/>
                      <w:szCs w:val="21"/>
                    </w:rPr>
                  </w:pPr>
                  <w:r>
                    <w:rPr>
                      <w:rFonts w:hint="eastAsia"/>
                      <w:bCs/>
                      <w:color w:val="auto"/>
                      <w:szCs w:val="21"/>
                    </w:rPr>
                    <w:t>厂房三楼</w:t>
                  </w:r>
                </w:p>
              </w:tc>
              <w:tc>
                <w:tcPr>
                  <w:tcW w:w="4432" w:type="dxa"/>
                  <w:tcMar>
                    <w:top w:w="15" w:type="dxa"/>
                    <w:left w:w="108" w:type="dxa"/>
                    <w:bottom w:w="0" w:type="dxa"/>
                    <w:right w:w="108" w:type="dxa"/>
                  </w:tcMar>
                  <w:vAlign w:val="center"/>
                </w:tcPr>
                <w:p>
                  <w:pPr>
                    <w:jc w:val="center"/>
                    <w:rPr>
                      <w:bCs/>
                      <w:color w:val="auto"/>
                      <w:szCs w:val="21"/>
                      <w:highlight w:val="yellow"/>
                    </w:rPr>
                  </w:pPr>
                  <w:r>
                    <w:rPr>
                      <w:rFonts w:hint="eastAsia"/>
                      <w:bCs/>
                      <w:color w:val="auto"/>
                      <w:szCs w:val="21"/>
                    </w:rPr>
                    <w:t>主要包含配电井、原料仓库、油墨仓库、胶水仓库、恒温仓库、BOPA仓库、卫生间</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continue"/>
                  <w:tcMar>
                    <w:top w:w="15" w:type="dxa"/>
                    <w:left w:w="108" w:type="dxa"/>
                    <w:bottom w:w="0" w:type="dxa"/>
                    <w:right w:w="108" w:type="dxa"/>
                  </w:tcMar>
                  <w:vAlign w:val="center"/>
                </w:tcPr>
                <w:p>
                  <w:pPr>
                    <w:jc w:val="center"/>
                    <w:rPr>
                      <w:bCs/>
                      <w:color w:val="auto"/>
                      <w:szCs w:val="21"/>
                      <w:highlight w:val="yellow"/>
                    </w:rPr>
                  </w:pPr>
                </w:p>
              </w:tc>
              <w:tc>
                <w:tcPr>
                  <w:tcW w:w="2950" w:type="dxa"/>
                  <w:gridSpan w:val="2"/>
                  <w:vAlign w:val="center"/>
                </w:tcPr>
                <w:p>
                  <w:pPr>
                    <w:jc w:val="center"/>
                    <w:rPr>
                      <w:bCs/>
                      <w:color w:val="auto"/>
                      <w:szCs w:val="21"/>
                    </w:rPr>
                  </w:pPr>
                  <w:r>
                    <w:rPr>
                      <w:rFonts w:hint="eastAsia"/>
                      <w:bCs/>
                      <w:color w:val="auto"/>
                      <w:szCs w:val="21"/>
                    </w:rPr>
                    <w:t>厂房四楼</w:t>
                  </w:r>
                </w:p>
              </w:tc>
              <w:tc>
                <w:tcPr>
                  <w:tcW w:w="4432" w:type="dxa"/>
                  <w:tcMar>
                    <w:top w:w="15" w:type="dxa"/>
                    <w:left w:w="108" w:type="dxa"/>
                    <w:bottom w:w="0" w:type="dxa"/>
                    <w:right w:w="108" w:type="dxa"/>
                  </w:tcMar>
                  <w:vAlign w:val="center"/>
                </w:tcPr>
                <w:p>
                  <w:pPr>
                    <w:jc w:val="center"/>
                    <w:rPr>
                      <w:bCs/>
                      <w:color w:val="auto"/>
                      <w:szCs w:val="21"/>
                    </w:rPr>
                  </w:pPr>
                  <w:r>
                    <w:rPr>
                      <w:rFonts w:hint="eastAsia"/>
                      <w:bCs/>
                      <w:color w:val="auto"/>
                      <w:szCs w:val="21"/>
                    </w:rPr>
                    <w:t>主要包含配电井、版辊仓库、办公区、卫生间</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restart"/>
                  <w:vAlign w:val="center"/>
                </w:tcPr>
                <w:p>
                  <w:pPr>
                    <w:jc w:val="center"/>
                    <w:rPr>
                      <w:bCs/>
                      <w:color w:val="auto"/>
                      <w:szCs w:val="21"/>
                    </w:rPr>
                  </w:pPr>
                  <w:r>
                    <w:rPr>
                      <w:bCs/>
                      <w:color w:val="auto"/>
                      <w:szCs w:val="21"/>
                    </w:rPr>
                    <w:t>公用工程</w:t>
                  </w:r>
                </w:p>
              </w:tc>
              <w:tc>
                <w:tcPr>
                  <w:tcW w:w="2950" w:type="dxa"/>
                  <w:gridSpan w:val="2"/>
                  <w:tcMar>
                    <w:top w:w="15" w:type="dxa"/>
                    <w:left w:w="108" w:type="dxa"/>
                    <w:bottom w:w="0" w:type="dxa"/>
                    <w:right w:w="108" w:type="dxa"/>
                  </w:tcMar>
                  <w:vAlign w:val="center"/>
                </w:tcPr>
                <w:p>
                  <w:pPr>
                    <w:jc w:val="center"/>
                    <w:rPr>
                      <w:bCs/>
                      <w:color w:val="auto"/>
                      <w:szCs w:val="21"/>
                    </w:rPr>
                  </w:pPr>
                  <w:r>
                    <w:rPr>
                      <w:bCs/>
                      <w:color w:val="auto"/>
                      <w:szCs w:val="21"/>
                    </w:rPr>
                    <w:t>供水系统</w:t>
                  </w:r>
                </w:p>
              </w:tc>
              <w:tc>
                <w:tcPr>
                  <w:tcW w:w="4432" w:type="dxa"/>
                  <w:tcMar>
                    <w:top w:w="15" w:type="dxa"/>
                    <w:left w:w="108" w:type="dxa"/>
                    <w:bottom w:w="0" w:type="dxa"/>
                    <w:right w:w="108" w:type="dxa"/>
                  </w:tcMar>
                  <w:vAlign w:val="center"/>
                </w:tcPr>
                <w:p>
                  <w:pPr>
                    <w:jc w:val="center"/>
                    <w:rPr>
                      <w:bCs/>
                      <w:color w:val="auto"/>
                      <w:szCs w:val="21"/>
                    </w:rPr>
                  </w:pPr>
                  <w:r>
                    <w:rPr>
                      <w:rFonts w:hint="eastAsia"/>
                      <w:bCs/>
                      <w:color w:val="auto"/>
                      <w:szCs w:val="21"/>
                    </w:rPr>
                    <w:t>市政自来水管网供水</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continue"/>
                  <w:vAlign w:val="center"/>
                </w:tcPr>
                <w:p>
                  <w:pPr>
                    <w:jc w:val="center"/>
                    <w:rPr>
                      <w:bCs/>
                      <w:color w:val="auto"/>
                      <w:szCs w:val="21"/>
                    </w:rPr>
                  </w:pPr>
                </w:p>
              </w:tc>
              <w:tc>
                <w:tcPr>
                  <w:tcW w:w="2950" w:type="dxa"/>
                  <w:gridSpan w:val="2"/>
                  <w:tcMar>
                    <w:top w:w="15" w:type="dxa"/>
                    <w:left w:w="108" w:type="dxa"/>
                    <w:bottom w:w="0" w:type="dxa"/>
                    <w:right w:w="108" w:type="dxa"/>
                  </w:tcMar>
                  <w:vAlign w:val="center"/>
                </w:tcPr>
                <w:p>
                  <w:pPr>
                    <w:jc w:val="center"/>
                    <w:rPr>
                      <w:bCs/>
                      <w:color w:val="auto"/>
                      <w:szCs w:val="21"/>
                    </w:rPr>
                  </w:pPr>
                  <w:r>
                    <w:rPr>
                      <w:rFonts w:hint="eastAsia"/>
                      <w:bCs/>
                      <w:color w:val="auto"/>
                      <w:szCs w:val="21"/>
                    </w:rPr>
                    <w:t>排水系统</w:t>
                  </w:r>
                </w:p>
              </w:tc>
              <w:tc>
                <w:tcPr>
                  <w:tcW w:w="4432" w:type="dxa"/>
                  <w:tcMar>
                    <w:top w:w="15" w:type="dxa"/>
                    <w:left w:w="108" w:type="dxa"/>
                    <w:bottom w:w="0" w:type="dxa"/>
                    <w:right w:w="108" w:type="dxa"/>
                  </w:tcMar>
                  <w:vAlign w:val="center"/>
                </w:tcPr>
                <w:p>
                  <w:pPr>
                    <w:jc w:val="center"/>
                    <w:rPr>
                      <w:bCs/>
                      <w:color w:val="auto"/>
                      <w:szCs w:val="21"/>
                    </w:rPr>
                  </w:pPr>
                  <w:r>
                    <w:rPr>
                      <w:rFonts w:hint="eastAsia"/>
                      <w:bCs/>
                      <w:color w:val="auto"/>
                      <w:szCs w:val="21"/>
                    </w:rPr>
                    <w:t>设置雨污分流系统，雨水经雨水管/沟收集后接入市政雨水管网；生活污水经化粪池处理后接入市政污水管网，排入</w:t>
                  </w:r>
                  <w:r>
                    <w:rPr>
                      <w:rFonts w:hint="eastAsia"/>
                      <w:color w:val="auto"/>
                      <w:szCs w:val="21"/>
                    </w:rPr>
                    <w:t>长乐区</w:t>
                  </w:r>
                  <w:r>
                    <w:rPr>
                      <w:rFonts w:hint="eastAsia"/>
                      <w:color w:val="auto"/>
                      <w:szCs w:val="21"/>
                      <w:lang w:val="en-US" w:eastAsia="zh-CN"/>
                    </w:rPr>
                    <w:t>滨海</w:t>
                  </w:r>
                  <w:r>
                    <w:rPr>
                      <w:rFonts w:hint="eastAsia"/>
                      <w:color w:val="auto"/>
                      <w:szCs w:val="21"/>
                    </w:rPr>
                    <w:t>污水处理厂深度处理</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continue"/>
                  <w:vAlign w:val="center"/>
                </w:tcPr>
                <w:p>
                  <w:pPr>
                    <w:jc w:val="center"/>
                    <w:rPr>
                      <w:bCs/>
                      <w:color w:val="auto"/>
                      <w:szCs w:val="21"/>
                      <w:highlight w:val="yellow"/>
                    </w:rPr>
                  </w:pPr>
                </w:p>
              </w:tc>
              <w:tc>
                <w:tcPr>
                  <w:tcW w:w="2950" w:type="dxa"/>
                  <w:gridSpan w:val="2"/>
                  <w:tcMar>
                    <w:top w:w="15" w:type="dxa"/>
                    <w:left w:w="108" w:type="dxa"/>
                    <w:bottom w:w="0" w:type="dxa"/>
                    <w:right w:w="108" w:type="dxa"/>
                  </w:tcMar>
                  <w:vAlign w:val="center"/>
                </w:tcPr>
                <w:p>
                  <w:pPr>
                    <w:jc w:val="center"/>
                    <w:rPr>
                      <w:bCs/>
                      <w:color w:val="auto"/>
                      <w:szCs w:val="21"/>
                    </w:rPr>
                  </w:pPr>
                  <w:r>
                    <w:rPr>
                      <w:bCs/>
                      <w:color w:val="auto"/>
                      <w:szCs w:val="21"/>
                    </w:rPr>
                    <w:t>供电系统</w:t>
                  </w:r>
                </w:p>
              </w:tc>
              <w:tc>
                <w:tcPr>
                  <w:tcW w:w="4432" w:type="dxa"/>
                  <w:tcMar>
                    <w:top w:w="15" w:type="dxa"/>
                    <w:left w:w="108" w:type="dxa"/>
                    <w:bottom w:w="0" w:type="dxa"/>
                    <w:right w:w="108" w:type="dxa"/>
                  </w:tcMar>
                  <w:vAlign w:val="center"/>
                </w:tcPr>
                <w:p>
                  <w:pPr>
                    <w:jc w:val="center"/>
                    <w:rPr>
                      <w:bCs/>
                      <w:color w:val="auto"/>
                      <w:szCs w:val="21"/>
                    </w:rPr>
                  </w:pPr>
                  <w:r>
                    <w:rPr>
                      <w:rFonts w:hint="eastAsia"/>
                      <w:bCs/>
                      <w:color w:val="auto"/>
                      <w:szCs w:val="21"/>
                    </w:rPr>
                    <w:t>市政供电网供给</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restart"/>
                  <w:vAlign w:val="center"/>
                </w:tcPr>
                <w:p>
                  <w:pPr>
                    <w:jc w:val="center"/>
                    <w:rPr>
                      <w:bCs/>
                      <w:color w:val="auto"/>
                      <w:szCs w:val="21"/>
                    </w:rPr>
                  </w:pPr>
                  <w:r>
                    <w:rPr>
                      <w:bCs/>
                      <w:color w:val="auto"/>
                      <w:szCs w:val="21"/>
                    </w:rPr>
                    <w:t>环保工程</w:t>
                  </w:r>
                </w:p>
              </w:tc>
              <w:tc>
                <w:tcPr>
                  <w:tcW w:w="971" w:type="dxa"/>
                  <w:vMerge w:val="restart"/>
                  <w:tcMar>
                    <w:top w:w="15" w:type="dxa"/>
                    <w:left w:w="108" w:type="dxa"/>
                    <w:bottom w:w="0" w:type="dxa"/>
                    <w:right w:w="108" w:type="dxa"/>
                  </w:tcMar>
                  <w:vAlign w:val="center"/>
                </w:tcPr>
                <w:p>
                  <w:pPr>
                    <w:jc w:val="center"/>
                    <w:rPr>
                      <w:bCs/>
                      <w:color w:val="auto"/>
                      <w:szCs w:val="21"/>
                    </w:rPr>
                  </w:pPr>
                  <w:r>
                    <w:rPr>
                      <w:bCs/>
                      <w:color w:val="auto"/>
                      <w:szCs w:val="21"/>
                    </w:rPr>
                    <w:t>废水处理系统</w:t>
                  </w:r>
                </w:p>
              </w:tc>
              <w:tc>
                <w:tcPr>
                  <w:tcW w:w="1979" w:type="dxa"/>
                  <w:vAlign w:val="center"/>
                </w:tcPr>
                <w:p>
                  <w:pPr>
                    <w:jc w:val="center"/>
                    <w:rPr>
                      <w:bCs/>
                      <w:color w:val="auto"/>
                      <w:szCs w:val="21"/>
                    </w:rPr>
                  </w:pPr>
                  <w:r>
                    <w:rPr>
                      <w:bCs/>
                      <w:color w:val="auto"/>
                      <w:szCs w:val="21"/>
                    </w:rPr>
                    <w:t>生活污水</w:t>
                  </w:r>
                </w:p>
              </w:tc>
              <w:tc>
                <w:tcPr>
                  <w:tcW w:w="4432" w:type="dxa"/>
                  <w:tcMar>
                    <w:top w:w="15" w:type="dxa"/>
                    <w:left w:w="108" w:type="dxa"/>
                    <w:bottom w:w="0" w:type="dxa"/>
                    <w:right w:w="108" w:type="dxa"/>
                  </w:tcMar>
                  <w:vAlign w:val="center"/>
                </w:tcPr>
                <w:p>
                  <w:pPr>
                    <w:jc w:val="center"/>
                    <w:rPr>
                      <w:bCs/>
                      <w:color w:val="auto"/>
                      <w:szCs w:val="21"/>
                      <w:highlight w:val="yellow"/>
                    </w:rPr>
                  </w:pPr>
                  <w:r>
                    <w:rPr>
                      <w:rFonts w:hint="eastAsia"/>
                      <w:bCs/>
                      <w:color w:val="auto"/>
                      <w:szCs w:val="21"/>
                    </w:rPr>
                    <w:t>生活污水经化粪池处理后接入市政污水管网，排入</w:t>
                  </w:r>
                  <w:r>
                    <w:rPr>
                      <w:rFonts w:hint="eastAsia"/>
                      <w:color w:val="auto"/>
                      <w:szCs w:val="21"/>
                    </w:rPr>
                    <w:t>长乐区</w:t>
                  </w:r>
                  <w:r>
                    <w:rPr>
                      <w:rFonts w:hint="eastAsia"/>
                      <w:color w:val="auto"/>
                      <w:szCs w:val="21"/>
                      <w:lang w:val="en-US" w:eastAsia="zh-CN"/>
                    </w:rPr>
                    <w:t>滨海</w:t>
                  </w:r>
                  <w:r>
                    <w:rPr>
                      <w:rFonts w:hint="eastAsia"/>
                      <w:color w:val="auto"/>
                      <w:szCs w:val="21"/>
                    </w:rPr>
                    <w:t>污水处理厂深度处理</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continue"/>
                  <w:vAlign w:val="center"/>
                </w:tcPr>
                <w:p>
                  <w:pPr>
                    <w:jc w:val="center"/>
                    <w:rPr>
                      <w:bCs/>
                      <w:color w:val="auto"/>
                      <w:szCs w:val="21"/>
                    </w:rPr>
                  </w:pPr>
                </w:p>
              </w:tc>
              <w:tc>
                <w:tcPr>
                  <w:tcW w:w="971" w:type="dxa"/>
                  <w:vMerge w:val="continue"/>
                  <w:tcMar>
                    <w:top w:w="15" w:type="dxa"/>
                    <w:left w:w="108" w:type="dxa"/>
                    <w:bottom w:w="0" w:type="dxa"/>
                    <w:right w:w="108" w:type="dxa"/>
                  </w:tcMar>
                  <w:vAlign w:val="center"/>
                </w:tcPr>
                <w:p>
                  <w:pPr>
                    <w:jc w:val="center"/>
                    <w:rPr>
                      <w:bCs/>
                      <w:color w:val="auto"/>
                      <w:szCs w:val="21"/>
                    </w:rPr>
                  </w:pPr>
                </w:p>
              </w:tc>
              <w:tc>
                <w:tcPr>
                  <w:tcW w:w="1979" w:type="dxa"/>
                  <w:vAlign w:val="center"/>
                </w:tcPr>
                <w:p>
                  <w:pPr>
                    <w:jc w:val="center"/>
                    <w:rPr>
                      <w:rFonts w:hint="default" w:eastAsia="宋体"/>
                      <w:bCs/>
                      <w:color w:val="auto"/>
                      <w:szCs w:val="21"/>
                      <w:lang w:val="en-US" w:eastAsia="zh-CN"/>
                    </w:rPr>
                  </w:pPr>
                  <w:r>
                    <w:rPr>
                      <w:rFonts w:hint="eastAsia"/>
                      <w:bCs/>
                      <w:color w:val="auto"/>
                      <w:szCs w:val="21"/>
                      <w:lang w:val="en-US" w:eastAsia="zh-CN"/>
                    </w:rPr>
                    <w:t>喷淋废水</w:t>
                  </w:r>
                </w:p>
              </w:tc>
              <w:tc>
                <w:tcPr>
                  <w:tcW w:w="4432" w:type="dxa"/>
                  <w:tcMar>
                    <w:top w:w="15" w:type="dxa"/>
                    <w:left w:w="108" w:type="dxa"/>
                    <w:bottom w:w="0" w:type="dxa"/>
                    <w:right w:w="108" w:type="dxa"/>
                  </w:tcMar>
                  <w:vAlign w:val="center"/>
                </w:tcPr>
                <w:p>
                  <w:pPr>
                    <w:jc w:val="center"/>
                    <w:rPr>
                      <w:rFonts w:hint="default" w:eastAsia="宋体"/>
                      <w:bCs/>
                      <w:color w:val="auto"/>
                      <w:szCs w:val="21"/>
                      <w:lang w:val="en-US" w:eastAsia="zh-CN"/>
                    </w:rPr>
                  </w:pPr>
                  <w:r>
                    <w:rPr>
                      <w:rFonts w:hint="eastAsia"/>
                      <w:bCs/>
                      <w:color w:val="auto"/>
                      <w:szCs w:val="21"/>
                      <w:lang w:val="en-US" w:eastAsia="zh-CN"/>
                    </w:rPr>
                    <w:t>喷淋废水循环使用，定期更换喷淋废液（作为危废委托有资质单位处置）</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1122" w:type="dxa"/>
                  <w:vMerge w:val="continue"/>
                  <w:vAlign w:val="center"/>
                </w:tcPr>
                <w:p>
                  <w:pPr>
                    <w:jc w:val="center"/>
                    <w:rPr>
                      <w:bCs/>
                      <w:color w:val="auto"/>
                      <w:szCs w:val="21"/>
                      <w:highlight w:val="yellow"/>
                    </w:rPr>
                  </w:pPr>
                </w:p>
              </w:tc>
              <w:tc>
                <w:tcPr>
                  <w:tcW w:w="971" w:type="dxa"/>
                  <w:tcMar>
                    <w:top w:w="15" w:type="dxa"/>
                    <w:left w:w="108" w:type="dxa"/>
                    <w:bottom w:w="0" w:type="dxa"/>
                    <w:right w:w="108" w:type="dxa"/>
                  </w:tcMar>
                  <w:vAlign w:val="center"/>
                </w:tcPr>
                <w:p>
                  <w:pPr>
                    <w:jc w:val="center"/>
                    <w:rPr>
                      <w:bCs/>
                      <w:color w:val="auto"/>
                      <w:szCs w:val="21"/>
                    </w:rPr>
                  </w:pPr>
                  <w:r>
                    <w:rPr>
                      <w:bCs/>
                      <w:color w:val="auto"/>
                      <w:szCs w:val="21"/>
                    </w:rPr>
                    <w:t>废气治理措施</w:t>
                  </w:r>
                </w:p>
              </w:tc>
              <w:tc>
                <w:tcPr>
                  <w:tcW w:w="1979" w:type="dxa"/>
                  <w:vAlign w:val="center"/>
                </w:tcPr>
                <w:p>
                  <w:pPr>
                    <w:jc w:val="center"/>
                    <w:rPr>
                      <w:bCs/>
                      <w:color w:val="auto"/>
                      <w:szCs w:val="21"/>
                    </w:rPr>
                  </w:pPr>
                  <w:r>
                    <w:rPr>
                      <w:rFonts w:hint="eastAsia"/>
                      <w:bCs/>
                      <w:color w:val="auto"/>
                      <w:szCs w:val="21"/>
                      <w:highlight w:val="none"/>
                    </w:rPr>
                    <w:t>油墨调配废气、印刷及烘干废气、溶剂型粘合剂调配废气、</w:t>
                  </w:r>
                  <w:r>
                    <w:rPr>
                      <w:rFonts w:hint="default" w:ascii="Times New Roman" w:hAnsi="Times New Roman" w:cs="Times New Roman"/>
                      <w:color w:val="auto"/>
                      <w:szCs w:val="24"/>
                      <w:highlight w:val="none"/>
                    </w:rPr>
                    <w:t>粘合剂</w:t>
                  </w:r>
                  <w:r>
                    <w:rPr>
                      <w:rFonts w:hint="default" w:ascii="Times New Roman" w:hAnsi="Times New Roman" w:cs="Times New Roman"/>
                      <w:color w:val="auto"/>
                      <w:szCs w:val="24"/>
                      <w:highlight w:val="none"/>
                      <w:lang w:val="en-US" w:eastAsia="zh-CN"/>
                    </w:rPr>
                    <w:t>(含</w:t>
                  </w:r>
                  <w:r>
                    <w:rPr>
                      <w:rFonts w:hint="default" w:ascii="Times New Roman" w:hAnsi="Times New Roman" w:cs="Times New Roman"/>
                      <w:color w:val="auto"/>
                      <w:szCs w:val="24"/>
                      <w:highlight w:val="none"/>
                    </w:rPr>
                    <w:t>溶剂型粘合剂</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kern w:val="0"/>
                      <w:szCs w:val="21"/>
                      <w:highlight w:val="none"/>
                      <w:lang w:bidi="ar"/>
                    </w:rPr>
                    <w:t>无溶剂</w:t>
                  </w:r>
                  <w:r>
                    <w:rPr>
                      <w:rFonts w:hint="default" w:ascii="Times New Roman" w:hAnsi="Times New Roman" w:cs="Times New Roman"/>
                      <w:bCs/>
                      <w:color w:val="auto"/>
                      <w:szCs w:val="21"/>
                      <w:highlight w:val="none"/>
                    </w:rPr>
                    <w:t>粘合剂</w:t>
                  </w:r>
                  <w:r>
                    <w:rPr>
                      <w:rFonts w:hint="default" w:ascii="Times New Roman" w:hAnsi="Times New Roman" w:cs="Times New Roman"/>
                      <w:color w:val="auto"/>
                      <w:szCs w:val="24"/>
                      <w:highlight w:val="none"/>
                      <w:lang w:val="en-US" w:eastAsia="zh-CN"/>
                    </w:rPr>
                    <w:t>)</w:t>
                  </w:r>
                  <w:r>
                    <w:rPr>
                      <w:rFonts w:hint="eastAsia"/>
                      <w:bCs/>
                      <w:color w:val="auto"/>
                      <w:szCs w:val="21"/>
                      <w:highlight w:val="none"/>
                    </w:rPr>
                    <w:t>复合及烘干废气、熟化废气</w:t>
                  </w:r>
                </w:p>
              </w:tc>
              <w:tc>
                <w:tcPr>
                  <w:tcW w:w="4432" w:type="dxa"/>
                  <w:vAlign w:val="center"/>
                </w:tcPr>
                <w:p>
                  <w:pPr>
                    <w:jc w:val="center"/>
                    <w:rPr>
                      <w:bCs/>
                      <w:color w:val="auto"/>
                      <w:kern w:val="28"/>
                      <w:szCs w:val="21"/>
                    </w:rPr>
                  </w:pPr>
                  <w:r>
                    <w:rPr>
                      <w:rFonts w:hint="eastAsia"/>
                      <w:bCs/>
                      <w:color w:val="auto"/>
                      <w:szCs w:val="21"/>
                    </w:rPr>
                    <w:t>密闭</w:t>
                  </w:r>
                  <w:r>
                    <w:rPr>
                      <w:rFonts w:hint="eastAsia"/>
                      <w:bCs/>
                      <w:color w:val="auto"/>
                      <w:szCs w:val="21"/>
                      <w:lang w:val="en-US" w:eastAsia="zh-CN"/>
                    </w:rPr>
                    <w:t>空间</w:t>
                  </w:r>
                  <w:r>
                    <w:rPr>
                      <w:rFonts w:hint="eastAsia"/>
                      <w:bCs/>
                      <w:color w:val="auto"/>
                      <w:szCs w:val="21"/>
                    </w:rPr>
                    <w:t>，</w:t>
                  </w:r>
                  <w:r>
                    <w:rPr>
                      <w:rFonts w:hint="eastAsia"/>
                      <w:bCs/>
                      <w:color w:val="auto"/>
                      <w:szCs w:val="21"/>
                      <w:lang w:val="en-US" w:eastAsia="zh-CN"/>
                    </w:rPr>
                    <w:t>密闭空间</w:t>
                  </w:r>
                  <w:r>
                    <w:rPr>
                      <w:rFonts w:hint="eastAsia"/>
                      <w:bCs/>
                      <w:color w:val="auto"/>
                      <w:szCs w:val="21"/>
                    </w:rPr>
                    <w:t>微负压收集</w:t>
                  </w:r>
                  <w:r>
                    <w:rPr>
                      <w:rFonts w:hint="eastAsia"/>
                      <w:bCs/>
                      <w:color w:val="auto"/>
                      <w:szCs w:val="21"/>
                      <w:lang w:val="en-US" w:eastAsia="zh-CN"/>
                    </w:rPr>
                    <w:t>废气</w:t>
                  </w:r>
                  <w:r>
                    <w:rPr>
                      <w:rFonts w:hint="eastAsia"/>
                      <w:bCs/>
                      <w:color w:val="auto"/>
                      <w:szCs w:val="21"/>
                    </w:rPr>
                    <w:t>后经</w:t>
                  </w:r>
                  <w:r>
                    <w:rPr>
                      <w:rFonts w:hint="eastAsia"/>
                      <w:bCs/>
                      <w:color w:val="auto"/>
                      <w:szCs w:val="21"/>
                      <w:lang w:val="en-US" w:eastAsia="zh-CN"/>
                    </w:rPr>
                    <w:t>1套</w:t>
                  </w:r>
                  <w:r>
                    <w:rPr>
                      <w:rFonts w:hint="eastAsia"/>
                      <w:bCs/>
                      <w:color w:val="auto"/>
                      <w:kern w:val="28"/>
                      <w:szCs w:val="21"/>
                      <w:lang w:eastAsia="zh-CN"/>
                    </w:rPr>
                    <w:t>“</w:t>
                  </w:r>
                  <w:r>
                    <w:rPr>
                      <w:rFonts w:hint="eastAsia"/>
                      <w:bCs/>
                      <w:color w:val="auto"/>
                      <w:szCs w:val="21"/>
                      <w:lang w:val="en-US" w:eastAsia="zh-CN"/>
                    </w:rPr>
                    <w:t>水喷淋塔+</w:t>
                  </w:r>
                  <w:r>
                    <w:rPr>
                      <w:rFonts w:hint="eastAsia"/>
                      <w:bCs/>
                      <w:color w:val="auto"/>
                      <w:kern w:val="28"/>
                      <w:szCs w:val="21"/>
                    </w:rPr>
                    <w:t>二级</w:t>
                  </w:r>
                  <w:r>
                    <w:rPr>
                      <w:rStyle w:val="180"/>
                      <w:rFonts w:hint="eastAsia"/>
                      <w:color w:val="auto"/>
                      <w:sz w:val="21"/>
                      <w:szCs w:val="21"/>
                      <w:lang w:eastAsia="zh-CN"/>
                    </w:rPr>
                    <w:t>颗粒</w:t>
                  </w:r>
                  <w:r>
                    <w:rPr>
                      <w:rStyle w:val="180"/>
                      <w:rFonts w:hint="default" w:ascii="Times New Roman"/>
                      <w:color w:val="auto"/>
                      <w:sz w:val="21"/>
                      <w:szCs w:val="21"/>
                    </w:rPr>
                    <w:t>活性炭</w:t>
                  </w:r>
                  <w:r>
                    <w:rPr>
                      <w:rFonts w:hint="eastAsia"/>
                      <w:bCs/>
                      <w:color w:val="auto"/>
                      <w:kern w:val="28"/>
                      <w:szCs w:val="21"/>
                    </w:rPr>
                    <w:t>吸附装置</w:t>
                  </w:r>
                  <w:r>
                    <w:rPr>
                      <w:rFonts w:hint="eastAsia"/>
                      <w:bCs/>
                      <w:color w:val="auto"/>
                      <w:kern w:val="28"/>
                      <w:szCs w:val="21"/>
                      <w:lang w:eastAsia="zh-CN"/>
                    </w:rPr>
                    <w:t>”</w:t>
                  </w:r>
                  <w:r>
                    <w:rPr>
                      <w:rFonts w:hint="eastAsia"/>
                      <w:bCs/>
                      <w:color w:val="auto"/>
                      <w:kern w:val="28"/>
                      <w:szCs w:val="21"/>
                    </w:rPr>
                    <w:t>处理后通过1根23m高排气筒DA001排放</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continue"/>
                  <w:vAlign w:val="center"/>
                </w:tcPr>
                <w:p>
                  <w:pPr>
                    <w:jc w:val="center"/>
                    <w:rPr>
                      <w:bCs/>
                      <w:color w:val="auto"/>
                      <w:szCs w:val="21"/>
                      <w:highlight w:val="yellow"/>
                    </w:rPr>
                  </w:pPr>
                </w:p>
              </w:tc>
              <w:tc>
                <w:tcPr>
                  <w:tcW w:w="971" w:type="dxa"/>
                  <w:tcMar>
                    <w:top w:w="15" w:type="dxa"/>
                    <w:left w:w="108" w:type="dxa"/>
                    <w:bottom w:w="0" w:type="dxa"/>
                    <w:right w:w="108" w:type="dxa"/>
                  </w:tcMar>
                  <w:vAlign w:val="center"/>
                </w:tcPr>
                <w:p>
                  <w:pPr>
                    <w:jc w:val="center"/>
                    <w:rPr>
                      <w:bCs/>
                      <w:color w:val="auto"/>
                      <w:szCs w:val="21"/>
                    </w:rPr>
                  </w:pPr>
                  <w:r>
                    <w:rPr>
                      <w:bCs/>
                      <w:color w:val="auto"/>
                      <w:szCs w:val="21"/>
                    </w:rPr>
                    <w:t>噪声治理措施</w:t>
                  </w:r>
                </w:p>
              </w:tc>
              <w:tc>
                <w:tcPr>
                  <w:tcW w:w="6411" w:type="dxa"/>
                  <w:gridSpan w:val="2"/>
                  <w:vAlign w:val="center"/>
                </w:tcPr>
                <w:p>
                  <w:pPr>
                    <w:jc w:val="center"/>
                    <w:rPr>
                      <w:bCs/>
                      <w:color w:val="auto"/>
                      <w:szCs w:val="21"/>
                    </w:rPr>
                  </w:pPr>
                  <w:r>
                    <w:rPr>
                      <w:rFonts w:hint="eastAsia"/>
                      <w:bCs/>
                      <w:color w:val="auto"/>
                      <w:szCs w:val="21"/>
                    </w:rPr>
                    <w:t>高噪声设备基础减振、消声、</w:t>
                  </w:r>
                  <w:r>
                    <w:rPr>
                      <w:bCs/>
                      <w:color w:val="auto"/>
                      <w:szCs w:val="21"/>
                    </w:rPr>
                    <w:t>隔声</w:t>
                  </w:r>
                </w:p>
              </w:tc>
            </w:tr>
            <w:tr>
              <w:tblPrEx>
                <w:tblBorders>
                  <w:top w:val="single" w:color="000000" w:sz="12" w:space="0"/>
                  <w:left w:val="none" w:color="auto" w:sz="0" w:space="0"/>
                  <w:bottom w:val="single" w:color="000000" w:sz="12" w:space="0"/>
                  <w:right w:val="none" w:color="auto" w:sz="0"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1122" w:type="dxa"/>
                  <w:vMerge w:val="continue"/>
                  <w:vAlign w:val="center"/>
                </w:tcPr>
                <w:p>
                  <w:pPr>
                    <w:jc w:val="center"/>
                    <w:rPr>
                      <w:bCs/>
                      <w:color w:val="auto"/>
                      <w:szCs w:val="21"/>
                      <w:highlight w:val="yellow"/>
                    </w:rPr>
                  </w:pPr>
                </w:p>
              </w:tc>
              <w:tc>
                <w:tcPr>
                  <w:tcW w:w="971" w:type="dxa"/>
                  <w:tcMar>
                    <w:top w:w="15" w:type="dxa"/>
                    <w:left w:w="108" w:type="dxa"/>
                    <w:bottom w:w="0" w:type="dxa"/>
                    <w:right w:w="108" w:type="dxa"/>
                  </w:tcMar>
                  <w:vAlign w:val="center"/>
                </w:tcPr>
                <w:p>
                  <w:pPr>
                    <w:jc w:val="center"/>
                    <w:rPr>
                      <w:bCs/>
                      <w:color w:val="auto"/>
                      <w:szCs w:val="21"/>
                    </w:rPr>
                  </w:pPr>
                  <w:r>
                    <w:rPr>
                      <w:bCs/>
                      <w:color w:val="auto"/>
                      <w:szCs w:val="21"/>
                    </w:rPr>
                    <w:t>固废防治措施</w:t>
                  </w:r>
                </w:p>
              </w:tc>
              <w:tc>
                <w:tcPr>
                  <w:tcW w:w="6411" w:type="dxa"/>
                  <w:gridSpan w:val="2"/>
                  <w:vAlign w:val="center"/>
                </w:tcPr>
                <w:p>
                  <w:pPr>
                    <w:rPr>
                      <w:color w:val="auto"/>
                      <w:szCs w:val="21"/>
                    </w:rPr>
                  </w:pPr>
                  <w:r>
                    <w:rPr>
                      <w:rFonts w:hint="eastAsia"/>
                      <w:bCs/>
                      <w:color w:val="auto"/>
                      <w:szCs w:val="21"/>
                    </w:rPr>
                    <w:t>一般固废：废包装材料、废边角料</w:t>
                  </w:r>
                  <w:r>
                    <w:rPr>
                      <w:rFonts w:hint="eastAsia"/>
                      <w:bCs/>
                      <w:color w:val="auto"/>
                      <w:szCs w:val="21"/>
                      <w:lang w:eastAsia="zh-CN"/>
                    </w:rPr>
                    <w:t>、</w:t>
                  </w:r>
                  <w:r>
                    <w:rPr>
                      <w:rFonts w:hint="eastAsia"/>
                      <w:bCs/>
                      <w:color w:val="auto"/>
                      <w:szCs w:val="21"/>
                      <w:lang w:val="en-US" w:eastAsia="zh-CN"/>
                    </w:rPr>
                    <w:t>不合格品</w:t>
                  </w:r>
                  <w:r>
                    <w:rPr>
                      <w:color w:val="auto"/>
                      <w:szCs w:val="21"/>
                    </w:rPr>
                    <w:t>收集后暂存于一般固废</w:t>
                  </w:r>
                  <w:r>
                    <w:rPr>
                      <w:rFonts w:hint="eastAsia"/>
                      <w:color w:val="auto"/>
                      <w:szCs w:val="21"/>
                    </w:rPr>
                    <w:t>仓库</w:t>
                  </w:r>
                  <w:r>
                    <w:rPr>
                      <w:color w:val="auto"/>
                      <w:szCs w:val="21"/>
                    </w:rPr>
                    <w:t>，定期</w:t>
                  </w:r>
                  <w:r>
                    <w:rPr>
                      <w:rFonts w:hint="eastAsia"/>
                      <w:color w:val="auto"/>
                      <w:szCs w:val="21"/>
                    </w:rPr>
                    <w:t>由废品回收公司回收处理。</w:t>
                  </w:r>
                </w:p>
                <w:p>
                  <w:pPr>
                    <w:rPr>
                      <w:rFonts w:hint="default" w:eastAsia="宋体"/>
                      <w:bCs/>
                      <w:color w:val="auto"/>
                      <w:szCs w:val="21"/>
                      <w:lang w:val="en-US" w:eastAsia="zh-CN"/>
                    </w:rPr>
                  </w:pPr>
                  <w:r>
                    <w:rPr>
                      <w:rFonts w:hint="eastAsia"/>
                      <w:color w:val="auto"/>
                      <w:szCs w:val="21"/>
                    </w:rPr>
                    <w:t>危险废物：</w:t>
                  </w:r>
                  <w:r>
                    <w:rPr>
                      <w:rFonts w:hint="eastAsia"/>
                      <w:color w:val="auto"/>
                    </w:rPr>
                    <w:t>废油墨桶、废油墨、废粘合剂桶、废粘合剂、废活性炭、印刷辊筒擦拭废布</w:t>
                  </w:r>
                  <w:r>
                    <w:rPr>
                      <w:rFonts w:hint="eastAsia"/>
                      <w:color w:val="auto"/>
                      <w:lang w:eastAsia="zh-CN"/>
                    </w:rPr>
                    <w:t>、</w:t>
                  </w:r>
                  <w:r>
                    <w:rPr>
                      <w:rFonts w:hint="eastAsia"/>
                      <w:color w:val="auto"/>
                      <w:lang w:val="en-US" w:eastAsia="zh-CN"/>
                    </w:rPr>
                    <w:t>喷淋废液</w:t>
                  </w:r>
                  <w:r>
                    <w:rPr>
                      <w:rFonts w:hint="eastAsia"/>
                      <w:color w:val="auto"/>
                    </w:rPr>
                    <w:t>分类收集</w:t>
                  </w:r>
                  <w:r>
                    <w:rPr>
                      <w:rFonts w:hint="eastAsia"/>
                      <w:bCs/>
                      <w:color w:val="auto"/>
                      <w:szCs w:val="21"/>
                    </w:rPr>
                    <w:t>暂存于危废仓库，</w:t>
                  </w:r>
                  <w:r>
                    <w:rPr>
                      <w:rFonts w:hint="eastAsia"/>
                      <w:color w:val="auto"/>
                    </w:rPr>
                    <w:t>废油墨桶、废油墨、废粘合剂桶、废粘合剂、废活性炭、印刷辊筒擦拭废布</w:t>
                  </w:r>
                  <w:r>
                    <w:rPr>
                      <w:rFonts w:hint="eastAsia"/>
                      <w:color w:val="auto"/>
                      <w:lang w:eastAsia="zh-CN"/>
                    </w:rPr>
                    <w:t>、</w:t>
                  </w:r>
                  <w:r>
                    <w:rPr>
                      <w:rFonts w:hint="eastAsia"/>
                      <w:color w:val="auto"/>
                      <w:lang w:val="en-US" w:eastAsia="zh-CN"/>
                    </w:rPr>
                    <w:t>喷淋废液</w:t>
                  </w:r>
                  <w:r>
                    <w:rPr>
                      <w:rFonts w:hint="eastAsia"/>
                      <w:bCs/>
                      <w:color w:val="auto"/>
                      <w:szCs w:val="21"/>
                    </w:rPr>
                    <w:t>委托有危废资质单位处置</w:t>
                  </w:r>
                  <w:r>
                    <w:rPr>
                      <w:rFonts w:hint="eastAsia"/>
                      <w:bCs/>
                      <w:color w:val="auto"/>
                      <w:szCs w:val="21"/>
                      <w:lang w:eastAsia="zh-CN"/>
                    </w:rPr>
                    <w:t>。</w:t>
                  </w:r>
                  <w:r>
                    <w:rPr>
                      <w:rFonts w:hint="eastAsia"/>
                      <w:bCs/>
                      <w:color w:val="auto"/>
                      <w:szCs w:val="21"/>
                      <w:lang w:val="en-US" w:eastAsia="zh-CN"/>
                    </w:rPr>
                    <w:t>根据《固体废物鉴别标准 通则》（GB34330-2017），任何不需要修复和加工即可用于其原始用途的物质，可不作为固体废物管理，</w:t>
                  </w:r>
                  <w:r>
                    <w:rPr>
                      <w:rFonts w:hint="eastAsia"/>
                      <w:color w:val="auto"/>
                      <w:highlight w:val="none"/>
                    </w:rPr>
                    <w:t>废溶剂桶</w:t>
                  </w:r>
                  <w:r>
                    <w:rPr>
                      <w:rFonts w:hint="eastAsia"/>
                      <w:color w:val="auto"/>
                      <w:highlight w:val="none"/>
                      <w:lang w:val="en-US" w:eastAsia="zh-CN"/>
                    </w:rPr>
                    <w:t>由供应商回收重复利用，可不按照固体废物管理。</w:t>
                  </w:r>
                </w:p>
                <w:p>
                  <w:pPr>
                    <w:rPr>
                      <w:bCs/>
                      <w:color w:val="auto"/>
                      <w:szCs w:val="21"/>
                    </w:rPr>
                  </w:pPr>
                  <w:r>
                    <w:rPr>
                      <w:rFonts w:hint="eastAsia"/>
                      <w:bCs/>
                      <w:color w:val="auto"/>
                      <w:szCs w:val="21"/>
                    </w:rPr>
                    <w:t>生活垃圾：收集暂存于垃圾桶，由当地环卫部门定期清运处置。</w:t>
                  </w:r>
                </w:p>
              </w:tc>
            </w:tr>
          </w:tbl>
          <w:p>
            <w:pPr>
              <w:pStyle w:val="73"/>
              <w:rPr>
                <w:color w:val="auto"/>
              </w:rPr>
            </w:pPr>
            <w:r>
              <w:rPr>
                <w:rFonts w:hint="eastAsia"/>
                <w:color w:val="auto"/>
              </w:rPr>
              <w:t>2.4扩建项目产品方案</w:t>
            </w:r>
          </w:p>
          <w:p>
            <w:pPr>
              <w:pStyle w:val="48"/>
              <w:ind w:firstLine="480"/>
              <w:rPr>
                <w:color w:val="auto"/>
              </w:rPr>
            </w:pPr>
            <w:r>
              <w:rPr>
                <w:rFonts w:hint="eastAsia"/>
                <w:color w:val="auto"/>
              </w:rPr>
              <w:t>扩建</w:t>
            </w:r>
            <w:r>
              <w:rPr>
                <w:color w:val="auto"/>
              </w:rPr>
              <w:t>项目</w:t>
            </w:r>
            <w:r>
              <w:rPr>
                <w:rFonts w:hint="eastAsia"/>
                <w:color w:val="auto"/>
              </w:rPr>
              <w:t>主要</w:t>
            </w:r>
            <w:r>
              <w:rPr>
                <w:color w:val="auto"/>
              </w:rPr>
              <w:t>产品方案详见</w:t>
            </w:r>
            <w:r>
              <w:rPr>
                <w:b/>
                <w:bCs/>
                <w:color w:val="auto"/>
              </w:rPr>
              <w:t>表2.4-1</w:t>
            </w:r>
            <w:r>
              <w:rPr>
                <w:color w:val="auto"/>
              </w:rPr>
              <w:t>。</w:t>
            </w:r>
          </w:p>
          <w:p>
            <w:pPr>
              <w:pStyle w:val="47"/>
              <w:rPr>
                <w:color w:val="auto"/>
              </w:rPr>
            </w:pPr>
            <w:r>
              <w:rPr>
                <w:color w:val="auto"/>
              </w:rPr>
              <w:t>表2.4-1</w:t>
            </w:r>
            <w:r>
              <w:rPr>
                <w:rFonts w:hint="eastAsia"/>
                <w:color w:val="auto"/>
              </w:rPr>
              <w:t xml:space="preserve">  扩建项目主要</w:t>
            </w:r>
            <w:r>
              <w:rPr>
                <w:color w:val="auto"/>
              </w:rPr>
              <w:t>产品方案一览表</w:t>
            </w:r>
          </w:p>
          <w:tbl>
            <w:tblPr>
              <w:tblStyle w:val="37"/>
              <w:tblW w:w="85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5"/>
              <w:gridCol w:w="2244"/>
              <w:gridCol w:w="1955"/>
              <w:gridCol w:w="36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pPr>
                    <w:jc w:val="center"/>
                    <w:rPr>
                      <w:bCs/>
                      <w:color w:val="auto"/>
                      <w:szCs w:val="21"/>
                    </w:rPr>
                  </w:pPr>
                  <w:r>
                    <w:rPr>
                      <w:rFonts w:hint="eastAsia"/>
                      <w:bCs/>
                      <w:color w:val="auto"/>
                      <w:szCs w:val="21"/>
                    </w:rPr>
                    <w:t>序号</w:t>
                  </w:r>
                </w:p>
              </w:tc>
              <w:tc>
                <w:tcPr>
                  <w:tcW w:w="2244" w:type="dxa"/>
                  <w:tcBorders>
                    <w:tl2br w:val="nil"/>
                    <w:tr2bl w:val="nil"/>
                  </w:tcBorders>
                  <w:vAlign w:val="center"/>
                </w:tcPr>
                <w:p>
                  <w:pPr>
                    <w:jc w:val="center"/>
                    <w:rPr>
                      <w:bCs/>
                      <w:color w:val="auto"/>
                      <w:szCs w:val="21"/>
                    </w:rPr>
                  </w:pPr>
                  <w:r>
                    <w:rPr>
                      <w:rFonts w:hint="eastAsia"/>
                      <w:bCs/>
                      <w:color w:val="auto"/>
                      <w:szCs w:val="21"/>
                    </w:rPr>
                    <w:t>产品名称</w:t>
                  </w:r>
                </w:p>
              </w:tc>
              <w:tc>
                <w:tcPr>
                  <w:tcW w:w="1955" w:type="dxa"/>
                  <w:tcBorders>
                    <w:tl2br w:val="nil"/>
                    <w:tr2bl w:val="nil"/>
                  </w:tcBorders>
                  <w:vAlign w:val="center"/>
                </w:tcPr>
                <w:p>
                  <w:pPr>
                    <w:jc w:val="center"/>
                    <w:rPr>
                      <w:bCs/>
                      <w:color w:val="auto"/>
                      <w:szCs w:val="21"/>
                    </w:rPr>
                  </w:pPr>
                  <w:r>
                    <w:rPr>
                      <w:rFonts w:hint="eastAsia"/>
                      <w:bCs/>
                      <w:color w:val="auto"/>
                      <w:szCs w:val="21"/>
                    </w:rPr>
                    <w:t>年产量</w:t>
                  </w:r>
                </w:p>
              </w:tc>
              <w:tc>
                <w:tcPr>
                  <w:tcW w:w="3639" w:type="dxa"/>
                  <w:tcBorders>
                    <w:tl2br w:val="nil"/>
                    <w:tr2bl w:val="nil"/>
                  </w:tcBorders>
                  <w:vAlign w:val="center"/>
                </w:tcPr>
                <w:p>
                  <w:pPr>
                    <w:jc w:val="center"/>
                    <w:rPr>
                      <w:bCs/>
                      <w:color w:val="auto"/>
                      <w:szCs w:val="21"/>
                    </w:rPr>
                  </w:pPr>
                  <w:r>
                    <w:rPr>
                      <w:rFonts w:hint="eastAsia"/>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pPr>
                    <w:jc w:val="center"/>
                    <w:rPr>
                      <w:bCs/>
                      <w:color w:val="auto"/>
                      <w:szCs w:val="21"/>
                    </w:rPr>
                  </w:pPr>
                  <w:r>
                    <w:rPr>
                      <w:rFonts w:hint="eastAsia"/>
                      <w:bCs/>
                      <w:color w:val="auto"/>
                      <w:szCs w:val="21"/>
                    </w:rPr>
                    <w:t>1</w:t>
                  </w:r>
                </w:p>
              </w:tc>
              <w:tc>
                <w:tcPr>
                  <w:tcW w:w="2244" w:type="dxa"/>
                  <w:tcBorders>
                    <w:tl2br w:val="nil"/>
                    <w:tr2bl w:val="nil"/>
                  </w:tcBorders>
                  <w:vAlign w:val="center"/>
                </w:tcPr>
                <w:p>
                  <w:pPr>
                    <w:jc w:val="center"/>
                    <w:rPr>
                      <w:bCs/>
                      <w:color w:val="auto"/>
                      <w:szCs w:val="21"/>
                    </w:rPr>
                  </w:pPr>
                  <w:r>
                    <w:rPr>
                      <w:rFonts w:hint="eastAsia"/>
                      <w:bCs/>
                      <w:color w:val="auto"/>
                    </w:rPr>
                    <w:t>复合膜</w:t>
                  </w:r>
                </w:p>
              </w:tc>
              <w:tc>
                <w:tcPr>
                  <w:tcW w:w="1955" w:type="dxa"/>
                  <w:tcBorders>
                    <w:tl2br w:val="nil"/>
                    <w:tr2bl w:val="nil"/>
                  </w:tcBorders>
                  <w:vAlign w:val="center"/>
                </w:tcPr>
                <w:p>
                  <w:pPr>
                    <w:jc w:val="center"/>
                    <w:rPr>
                      <w:bCs/>
                      <w:color w:val="auto"/>
                      <w:szCs w:val="21"/>
                    </w:rPr>
                  </w:pPr>
                  <w:r>
                    <w:rPr>
                      <w:rFonts w:hint="eastAsia"/>
                      <w:bCs/>
                      <w:color w:val="auto"/>
                      <w:szCs w:val="21"/>
                    </w:rPr>
                    <w:t>450t</w:t>
                  </w:r>
                </w:p>
              </w:tc>
              <w:tc>
                <w:tcPr>
                  <w:tcW w:w="3639" w:type="dxa"/>
                  <w:tcBorders>
                    <w:tl2br w:val="nil"/>
                    <w:tr2bl w:val="nil"/>
                  </w:tcBorders>
                  <w:vAlign w:val="center"/>
                </w:tcPr>
                <w:p>
                  <w:pPr>
                    <w:jc w:val="center"/>
                    <w:rPr>
                      <w:bCs/>
                      <w:color w:val="auto"/>
                      <w:szCs w:val="21"/>
                    </w:rPr>
                  </w:pPr>
                  <w:r>
                    <w:rPr>
                      <w:rFonts w:hint="eastAsia"/>
                      <w:color w:val="auto"/>
                    </w:rPr>
                    <w:t>按要求规格不一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5" w:type="dxa"/>
                  <w:tcBorders>
                    <w:tl2br w:val="nil"/>
                    <w:tr2bl w:val="nil"/>
                  </w:tcBorders>
                  <w:vAlign w:val="center"/>
                </w:tcPr>
                <w:p>
                  <w:pPr>
                    <w:jc w:val="center"/>
                    <w:rPr>
                      <w:bCs/>
                      <w:color w:val="auto"/>
                      <w:szCs w:val="21"/>
                    </w:rPr>
                  </w:pPr>
                  <w:r>
                    <w:rPr>
                      <w:rFonts w:hint="eastAsia"/>
                      <w:bCs/>
                      <w:color w:val="auto"/>
                      <w:szCs w:val="21"/>
                    </w:rPr>
                    <w:t>2</w:t>
                  </w:r>
                </w:p>
              </w:tc>
              <w:tc>
                <w:tcPr>
                  <w:tcW w:w="2244" w:type="dxa"/>
                  <w:tcBorders>
                    <w:tl2br w:val="nil"/>
                    <w:tr2bl w:val="nil"/>
                  </w:tcBorders>
                  <w:vAlign w:val="center"/>
                </w:tcPr>
                <w:p>
                  <w:pPr>
                    <w:jc w:val="center"/>
                    <w:rPr>
                      <w:bCs/>
                      <w:color w:val="auto"/>
                      <w:szCs w:val="21"/>
                    </w:rPr>
                  </w:pPr>
                  <w:r>
                    <w:rPr>
                      <w:rFonts w:hint="eastAsia"/>
                      <w:bCs/>
                      <w:color w:val="auto"/>
                    </w:rPr>
                    <w:t>复合袋</w:t>
                  </w:r>
                </w:p>
              </w:tc>
              <w:tc>
                <w:tcPr>
                  <w:tcW w:w="1955" w:type="dxa"/>
                  <w:tcBorders>
                    <w:tl2br w:val="nil"/>
                    <w:tr2bl w:val="nil"/>
                  </w:tcBorders>
                  <w:vAlign w:val="center"/>
                </w:tcPr>
                <w:p>
                  <w:pPr>
                    <w:jc w:val="center"/>
                    <w:rPr>
                      <w:bCs/>
                      <w:color w:val="auto"/>
                      <w:szCs w:val="21"/>
                    </w:rPr>
                  </w:pPr>
                  <w:r>
                    <w:rPr>
                      <w:rFonts w:hint="eastAsia"/>
                      <w:bCs/>
                      <w:color w:val="auto"/>
                      <w:szCs w:val="21"/>
                    </w:rPr>
                    <w:t>450t</w:t>
                  </w:r>
                </w:p>
              </w:tc>
              <w:tc>
                <w:tcPr>
                  <w:tcW w:w="3639" w:type="dxa"/>
                  <w:tcBorders>
                    <w:tl2br w:val="nil"/>
                    <w:tr2bl w:val="nil"/>
                  </w:tcBorders>
                  <w:vAlign w:val="center"/>
                </w:tcPr>
                <w:p>
                  <w:pPr>
                    <w:jc w:val="center"/>
                    <w:rPr>
                      <w:bCs/>
                      <w:color w:val="auto"/>
                      <w:szCs w:val="21"/>
                    </w:rPr>
                  </w:pPr>
                  <w:r>
                    <w:rPr>
                      <w:rFonts w:hint="eastAsia"/>
                      <w:color w:val="auto"/>
                    </w:rPr>
                    <w:t>按要求规格不一</w:t>
                  </w:r>
                </w:p>
              </w:tc>
            </w:tr>
          </w:tbl>
          <w:p>
            <w:pPr>
              <w:pStyle w:val="73"/>
              <w:rPr>
                <w:color w:val="auto"/>
              </w:rPr>
            </w:pPr>
            <w:r>
              <w:rPr>
                <w:rFonts w:hint="eastAsia"/>
                <w:color w:val="auto"/>
              </w:rPr>
              <w:t>2.5扩建项目主要原辅材料及能耗</w:t>
            </w:r>
          </w:p>
          <w:p>
            <w:pPr>
              <w:pStyle w:val="48"/>
              <w:ind w:firstLine="480"/>
              <w:rPr>
                <w:color w:val="auto"/>
              </w:rPr>
            </w:pPr>
            <w:r>
              <w:rPr>
                <w:rFonts w:hint="eastAsia"/>
                <w:color w:val="auto"/>
              </w:rPr>
              <w:t>扩建</w:t>
            </w:r>
            <w:r>
              <w:rPr>
                <w:color w:val="auto"/>
              </w:rPr>
              <w:t>项目</w:t>
            </w:r>
            <w:r>
              <w:rPr>
                <w:rFonts w:hint="eastAsia"/>
                <w:color w:val="auto"/>
              </w:rPr>
              <w:t>主要原辅材料及能耗详见</w:t>
            </w:r>
            <w:r>
              <w:rPr>
                <w:b/>
                <w:bCs/>
                <w:color w:val="auto"/>
              </w:rPr>
              <w:t>表2.</w:t>
            </w:r>
            <w:r>
              <w:rPr>
                <w:rFonts w:hint="eastAsia"/>
                <w:b/>
                <w:bCs/>
                <w:color w:val="auto"/>
              </w:rPr>
              <w:t>5</w:t>
            </w:r>
            <w:r>
              <w:rPr>
                <w:b/>
                <w:bCs/>
                <w:color w:val="auto"/>
              </w:rPr>
              <w:t>-1</w:t>
            </w:r>
            <w:r>
              <w:rPr>
                <w:color w:val="auto"/>
              </w:rPr>
              <w:t>。</w:t>
            </w:r>
          </w:p>
          <w:p>
            <w:pPr>
              <w:pStyle w:val="47"/>
              <w:rPr>
                <w:color w:val="auto"/>
              </w:rPr>
            </w:pPr>
            <w:r>
              <w:rPr>
                <w:color w:val="auto"/>
              </w:rPr>
              <w:t>表2</w:t>
            </w:r>
            <w:r>
              <w:rPr>
                <w:rFonts w:hint="eastAsia"/>
                <w:color w:val="auto"/>
              </w:rPr>
              <w:t>.5-1</w:t>
            </w:r>
            <w:r>
              <w:rPr>
                <w:color w:val="auto"/>
              </w:rPr>
              <w:t xml:space="preserve">  </w:t>
            </w:r>
            <w:r>
              <w:rPr>
                <w:rFonts w:hint="eastAsia"/>
                <w:color w:val="auto"/>
              </w:rPr>
              <w:t>扩建项目</w:t>
            </w:r>
            <w:r>
              <w:rPr>
                <w:color w:val="auto"/>
              </w:rPr>
              <w:t>主要原辅材料</w:t>
            </w:r>
            <w:r>
              <w:rPr>
                <w:rFonts w:hint="eastAsia"/>
                <w:color w:val="auto"/>
              </w:rPr>
              <w:t>及能耗消耗</w:t>
            </w:r>
            <w:r>
              <w:rPr>
                <w:color w:val="auto"/>
              </w:rPr>
              <w:t>一览表</w:t>
            </w:r>
          </w:p>
          <w:tbl>
            <w:tblPr>
              <w:tblStyle w:val="36"/>
              <w:tblW w:w="85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837"/>
              <w:gridCol w:w="600"/>
              <w:gridCol w:w="1305"/>
              <w:gridCol w:w="720"/>
              <w:gridCol w:w="1307"/>
              <w:gridCol w:w="1290"/>
              <w:gridCol w:w="1605"/>
              <w:gridCol w:w="8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jc w:val="center"/>
                    <w:rPr>
                      <w:bCs/>
                      <w:color w:val="auto"/>
                      <w:szCs w:val="21"/>
                    </w:rPr>
                  </w:pPr>
                  <w:r>
                    <w:rPr>
                      <w:bCs/>
                      <w:color w:val="auto"/>
                      <w:szCs w:val="21"/>
                    </w:rPr>
                    <w:t>原辅材料名称</w:t>
                  </w:r>
                </w:p>
              </w:tc>
              <w:tc>
                <w:tcPr>
                  <w:tcW w:w="1305" w:type="dxa"/>
                  <w:tcBorders>
                    <w:tl2br w:val="nil"/>
                    <w:tr2bl w:val="nil"/>
                  </w:tcBorders>
                  <w:vAlign w:val="center"/>
                </w:tcPr>
                <w:p>
                  <w:pPr>
                    <w:jc w:val="center"/>
                    <w:rPr>
                      <w:bCs/>
                      <w:color w:val="auto"/>
                      <w:szCs w:val="21"/>
                    </w:rPr>
                  </w:pPr>
                  <w:r>
                    <w:rPr>
                      <w:rFonts w:hint="eastAsia"/>
                      <w:bCs/>
                      <w:color w:val="auto"/>
                      <w:szCs w:val="21"/>
                    </w:rPr>
                    <w:t>设计年耗量</w:t>
                  </w:r>
                </w:p>
              </w:tc>
              <w:tc>
                <w:tcPr>
                  <w:tcW w:w="720" w:type="dxa"/>
                  <w:tcBorders>
                    <w:tl2br w:val="nil"/>
                    <w:tr2bl w:val="nil"/>
                  </w:tcBorders>
                  <w:vAlign w:val="center"/>
                </w:tcPr>
                <w:p>
                  <w:pPr>
                    <w:jc w:val="center"/>
                    <w:rPr>
                      <w:bCs/>
                      <w:color w:val="auto"/>
                      <w:szCs w:val="21"/>
                    </w:rPr>
                  </w:pPr>
                  <w:r>
                    <w:rPr>
                      <w:rFonts w:hint="eastAsia"/>
                      <w:bCs/>
                      <w:color w:val="auto"/>
                      <w:szCs w:val="21"/>
                    </w:rPr>
                    <w:t>状态</w:t>
                  </w:r>
                </w:p>
              </w:tc>
              <w:tc>
                <w:tcPr>
                  <w:tcW w:w="1307" w:type="dxa"/>
                  <w:tcBorders>
                    <w:tl2br w:val="nil"/>
                    <w:tr2bl w:val="nil"/>
                  </w:tcBorders>
                  <w:vAlign w:val="center"/>
                </w:tcPr>
                <w:p>
                  <w:pPr>
                    <w:jc w:val="center"/>
                    <w:rPr>
                      <w:bCs/>
                      <w:color w:val="auto"/>
                      <w:szCs w:val="21"/>
                    </w:rPr>
                  </w:pPr>
                  <w:r>
                    <w:rPr>
                      <w:rFonts w:hint="eastAsia"/>
                      <w:bCs/>
                      <w:color w:val="auto"/>
                      <w:szCs w:val="21"/>
                    </w:rPr>
                    <w:t>储存规格</w:t>
                  </w:r>
                </w:p>
              </w:tc>
              <w:tc>
                <w:tcPr>
                  <w:tcW w:w="1290" w:type="dxa"/>
                  <w:tcBorders>
                    <w:tl2br w:val="nil"/>
                    <w:tr2bl w:val="nil"/>
                  </w:tcBorders>
                  <w:vAlign w:val="center"/>
                </w:tcPr>
                <w:p>
                  <w:pPr>
                    <w:jc w:val="center"/>
                    <w:rPr>
                      <w:bCs/>
                      <w:color w:val="auto"/>
                      <w:szCs w:val="21"/>
                    </w:rPr>
                  </w:pPr>
                  <w:r>
                    <w:rPr>
                      <w:rFonts w:hint="eastAsia"/>
                      <w:bCs/>
                      <w:color w:val="auto"/>
                      <w:szCs w:val="21"/>
                    </w:rPr>
                    <w:t>厂内最大储量</w:t>
                  </w:r>
                </w:p>
              </w:tc>
              <w:tc>
                <w:tcPr>
                  <w:tcW w:w="1605" w:type="dxa"/>
                  <w:tcBorders>
                    <w:tl2br w:val="nil"/>
                    <w:tr2bl w:val="nil"/>
                  </w:tcBorders>
                  <w:vAlign w:val="center"/>
                </w:tcPr>
                <w:p>
                  <w:pPr>
                    <w:jc w:val="center"/>
                    <w:rPr>
                      <w:bCs/>
                      <w:color w:val="auto"/>
                      <w:szCs w:val="21"/>
                    </w:rPr>
                  </w:pPr>
                  <w:r>
                    <w:rPr>
                      <w:rFonts w:hint="eastAsia"/>
                      <w:bCs/>
                      <w:color w:val="auto"/>
                      <w:szCs w:val="21"/>
                    </w:rPr>
                    <w:t>储存位置</w:t>
                  </w:r>
                </w:p>
              </w:tc>
              <w:tc>
                <w:tcPr>
                  <w:tcW w:w="839" w:type="dxa"/>
                  <w:tcBorders>
                    <w:tl2br w:val="nil"/>
                    <w:tr2bl w:val="nil"/>
                  </w:tcBorders>
                  <w:vAlign w:val="center"/>
                </w:tcPr>
                <w:p>
                  <w:pPr>
                    <w:jc w:val="center"/>
                    <w:rPr>
                      <w:bCs/>
                      <w:color w:val="auto"/>
                      <w:szCs w:val="21"/>
                    </w:rPr>
                  </w:pPr>
                  <w:r>
                    <w:rPr>
                      <w:rFonts w:hint="eastAsia"/>
                      <w:bCs/>
                      <w:color w:val="auto"/>
                      <w:szCs w:val="21"/>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bookmarkStart w:id="4" w:name="OLE_LINK2" w:colFirst="1" w:colLast="1"/>
                </w:p>
              </w:tc>
              <w:tc>
                <w:tcPr>
                  <w:tcW w:w="1305" w:type="dxa"/>
                  <w:tcBorders>
                    <w:tl2br w:val="nil"/>
                    <w:tr2bl w:val="nil"/>
                  </w:tcBorders>
                  <w:vAlign w:val="center"/>
                </w:tcPr>
                <w:p>
                  <w:pPr>
                    <w:pStyle w:val="48"/>
                    <w:adjustRightInd w:val="0"/>
                    <w:snapToGrid w:val="0"/>
                    <w:spacing w:line="240" w:lineRule="auto"/>
                    <w:ind w:firstLine="0" w:firstLineChars="0"/>
                    <w:jc w:val="center"/>
                    <w:rPr>
                      <w:bCs/>
                      <w:color w:val="auto"/>
                      <w:sz w:val="21"/>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pStyle w:val="48"/>
                    <w:adjustRightInd w:val="0"/>
                    <w:snapToGrid w:val="0"/>
                    <w:spacing w:line="240" w:lineRule="auto"/>
                    <w:ind w:firstLine="0" w:firstLineChars="0"/>
                    <w:jc w:val="center"/>
                    <w:rPr>
                      <w:bCs/>
                      <w:color w:val="auto"/>
                      <w:sz w:val="21"/>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pStyle w:val="48"/>
                    <w:adjustRightInd w:val="0"/>
                    <w:snapToGrid w:val="0"/>
                    <w:spacing w:line="240" w:lineRule="auto"/>
                    <w:ind w:firstLine="0" w:firstLineChars="0"/>
                    <w:jc w:val="center"/>
                    <w:rPr>
                      <w:bCs/>
                      <w:color w:val="auto"/>
                      <w:sz w:val="21"/>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pStyle w:val="48"/>
                    <w:adjustRightInd w:val="0"/>
                    <w:snapToGrid w:val="0"/>
                    <w:spacing w:line="240" w:lineRule="auto"/>
                    <w:ind w:firstLine="0" w:firstLineChars="0"/>
                    <w:jc w:val="center"/>
                    <w:rPr>
                      <w:bCs/>
                      <w:color w:val="auto"/>
                      <w:sz w:val="21"/>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pStyle w:val="48"/>
                    <w:adjustRightInd w:val="0"/>
                    <w:snapToGrid w:val="0"/>
                    <w:spacing w:line="240" w:lineRule="auto"/>
                    <w:ind w:firstLine="0" w:firstLineChars="0"/>
                    <w:jc w:val="center"/>
                    <w:rPr>
                      <w:bCs/>
                      <w:color w:val="auto"/>
                      <w:sz w:val="21"/>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jc w:val="center"/>
                    <w:rPr>
                      <w:bCs/>
                      <w:color w:val="auto"/>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jc w:val="center"/>
                    <w:rPr>
                      <w:bCs/>
                      <w:color w:val="auto"/>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jc w:val="center"/>
                    <w:rPr>
                      <w:bCs/>
                      <w:color w:val="auto"/>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jc w:val="center"/>
                    <w:rPr>
                      <w:bCs/>
                      <w:color w:val="auto"/>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jc w:val="center"/>
                    <w:rPr>
                      <w:bCs/>
                      <w:color w:val="auto"/>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jc w:val="center"/>
                    <w:rPr>
                      <w:bCs/>
                      <w:color w:val="auto"/>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jc w:val="center"/>
                    <w:rPr>
                      <w:bCs/>
                      <w:color w:val="auto"/>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437" w:type="dxa"/>
                  <w:gridSpan w:val="2"/>
                  <w:tcBorders>
                    <w:tl2br w:val="nil"/>
                    <w:tr2bl w:val="nil"/>
                  </w:tcBorders>
                  <w:vAlign w:val="center"/>
                </w:tcPr>
                <w:p>
                  <w:pPr>
                    <w:widowControl/>
                    <w:jc w:val="center"/>
                    <w:textAlignment w:val="center"/>
                    <w:rPr>
                      <w:bCs/>
                      <w:color w:val="auto"/>
                      <w:szCs w:val="21"/>
                    </w:rPr>
                  </w:pPr>
                </w:p>
              </w:tc>
              <w:tc>
                <w:tcPr>
                  <w:tcW w:w="1305" w:type="dxa"/>
                  <w:tcBorders>
                    <w:tl2br w:val="nil"/>
                    <w:tr2bl w:val="nil"/>
                  </w:tcBorders>
                  <w:vAlign w:val="center"/>
                </w:tcPr>
                <w:p>
                  <w:pPr>
                    <w:jc w:val="center"/>
                    <w:rPr>
                      <w:bCs/>
                      <w:color w:val="auto"/>
                      <w:szCs w:val="21"/>
                    </w:rPr>
                  </w:pPr>
                </w:p>
              </w:tc>
              <w:tc>
                <w:tcPr>
                  <w:tcW w:w="720" w:type="dxa"/>
                  <w:tcBorders>
                    <w:tl2br w:val="nil"/>
                    <w:tr2bl w:val="nil"/>
                  </w:tcBorders>
                  <w:vAlign w:val="center"/>
                </w:tcPr>
                <w:p>
                  <w:pPr>
                    <w:jc w:val="center"/>
                    <w:rPr>
                      <w:bCs/>
                      <w:color w:val="auto"/>
                      <w:szCs w:val="21"/>
                    </w:rPr>
                  </w:pPr>
                </w:p>
              </w:tc>
              <w:tc>
                <w:tcPr>
                  <w:tcW w:w="1307" w:type="dxa"/>
                  <w:tcBorders>
                    <w:tl2br w:val="nil"/>
                    <w:tr2bl w:val="nil"/>
                  </w:tcBorders>
                  <w:vAlign w:val="center"/>
                </w:tcPr>
                <w:p>
                  <w:pPr>
                    <w:jc w:val="center"/>
                    <w:rPr>
                      <w:bCs/>
                      <w:color w:val="auto"/>
                      <w:szCs w:val="21"/>
                    </w:rPr>
                  </w:pPr>
                </w:p>
              </w:tc>
              <w:tc>
                <w:tcPr>
                  <w:tcW w:w="1290" w:type="dxa"/>
                  <w:tcBorders>
                    <w:tl2br w:val="nil"/>
                    <w:tr2bl w:val="nil"/>
                  </w:tcBorders>
                  <w:vAlign w:val="center"/>
                </w:tcPr>
                <w:p>
                  <w:pPr>
                    <w:jc w:val="center"/>
                    <w:rPr>
                      <w:bCs/>
                      <w:color w:val="auto"/>
                      <w:szCs w:val="21"/>
                    </w:rPr>
                  </w:pPr>
                </w:p>
              </w:tc>
              <w:tc>
                <w:tcPr>
                  <w:tcW w:w="1605" w:type="dxa"/>
                  <w:tcBorders>
                    <w:tl2br w:val="nil"/>
                    <w:tr2bl w:val="nil"/>
                  </w:tcBorders>
                  <w:vAlign w:val="center"/>
                </w:tcPr>
                <w:p>
                  <w:pPr>
                    <w:jc w:val="center"/>
                    <w:rPr>
                      <w:bCs/>
                      <w:color w:val="auto"/>
                      <w:szCs w:val="21"/>
                    </w:rPr>
                  </w:pPr>
                </w:p>
              </w:tc>
              <w:tc>
                <w:tcPr>
                  <w:tcW w:w="839" w:type="dxa"/>
                  <w:tcBorders>
                    <w:tl2br w:val="nil"/>
                    <w:tr2bl w:val="nil"/>
                  </w:tcBorders>
                  <w:vAlign w:val="center"/>
                </w:tcPr>
                <w:p>
                  <w:pPr>
                    <w:jc w:val="center"/>
                    <w:rPr>
                      <w:bCs/>
                      <w:color w:val="auto"/>
                      <w:szCs w:val="21"/>
                    </w:rPr>
                  </w:pPr>
                </w:p>
              </w:tc>
            </w:tr>
            <w:bookmarkEnd w:id="4"/>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7" w:type="dxa"/>
                  <w:vMerge w:val="restart"/>
                  <w:tcBorders>
                    <w:tl2br w:val="nil"/>
                    <w:tr2bl w:val="nil"/>
                  </w:tcBorders>
                  <w:vAlign w:val="center"/>
                </w:tcPr>
                <w:p>
                  <w:pPr>
                    <w:jc w:val="center"/>
                    <w:rPr>
                      <w:bCs/>
                      <w:color w:val="auto"/>
                      <w:szCs w:val="21"/>
                    </w:rPr>
                  </w:pPr>
                </w:p>
              </w:tc>
              <w:tc>
                <w:tcPr>
                  <w:tcW w:w="600" w:type="dxa"/>
                  <w:tcBorders>
                    <w:tl2br w:val="nil"/>
                    <w:tr2bl w:val="nil"/>
                  </w:tcBorders>
                  <w:vAlign w:val="center"/>
                </w:tcPr>
                <w:p>
                  <w:pPr>
                    <w:jc w:val="center"/>
                    <w:rPr>
                      <w:bCs/>
                      <w:color w:val="auto"/>
                      <w:szCs w:val="21"/>
                    </w:rPr>
                  </w:pPr>
                </w:p>
              </w:tc>
              <w:tc>
                <w:tcPr>
                  <w:tcW w:w="1305" w:type="dxa"/>
                  <w:tcBorders>
                    <w:tl2br w:val="nil"/>
                    <w:tr2bl w:val="nil"/>
                  </w:tcBorders>
                  <w:vAlign w:val="center"/>
                </w:tcPr>
                <w:p>
                  <w:pPr>
                    <w:jc w:val="center"/>
                    <w:rPr>
                      <w:bCs/>
                      <w:color w:val="auto"/>
                      <w:szCs w:val="21"/>
                    </w:rPr>
                  </w:pPr>
                </w:p>
              </w:tc>
              <w:tc>
                <w:tcPr>
                  <w:tcW w:w="5761" w:type="dxa"/>
                  <w:gridSpan w:val="5"/>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37" w:type="dxa"/>
                  <w:vMerge w:val="continue"/>
                  <w:tcBorders>
                    <w:tl2br w:val="nil"/>
                    <w:tr2bl w:val="nil"/>
                  </w:tcBorders>
                  <w:vAlign w:val="center"/>
                </w:tcPr>
                <w:p>
                  <w:pPr>
                    <w:jc w:val="center"/>
                    <w:rPr>
                      <w:bCs/>
                      <w:color w:val="auto"/>
                      <w:szCs w:val="21"/>
                    </w:rPr>
                  </w:pPr>
                </w:p>
              </w:tc>
              <w:tc>
                <w:tcPr>
                  <w:tcW w:w="600" w:type="dxa"/>
                  <w:tcBorders>
                    <w:tl2br w:val="nil"/>
                    <w:tr2bl w:val="nil"/>
                  </w:tcBorders>
                  <w:vAlign w:val="center"/>
                </w:tcPr>
                <w:p>
                  <w:pPr>
                    <w:jc w:val="center"/>
                    <w:rPr>
                      <w:bCs/>
                      <w:color w:val="auto"/>
                      <w:szCs w:val="21"/>
                    </w:rPr>
                  </w:pPr>
                </w:p>
              </w:tc>
              <w:tc>
                <w:tcPr>
                  <w:tcW w:w="1305" w:type="dxa"/>
                  <w:tcBorders>
                    <w:tl2br w:val="nil"/>
                    <w:tr2bl w:val="nil"/>
                  </w:tcBorders>
                  <w:vAlign w:val="center"/>
                </w:tcPr>
                <w:p>
                  <w:pPr>
                    <w:jc w:val="center"/>
                    <w:rPr>
                      <w:rFonts w:hint="default"/>
                      <w:bCs/>
                      <w:color w:val="auto"/>
                      <w:szCs w:val="21"/>
                      <w:lang w:val="en-US"/>
                    </w:rPr>
                  </w:pPr>
                </w:p>
              </w:tc>
              <w:tc>
                <w:tcPr>
                  <w:tcW w:w="5761" w:type="dxa"/>
                  <w:gridSpan w:val="5"/>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8503" w:type="dxa"/>
                  <w:gridSpan w:val="8"/>
                  <w:tcBorders>
                    <w:tl2br w:val="nil"/>
                    <w:tr2bl w:val="nil"/>
                  </w:tcBorders>
                  <w:vAlign w:val="center"/>
                </w:tcPr>
                <w:p>
                  <w:pPr>
                    <w:rPr>
                      <w:bCs/>
                      <w:color w:val="auto"/>
                      <w:szCs w:val="21"/>
                    </w:rPr>
                  </w:pPr>
                </w:p>
              </w:tc>
            </w:tr>
          </w:tbl>
          <w:p>
            <w:pPr>
              <w:pStyle w:val="47"/>
              <w:rPr>
                <w:color w:val="auto"/>
              </w:rPr>
            </w:pPr>
            <w:r>
              <w:rPr>
                <w:color w:val="auto"/>
              </w:rPr>
              <w:t>表</w:t>
            </w:r>
            <w:r>
              <w:rPr>
                <w:rFonts w:hint="eastAsia"/>
                <w:color w:val="auto"/>
              </w:rPr>
              <w:t>2.5-2</w:t>
            </w:r>
            <w:r>
              <w:rPr>
                <w:color w:val="auto"/>
              </w:rPr>
              <w:t xml:space="preserve">  </w:t>
            </w:r>
            <w:r>
              <w:rPr>
                <w:rFonts w:hint="eastAsia"/>
                <w:color w:val="auto"/>
              </w:rPr>
              <w:t>扩建</w:t>
            </w:r>
            <w:r>
              <w:rPr>
                <w:color w:val="auto"/>
              </w:rPr>
              <w:t>项目</w:t>
            </w:r>
            <w:r>
              <w:rPr>
                <w:rFonts w:hint="eastAsia"/>
                <w:color w:val="auto"/>
              </w:rPr>
              <w:t>各</w:t>
            </w:r>
            <w:r>
              <w:rPr>
                <w:color w:val="auto"/>
              </w:rPr>
              <w:t>原料主要成分及理化性质一览表</w:t>
            </w:r>
          </w:p>
          <w:tbl>
            <w:tblPr>
              <w:tblStyle w:val="37"/>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8"/>
              <w:gridCol w:w="1506"/>
              <w:gridCol w:w="65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6" w:hRule="atLeast"/>
                <w:jc w:val="center"/>
              </w:trPr>
              <w:tc>
                <w:tcPr>
                  <w:tcW w:w="448" w:type="dxa"/>
                  <w:tcBorders>
                    <w:tl2br w:val="nil"/>
                    <w:tr2bl w:val="nil"/>
                  </w:tcBorders>
                  <w:vAlign w:val="center"/>
                </w:tcPr>
                <w:p>
                  <w:pPr>
                    <w:tabs>
                      <w:tab w:val="left" w:pos="5680"/>
                    </w:tabs>
                    <w:jc w:val="center"/>
                    <w:rPr>
                      <w:bCs/>
                      <w:color w:val="auto"/>
                      <w:szCs w:val="21"/>
                    </w:rPr>
                  </w:pPr>
                  <w:r>
                    <w:rPr>
                      <w:rFonts w:hint="eastAsia"/>
                      <w:bCs/>
                      <w:color w:val="auto"/>
                      <w:szCs w:val="21"/>
                    </w:rPr>
                    <w:t>序号</w:t>
                  </w:r>
                </w:p>
              </w:tc>
              <w:tc>
                <w:tcPr>
                  <w:tcW w:w="1506" w:type="dxa"/>
                  <w:tcBorders>
                    <w:tl2br w:val="nil"/>
                    <w:tr2bl w:val="nil"/>
                  </w:tcBorders>
                  <w:vAlign w:val="center"/>
                </w:tcPr>
                <w:p>
                  <w:pPr>
                    <w:tabs>
                      <w:tab w:val="left" w:pos="5680"/>
                    </w:tabs>
                    <w:jc w:val="center"/>
                    <w:rPr>
                      <w:bCs/>
                      <w:color w:val="auto"/>
                      <w:szCs w:val="21"/>
                    </w:rPr>
                  </w:pPr>
                  <w:r>
                    <w:rPr>
                      <w:rFonts w:hint="eastAsia"/>
                      <w:bCs/>
                      <w:color w:val="auto"/>
                      <w:szCs w:val="21"/>
                    </w:rPr>
                    <w:t>名称</w:t>
                  </w:r>
                </w:p>
              </w:tc>
              <w:tc>
                <w:tcPr>
                  <w:tcW w:w="6550" w:type="dxa"/>
                  <w:tcBorders>
                    <w:tl2br w:val="nil"/>
                    <w:tr2bl w:val="nil"/>
                  </w:tcBorders>
                  <w:vAlign w:val="center"/>
                </w:tcPr>
                <w:p>
                  <w:pPr>
                    <w:tabs>
                      <w:tab w:val="left" w:pos="5680"/>
                    </w:tabs>
                    <w:jc w:val="center"/>
                    <w:rPr>
                      <w:bCs/>
                      <w:color w:val="auto"/>
                      <w:szCs w:val="21"/>
                    </w:rPr>
                  </w:pPr>
                  <w:r>
                    <w:rPr>
                      <w:rFonts w:hint="eastAsia"/>
                      <w:bCs/>
                      <w:color w:val="auto"/>
                      <w:szCs w:val="21"/>
                    </w:rPr>
                    <w:t>理化性质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bCs/>
                      <w:color w:val="auto"/>
                      <w:szCs w:val="21"/>
                    </w:rPr>
                  </w:pPr>
                </w:p>
              </w:tc>
              <w:tc>
                <w:tcPr>
                  <w:tcW w:w="6550" w:type="dxa"/>
                  <w:tcBorders>
                    <w:tl2br w:val="nil"/>
                    <w:tr2bl w:val="nil"/>
                  </w:tcBorders>
                  <w:vAlign w:val="center"/>
                </w:tcPr>
                <w:p>
                  <w:pPr>
                    <w:tabs>
                      <w:tab w:val="left" w:pos="5680"/>
                    </w:tabs>
                    <w:ind w:firstLine="420" w:firstLineChars="200"/>
                    <w:jc w:val="left"/>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bCs/>
                      <w:color w:val="auto"/>
                      <w:szCs w:val="21"/>
                    </w:rPr>
                  </w:pPr>
                </w:p>
              </w:tc>
              <w:tc>
                <w:tcPr>
                  <w:tcW w:w="6550" w:type="dxa"/>
                  <w:tcBorders>
                    <w:tl2br w:val="nil"/>
                    <w:tr2bl w:val="nil"/>
                  </w:tcBorders>
                  <w:vAlign w:val="center"/>
                </w:tcPr>
                <w:p>
                  <w:pPr>
                    <w:tabs>
                      <w:tab w:val="left" w:pos="5680"/>
                    </w:tabs>
                    <w:ind w:firstLine="420" w:firstLineChars="200"/>
                    <w:jc w:val="left"/>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5"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bCs/>
                      <w:color w:val="auto"/>
                      <w:szCs w:val="21"/>
                    </w:rPr>
                  </w:pPr>
                </w:p>
              </w:tc>
              <w:tc>
                <w:tcPr>
                  <w:tcW w:w="6550" w:type="dxa"/>
                  <w:tcBorders>
                    <w:tl2br w:val="nil"/>
                    <w:tr2bl w:val="nil"/>
                  </w:tcBorders>
                  <w:vAlign w:val="center"/>
                </w:tcPr>
                <w:p>
                  <w:pPr>
                    <w:tabs>
                      <w:tab w:val="left" w:pos="5680"/>
                    </w:tabs>
                    <w:ind w:firstLine="420" w:firstLineChars="200"/>
                    <w:jc w:val="left"/>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bCs/>
                      <w:color w:val="auto"/>
                      <w:szCs w:val="21"/>
                    </w:rPr>
                  </w:pPr>
                </w:p>
              </w:tc>
              <w:tc>
                <w:tcPr>
                  <w:tcW w:w="6550" w:type="dxa"/>
                  <w:tcBorders>
                    <w:tl2br w:val="nil"/>
                    <w:tr2bl w:val="nil"/>
                  </w:tcBorders>
                  <w:vAlign w:val="center"/>
                </w:tcPr>
                <w:p>
                  <w:pPr>
                    <w:tabs>
                      <w:tab w:val="left" w:pos="5680"/>
                    </w:tabs>
                    <w:ind w:firstLine="420" w:firstLineChars="200"/>
                    <w:jc w:val="left"/>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64"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bCs/>
                      <w:color w:val="auto"/>
                      <w:szCs w:val="21"/>
                    </w:rPr>
                  </w:pPr>
                </w:p>
              </w:tc>
              <w:tc>
                <w:tcPr>
                  <w:tcW w:w="6550" w:type="dxa"/>
                  <w:tcBorders>
                    <w:tl2br w:val="nil"/>
                    <w:tr2bl w:val="nil"/>
                  </w:tcBorders>
                  <w:vAlign w:val="center"/>
                </w:tcPr>
                <w:p>
                  <w:pPr>
                    <w:tabs>
                      <w:tab w:val="left" w:pos="5680"/>
                    </w:tabs>
                    <w:ind w:firstLine="420" w:firstLineChars="200"/>
                    <w:jc w:val="left"/>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bCs/>
                      <w:color w:val="auto"/>
                      <w:szCs w:val="21"/>
                    </w:rPr>
                  </w:pPr>
                </w:p>
              </w:tc>
              <w:tc>
                <w:tcPr>
                  <w:tcW w:w="6550" w:type="dxa"/>
                  <w:tcBorders>
                    <w:tl2br w:val="nil"/>
                    <w:tr2bl w:val="nil"/>
                  </w:tcBorders>
                  <w:vAlign w:val="center"/>
                </w:tcPr>
                <w:p>
                  <w:pPr>
                    <w:widowControl/>
                    <w:jc w:val="left"/>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bCs/>
                      <w:color w:val="auto"/>
                      <w:szCs w:val="21"/>
                    </w:rPr>
                  </w:pPr>
                </w:p>
              </w:tc>
              <w:tc>
                <w:tcPr>
                  <w:tcW w:w="6550" w:type="dxa"/>
                  <w:tcBorders>
                    <w:tl2br w:val="nil"/>
                    <w:tr2bl w:val="nil"/>
                  </w:tcBorders>
                  <w:vAlign w:val="center"/>
                </w:tcPr>
                <w:p>
                  <w:pPr>
                    <w:tabs>
                      <w:tab w:val="left" w:pos="5680"/>
                    </w:tabs>
                    <w:ind w:firstLine="420" w:firstLineChars="200"/>
                    <w:jc w:val="left"/>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bCs/>
                      <w:color w:val="auto"/>
                      <w:szCs w:val="21"/>
                    </w:rPr>
                  </w:pPr>
                </w:p>
              </w:tc>
              <w:tc>
                <w:tcPr>
                  <w:tcW w:w="6550" w:type="dxa"/>
                  <w:tcBorders>
                    <w:tl2br w:val="nil"/>
                    <w:tr2bl w:val="nil"/>
                  </w:tcBorders>
                  <w:vAlign w:val="center"/>
                </w:tcPr>
                <w:p>
                  <w:pPr>
                    <w:tabs>
                      <w:tab w:val="left" w:pos="5680"/>
                    </w:tabs>
                    <w:ind w:firstLine="420" w:firstLineChars="200"/>
                    <w:jc w:val="left"/>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6"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color w:val="auto"/>
                      <w:kern w:val="0"/>
                      <w:szCs w:val="21"/>
                      <w:lang w:bidi="ar"/>
                    </w:rPr>
                  </w:pPr>
                </w:p>
              </w:tc>
              <w:tc>
                <w:tcPr>
                  <w:tcW w:w="6550" w:type="dxa"/>
                  <w:tcBorders>
                    <w:tl2br w:val="nil"/>
                    <w:tr2bl w:val="nil"/>
                  </w:tcBorders>
                  <w:vAlign w:val="center"/>
                </w:tcPr>
                <w:p>
                  <w:pPr>
                    <w:tabs>
                      <w:tab w:val="left" w:pos="5680"/>
                    </w:tabs>
                    <w:ind w:firstLine="420" w:firstLineChars="200"/>
                    <w:jc w:val="left"/>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color w:val="auto"/>
                      <w:kern w:val="0"/>
                      <w:szCs w:val="21"/>
                      <w:lang w:bidi="ar"/>
                    </w:rPr>
                  </w:pPr>
                </w:p>
              </w:tc>
              <w:tc>
                <w:tcPr>
                  <w:tcW w:w="6550" w:type="dxa"/>
                  <w:tcBorders>
                    <w:tl2br w:val="nil"/>
                    <w:tr2bl w:val="nil"/>
                  </w:tcBorders>
                  <w:vAlign w:val="center"/>
                </w:tcPr>
                <w:p>
                  <w:pPr>
                    <w:tabs>
                      <w:tab w:val="left" w:pos="5680"/>
                    </w:tabs>
                    <w:ind w:firstLine="420" w:firstLineChars="200"/>
                    <w:jc w:val="left"/>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color w:val="auto"/>
                      <w:kern w:val="0"/>
                      <w:szCs w:val="21"/>
                      <w:lang w:bidi="ar"/>
                    </w:rPr>
                  </w:pPr>
                </w:p>
              </w:tc>
              <w:tc>
                <w:tcPr>
                  <w:tcW w:w="6550" w:type="dxa"/>
                  <w:tcBorders>
                    <w:tl2br w:val="nil"/>
                    <w:tr2bl w:val="nil"/>
                  </w:tcBorders>
                  <w:vAlign w:val="center"/>
                </w:tcPr>
                <w:p>
                  <w:pPr>
                    <w:tabs>
                      <w:tab w:val="left" w:pos="5680"/>
                    </w:tabs>
                    <w:ind w:firstLine="420" w:firstLineChars="200"/>
                    <w:jc w:val="left"/>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color w:val="auto"/>
                      <w:kern w:val="0"/>
                      <w:szCs w:val="21"/>
                      <w:lang w:bidi="ar"/>
                    </w:rPr>
                  </w:pPr>
                </w:p>
              </w:tc>
              <w:tc>
                <w:tcPr>
                  <w:tcW w:w="6550" w:type="dxa"/>
                  <w:tcBorders>
                    <w:tl2br w:val="nil"/>
                    <w:tr2bl w:val="nil"/>
                  </w:tcBorders>
                  <w:vAlign w:val="center"/>
                </w:tcPr>
                <w:p>
                  <w:pPr>
                    <w:tabs>
                      <w:tab w:val="left" w:pos="5680"/>
                    </w:tabs>
                    <w:ind w:firstLine="420" w:firstLineChars="200"/>
                    <w:jc w:val="left"/>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8" w:type="dxa"/>
                  <w:tcBorders>
                    <w:tl2br w:val="nil"/>
                    <w:tr2bl w:val="nil"/>
                  </w:tcBorders>
                  <w:vAlign w:val="center"/>
                </w:tcPr>
                <w:p>
                  <w:pPr>
                    <w:tabs>
                      <w:tab w:val="left" w:pos="5680"/>
                    </w:tabs>
                    <w:jc w:val="center"/>
                    <w:rPr>
                      <w:bCs/>
                      <w:color w:val="auto"/>
                      <w:szCs w:val="21"/>
                    </w:rPr>
                  </w:pPr>
                </w:p>
              </w:tc>
              <w:tc>
                <w:tcPr>
                  <w:tcW w:w="1506" w:type="dxa"/>
                  <w:tcBorders>
                    <w:tl2br w:val="nil"/>
                    <w:tr2bl w:val="nil"/>
                  </w:tcBorders>
                  <w:vAlign w:val="center"/>
                </w:tcPr>
                <w:p>
                  <w:pPr>
                    <w:widowControl/>
                    <w:jc w:val="center"/>
                    <w:textAlignment w:val="center"/>
                    <w:rPr>
                      <w:color w:val="auto"/>
                      <w:kern w:val="0"/>
                      <w:szCs w:val="21"/>
                      <w:lang w:bidi="ar"/>
                    </w:rPr>
                  </w:pPr>
                </w:p>
              </w:tc>
              <w:tc>
                <w:tcPr>
                  <w:tcW w:w="6550" w:type="dxa"/>
                  <w:tcBorders>
                    <w:tl2br w:val="nil"/>
                    <w:tr2bl w:val="nil"/>
                  </w:tcBorders>
                  <w:vAlign w:val="center"/>
                </w:tcPr>
                <w:p>
                  <w:pPr>
                    <w:tabs>
                      <w:tab w:val="left" w:pos="5680"/>
                    </w:tabs>
                    <w:ind w:firstLine="420" w:firstLineChars="200"/>
                    <w:jc w:val="left"/>
                    <w:rPr>
                      <w:color w:val="auto"/>
                    </w:rPr>
                  </w:pPr>
                </w:p>
              </w:tc>
            </w:tr>
          </w:tbl>
          <w:p>
            <w:pPr>
              <w:pStyle w:val="73"/>
              <w:rPr>
                <w:color w:val="auto"/>
              </w:rPr>
            </w:pPr>
            <w:r>
              <w:rPr>
                <w:rFonts w:hint="eastAsia"/>
                <w:color w:val="auto"/>
              </w:rPr>
              <w:t>2.6扩建项目主要生产设备</w:t>
            </w:r>
          </w:p>
          <w:p>
            <w:pPr>
              <w:pStyle w:val="48"/>
              <w:ind w:firstLine="480"/>
              <w:rPr>
                <w:color w:val="auto"/>
              </w:rPr>
            </w:pPr>
            <w:r>
              <w:rPr>
                <w:rFonts w:hint="eastAsia"/>
                <w:color w:val="auto"/>
              </w:rPr>
              <w:t>扩建</w:t>
            </w:r>
            <w:r>
              <w:rPr>
                <w:color w:val="auto"/>
              </w:rPr>
              <w:t>项目主要生产设备见</w:t>
            </w:r>
            <w:r>
              <w:rPr>
                <w:b/>
                <w:bCs/>
                <w:color w:val="auto"/>
              </w:rPr>
              <w:t>表2.</w:t>
            </w:r>
            <w:r>
              <w:rPr>
                <w:rFonts w:hint="eastAsia"/>
                <w:b/>
                <w:bCs/>
                <w:color w:val="auto"/>
              </w:rPr>
              <w:t>6</w:t>
            </w:r>
            <w:r>
              <w:rPr>
                <w:b/>
                <w:bCs/>
                <w:color w:val="auto"/>
              </w:rPr>
              <w:t>-1</w:t>
            </w:r>
            <w:r>
              <w:rPr>
                <w:color w:val="auto"/>
              </w:rPr>
              <w:t>。</w:t>
            </w:r>
          </w:p>
          <w:p>
            <w:pPr>
              <w:pStyle w:val="13"/>
              <w:ind w:firstLine="0"/>
              <w:jc w:val="center"/>
              <w:rPr>
                <w:b/>
                <w:bCs/>
                <w:color w:val="auto"/>
                <w:sz w:val="24"/>
                <w:szCs w:val="24"/>
              </w:rPr>
            </w:pPr>
            <w:r>
              <w:rPr>
                <w:rFonts w:eastAsia="宋体"/>
                <w:b/>
                <w:color w:val="auto"/>
                <w:sz w:val="24"/>
                <w:szCs w:val="24"/>
              </w:rPr>
              <w:t>表2</w:t>
            </w:r>
            <w:r>
              <w:rPr>
                <w:rFonts w:hint="eastAsia" w:eastAsia="宋体"/>
                <w:b/>
                <w:color w:val="auto"/>
                <w:sz w:val="24"/>
                <w:szCs w:val="24"/>
              </w:rPr>
              <w:t>.6-1</w:t>
            </w:r>
            <w:r>
              <w:rPr>
                <w:rFonts w:eastAsia="宋体"/>
                <w:b/>
                <w:color w:val="auto"/>
                <w:sz w:val="24"/>
                <w:szCs w:val="24"/>
              </w:rPr>
              <w:t xml:space="preserve">  </w:t>
            </w:r>
            <w:r>
              <w:rPr>
                <w:rFonts w:hint="eastAsia" w:eastAsia="宋体"/>
                <w:b/>
                <w:color w:val="auto"/>
                <w:sz w:val="24"/>
                <w:szCs w:val="24"/>
              </w:rPr>
              <w:t>扩建项目</w:t>
            </w:r>
            <w:r>
              <w:rPr>
                <w:rFonts w:eastAsia="宋体"/>
                <w:b/>
                <w:color w:val="auto"/>
                <w:sz w:val="24"/>
                <w:szCs w:val="24"/>
              </w:rPr>
              <w:t>主要</w:t>
            </w:r>
            <w:r>
              <w:rPr>
                <w:rFonts w:hint="eastAsia" w:eastAsia="宋体"/>
                <w:b/>
                <w:color w:val="auto"/>
                <w:sz w:val="24"/>
                <w:szCs w:val="24"/>
              </w:rPr>
              <w:t>生产</w:t>
            </w:r>
            <w:r>
              <w:rPr>
                <w:rFonts w:eastAsia="宋体"/>
                <w:b/>
                <w:color w:val="auto"/>
                <w:sz w:val="24"/>
                <w:szCs w:val="24"/>
              </w:rPr>
              <w:t>设备一览表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695"/>
              <w:gridCol w:w="2637"/>
              <w:gridCol w:w="885"/>
              <w:gridCol w:w="26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r>
                    <w:rPr>
                      <w:bCs/>
                      <w:color w:val="auto"/>
                      <w:szCs w:val="21"/>
                    </w:rPr>
                    <w:t>序号</w:t>
                  </w:r>
                </w:p>
              </w:tc>
              <w:tc>
                <w:tcPr>
                  <w:tcW w:w="1695" w:type="dxa"/>
                  <w:tcBorders>
                    <w:tl2br w:val="nil"/>
                    <w:tr2bl w:val="nil"/>
                  </w:tcBorders>
                  <w:vAlign w:val="center"/>
                </w:tcPr>
                <w:p>
                  <w:pPr>
                    <w:jc w:val="center"/>
                    <w:rPr>
                      <w:bCs/>
                      <w:color w:val="auto"/>
                      <w:szCs w:val="21"/>
                    </w:rPr>
                  </w:pPr>
                  <w:r>
                    <w:rPr>
                      <w:bCs/>
                      <w:color w:val="auto"/>
                      <w:szCs w:val="21"/>
                    </w:rPr>
                    <w:t>设备名称</w:t>
                  </w:r>
                </w:p>
              </w:tc>
              <w:tc>
                <w:tcPr>
                  <w:tcW w:w="2637" w:type="dxa"/>
                  <w:tcBorders>
                    <w:tl2br w:val="nil"/>
                    <w:tr2bl w:val="nil"/>
                  </w:tcBorders>
                  <w:vAlign w:val="center"/>
                </w:tcPr>
                <w:p>
                  <w:pPr>
                    <w:jc w:val="center"/>
                    <w:rPr>
                      <w:bCs/>
                      <w:color w:val="auto"/>
                      <w:szCs w:val="21"/>
                    </w:rPr>
                  </w:pPr>
                  <w:r>
                    <w:rPr>
                      <w:rFonts w:hint="eastAsia"/>
                      <w:bCs/>
                      <w:color w:val="auto"/>
                      <w:szCs w:val="21"/>
                    </w:rPr>
                    <w:t>规格/</w:t>
                  </w:r>
                  <w:r>
                    <w:rPr>
                      <w:bCs/>
                      <w:color w:val="auto"/>
                      <w:szCs w:val="21"/>
                    </w:rPr>
                    <w:t>型号</w:t>
                  </w:r>
                </w:p>
              </w:tc>
              <w:tc>
                <w:tcPr>
                  <w:tcW w:w="885" w:type="dxa"/>
                  <w:tcBorders>
                    <w:tl2br w:val="nil"/>
                    <w:tr2bl w:val="nil"/>
                  </w:tcBorders>
                  <w:vAlign w:val="center"/>
                </w:tcPr>
                <w:p>
                  <w:pPr>
                    <w:jc w:val="center"/>
                    <w:rPr>
                      <w:bCs/>
                      <w:color w:val="auto"/>
                      <w:szCs w:val="21"/>
                    </w:rPr>
                  </w:pPr>
                  <w:r>
                    <w:rPr>
                      <w:bCs/>
                      <w:color w:val="auto"/>
                      <w:szCs w:val="21"/>
                    </w:rPr>
                    <w:t>数量</w:t>
                  </w:r>
                </w:p>
              </w:tc>
              <w:tc>
                <w:tcPr>
                  <w:tcW w:w="2628" w:type="dxa"/>
                  <w:tcBorders>
                    <w:tl2br w:val="nil"/>
                    <w:tr2bl w:val="nil"/>
                  </w:tcBorders>
                  <w:vAlign w:val="center"/>
                </w:tcPr>
                <w:p>
                  <w:pPr>
                    <w:jc w:val="center"/>
                    <w:rPr>
                      <w:bCs/>
                      <w:color w:val="auto"/>
                      <w:szCs w:val="21"/>
                    </w:rPr>
                  </w:pPr>
                  <w:r>
                    <w:rPr>
                      <w:rFonts w:hint="eastAsia"/>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bCs/>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bCs/>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rFonts w:hint="eastAsia" w:hAnsi="宋体" w:asciiTheme="minorHAnsi" w:eastAsiaTheme="minorEastAsia" w:cstheme="minorBidi"/>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bCs/>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bCs/>
                      <w:color w:val="auto"/>
                      <w:szCs w:val="21"/>
                    </w:rPr>
                  </w:pPr>
                </w:p>
              </w:tc>
              <w:tc>
                <w:tcPr>
                  <w:tcW w:w="2637" w:type="dxa"/>
                  <w:tcBorders>
                    <w:tl2br w:val="nil"/>
                    <w:tr2bl w:val="nil"/>
                  </w:tcBorders>
                  <w:vAlign w:val="center"/>
                </w:tcPr>
                <w:p>
                  <w:pPr>
                    <w:jc w:val="center"/>
                    <w:rPr>
                      <w:bCs/>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rFonts w:hint="eastAsia" w:hAnsi="宋体" w:asciiTheme="minorHAnsi" w:eastAsiaTheme="minorEastAsia" w:cstheme="minorBidi"/>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rFonts w:hint="eastAsia" w:hAnsi="宋体" w:asciiTheme="minorHAnsi" w:eastAsiaTheme="minorEastAsia" w:cstheme="minorBidi"/>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highlight w:val="none"/>
                    </w:rPr>
                  </w:pPr>
                </w:p>
              </w:tc>
              <w:tc>
                <w:tcPr>
                  <w:tcW w:w="1695" w:type="dxa"/>
                  <w:tcBorders>
                    <w:tl2br w:val="nil"/>
                    <w:tr2bl w:val="nil"/>
                  </w:tcBorders>
                  <w:vAlign w:val="center"/>
                </w:tcPr>
                <w:p>
                  <w:pPr>
                    <w:jc w:val="center"/>
                    <w:rPr>
                      <w:rFonts w:hint="eastAsia" w:hAnsi="宋体" w:eastAsiaTheme="minorEastAsia"/>
                      <w:color w:val="auto"/>
                      <w:szCs w:val="21"/>
                      <w:highlight w:val="none"/>
                    </w:rPr>
                  </w:pPr>
                </w:p>
              </w:tc>
              <w:tc>
                <w:tcPr>
                  <w:tcW w:w="2637" w:type="dxa"/>
                  <w:tcBorders>
                    <w:tl2br w:val="nil"/>
                    <w:tr2bl w:val="nil"/>
                  </w:tcBorders>
                  <w:vAlign w:val="center"/>
                </w:tcPr>
                <w:p>
                  <w:pPr>
                    <w:jc w:val="center"/>
                    <w:rPr>
                      <w:rFonts w:hint="eastAsia" w:hAnsi="宋体"/>
                      <w:color w:val="auto"/>
                      <w:szCs w:val="21"/>
                      <w:highlight w:val="none"/>
                    </w:rPr>
                  </w:pPr>
                </w:p>
              </w:tc>
              <w:tc>
                <w:tcPr>
                  <w:tcW w:w="885" w:type="dxa"/>
                  <w:tcBorders>
                    <w:tl2br w:val="nil"/>
                    <w:tr2bl w:val="nil"/>
                  </w:tcBorders>
                  <w:vAlign w:val="center"/>
                </w:tcPr>
                <w:p>
                  <w:pPr>
                    <w:jc w:val="center"/>
                    <w:rPr>
                      <w:rFonts w:hint="eastAsia" w:eastAsia="宋体"/>
                      <w:bCs/>
                      <w:color w:val="auto"/>
                      <w:szCs w:val="21"/>
                      <w:highlight w:val="none"/>
                      <w:lang w:eastAsia="zh-CN"/>
                    </w:rPr>
                  </w:pPr>
                </w:p>
              </w:tc>
              <w:tc>
                <w:tcPr>
                  <w:tcW w:w="2628" w:type="dxa"/>
                  <w:tcBorders>
                    <w:tl2br w:val="nil"/>
                    <w:tr2bl w:val="nil"/>
                  </w:tcBorders>
                  <w:vAlign w:val="center"/>
                </w:tcPr>
                <w:p>
                  <w:pPr>
                    <w:jc w:val="center"/>
                    <w:rPr>
                      <w:bCs/>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rFonts w:hint="eastAsia" w:hAnsi="宋体"/>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rFonts w:hint="eastAsia" w:hAnsi="宋体"/>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rFonts w:hint="eastAsia" w:hAnsi="宋体"/>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rFonts w:hint="eastAsia" w:hAnsi="宋体"/>
                      <w:color w:val="auto"/>
                      <w:szCs w:val="21"/>
                    </w:rPr>
                  </w:pPr>
                </w:p>
              </w:tc>
            </w:tr>
          </w:tbl>
          <w:p>
            <w:pPr>
              <w:pStyle w:val="73"/>
              <w:rPr>
                <w:color w:val="auto"/>
              </w:rPr>
            </w:pPr>
            <w:r>
              <w:rPr>
                <w:rFonts w:hint="eastAsia"/>
                <w:color w:val="auto"/>
              </w:rPr>
              <w:t>2.7扩建项目公辅工程</w:t>
            </w:r>
          </w:p>
          <w:p>
            <w:pPr>
              <w:pStyle w:val="48"/>
              <w:ind w:firstLine="0" w:firstLineChars="0"/>
              <w:jc w:val="both"/>
              <w:rPr>
                <w:b/>
                <w:bCs/>
                <w:color w:val="auto"/>
                <w:sz w:val="28"/>
                <w:szCs w:val="28"/>
              </w:rPr>
            </w:pPr>
            <w:r>
              <w:rPr>
                <w:rFonts w:hint="eastAsia"/>
                <w:b/>
                <w:bCs/>
                <w:color w:val="auto"/>
                <w:sz w:val="28"/>
                <w:szCs w:val="28"/>
              </w:rPr>
              <w:t>2.7.1给排水系统</w:t>
            </w:r>
          </w:p>
          <w:p>
            <w:pPr>
              <w:pStyle w:val="48"/>
              <w:ind w:firstLine="0" w:firstLineChars="0"/>
              <w:jc w:val="both"/>
              <w:rPr>
                <w:b/>
                <w:bCs/>
                <w:color w:val="auto"/>
              </w:rPr>
            </w:pPr>
            <w:r>
              <w:rPr>
                <w:rFonts w:hint="eastAsia"/>
                <w:b/>
                <w:bCs/>
                <w:color w:val="auto"/>
              </w:rPr>
              <w:t>2.7.1.1给水系统</w:t>
            </w:r>
          </w:p>
          <w:p>
            <w:pPr>
              <w:pStyle w:val="48"/>
              <w:ind w:firstLine="480"/>
              <w:jc w:val="both"/>
              <w:rPr>
                <w:color w:val="auto"/>
              </w:rPr>
            </w:pPr>
            <w:r>
              <w:rPr>
                <w:rFonts w:hint="eastAsia"/>
                <w:color w:val="auto"/>
              </w:rPr>
              <w:t>扩建项目用水来源市政供水管网，扩建项目主要为生活用水</w:t>
            </w:r>
            <w:r>
              <w:rPr>
                <w:rFonts w:hint="eastAsia"/>
                <w:color w:val="auto"/>
                <w:lang w:val="en-US" w:eastAsia="zh-CN"/>
              </w:rPr>
              <w:t>和喷淋塔用水</w:t>
            </w:r>
            <w:r>
              <w:rPr>
                <w:rFonts w:hint="eastAsia"/>
                <w:color w:val="auto"/>
              </w:rPr>
              <w:t>。</w:t>
            </w:r>
          </w:p>
          <w:p>
            <w:pPr>
              <w:pStyle w:val="48"/>
              <w:ind w:firstLine="480"/>
              <w:jc w:val="both"/>
              <w:rPr>
                <w:rFonts w:hint="default" w:eastAsia="宋体"/>
                <w:color w:val="auto"/>
                <w:lang w:val="en-US" w:eastAsia="zh-CN"/>
              </w:rPr>
            </w:pPr>
            <w:r>
              <w:rPr>
                <w:rFonts w:hint="eastAsia"/>
                <w:color w:val="auto"/>
                <w:lang w:val="en-US" w:eastAsia="zh-CN"/>
              </w:rPr>
              <w:t>(1)生活用水</w:t>
            </w:r>
          </w:p>
          <w:p>
            <w:pPr>
              <w:pStyle w:val="48"/>
              <w:ind w:firstLine="480"/>
              <w:jc w:val="both"/>
              <w:rPr>
                <w:rFonts w:hint="eastAsia"/>
                <w:color w:val="auto"/>
              </w:rPr>
            </w:pPr>
            <w:r>
              <w:rPr>
                <w:rFonts w:hint="eastAsia"/>
                <w:color w:val="auto"/>
              </w:rPr>
              <w:t>扩建项目职工人数为60人，全部住厂（依托</w:t>
            </w:r>
            <w:r>
              <w:rPr>
                <w:bCs/>
                <w:color w:val="auto"/>
              </w:rPr>
              <w:t>福州市长乐区力驰针纺有限公司</w:t>
            </w:r>
            <w:r>
              <w:rPr>
                <w:rFonts w:hint="eastAsia"/>
                <w:bCs/>
                <w:color w:val="auto"/>
              </w:rPr>
              <w:t>的宿舍楼，</w:t>
            </w:r>
            <w:r>
              <w:rPr>
                <w:rFonts w:hint="eastAsia"/>
                <w:color w:val="auto"/>
              </w:rPr>
              <w:t>不设食堂）。参考《福建省 行业用水定额》（DB35/T772-2023），员工住厂生活用水量按150L/d·人计，则生活用水量为9t/d，2700t/a（按年工作日300天计）；生活污水产生量按用水量的80%计，则生活污水产生量为7.2t/d，2160t/a，经化粪池处理后接入市政污水管网，纳入长乐区</w:t>
            </w:r>
            <w:r>
              <w:rPr>
                <w:rFonts w:hint="eastAsia"/>
                <w:color w:val="auto"/>
                <w:szCs w:val="21"/>
                <w:lang w:val="en-US" w:eastAsia="zh-CN"/>
              </w:rPr>
              <w:t>滨海</w:t>
            </w:r>
            <w:r>
              <w:rPr>
                <w:rFonts w:hint="eastAsia"/>
                <w:color w:val="auto"/>
              </w:rPr>
              <w:t>污水处理厂深度处理。</w:t>
            </w:r>
          </w:p>
          <w:p>
            <w:pPr>
              <w:pStyle w:val="48"/>
              <w:ind w:firstLine="480"/>
              <w:jc w:val="both"/>
              <w:rPr>
                <w:rFonts w:hint="default" w:eastAsia="宋体"/>
                <w:color w:val="auto"/>
                <w:lang w:val="en-US" w:eastAsia="zh-CN"/>
              </w:rPr>
            </w:pPr>
            <w:r>
              <w:rPr>
                <w:rFonts w:hint="eastAsia"/>
                <w:color w:val="auto"/>
                <w:lang w:val="en-US" w:eastAsia="zh-CN"/>
              </w:rPr>
              <w:t>(2)喷淋塔用水</w:t>
            </w:r>
          </w:p>
          <w:p>
            <w:pPr>
              <w:pStyle w:val="33"/>
              <w:widowControl w:val="0"/>
              <w:autoSpaceDE w:val="0"/>
              <w:autoSpaceDN w:val="0"/>
              <w:adjustRightInd w:val="0"/>
              <w:snapToGrid w:val="0"/>
              <w:spacing w:before="0" w:beforeAutospacing="0" w:after="0" w:afterAutospacing="0" w:line="360" w:lineRule="auto"/>
              <w:ind w:firstLine="480" w:firstLineChars="200"/>
              <w:jc w:val="both"/>
              <w:textAlignment w:val="baseline"/>
              <w:rPr>
                <w:rFonts w:hint="default" w:ascii="Times New Roman" w:hAnsi="Times New Roman" w:eastAsia="宋体" w:cs="Times New Roman"/>
                <w:color w:val="FF0000"/>
                <w:kern w:val="2"/>
                <w:sz w:val="24"/>
                <w:szCs w:val="24"/>
                <w:highlight w:val="none"/>
                <w:lang w:val="en-US" w:eastAsia="zh-CN" w:bidi="ar-SA"/>
              </w:rPr>
            </w:pPr>
            <w:r>
              <w:rPr>
                <w:rFonts w:hint="eastAsia"/>
                <w:bCs/>
                <w:color w:val="auto"/>
                <w:szCs w:val="21"/>
                <w:highlight w:val="none"/>
              </w:rPr>
              <w:t>油墨调配废气、印刷及烘干废气、溶剂型粘合剂调配废气、</w:t>
            </w:r>
            <w:r>
              <w:rPr>
                <w:rFonts w:hint="default" w:ascii="Times New Roman" w:hAnsi="Times New Roman" w:cs="Times New Roman"/>
                <w:color w:val="auto"/>
                <w:szCs w:val="24"/>
                <w:highlight w:val="none"/>
              </w:rPr>
              <w:t>粘合剂</w:t>
            </w:r>
            <w:r>
              <w:rPr>
                <w:rFonts w:hint="default" w:ascii="Times New Roman" w:hAnsi="Times New Roman" w:cs="Times New Roman"/>
                <w:color w:val="auto"/>
                <w:szCs w:val="24"/>
                <w:highlight w:val="none"/>
                <w:lang w:val="en-US" w:eastAsia="zh-CN"/>
              </w:rPr>
              <w:t>(含</w:t>
            </w:r>
            <w:r>
              <w:rPr>
                <w:rFonts w:hint="default" w:ascii="Times New Roman" w:hAnsi="Times New Roman" w:cs="Times New Roman"/>
                <w:color w:val="auto"/>
                <w:szCs w:val="24"/>
                <w:highlight w:val="none"/>
              </w:rPr>
              <w:t>溶剂型粘合剂</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kern w:val="0"/>
                <w:szCs w:val="21"/>
                <w:highlight w:val="none"/>
                <w:lang w:bidi="ar"/>
              </w:rPr>
              <w:t>无溶剂</w:t>
            </w:r>
            <w:r>
              <w:rPr>
                <w:rFonts w:hint="default" w:ascii="Times New Roman" w:hAnsi="Times New Roman" w:cs="Times New Roman"/>
                <w:bCs/>
                <w:color w:val="auto"/>
                <w:szCs w:val="21"/>
                <w:highlight w:val="none"/>
              </w:rPr>
              <w:t>粘合剂</w:t>
            </w:r>
            <w:r>
              <w:rPr>
                <w:rFonts w:hint="default" w:ascii="Times New Roman" w:hAnsi="Times New Roman" w:cs="Times New Roman"/>
                <w:color w:val="auto"/>
                <w:szCs w:val="24"/>
                <w:highlight w:val="none"/>
                <w:lang w:val="en-US" w:eastAsia="zh-CN"/>
              </w:rPr>
              <w:t>)</w:t>
            </w:r>
            <w:r>
              <w:rPr>
                <w:rFonts w:hint="eastAsia"/>
                <w:bCs/>
                <w:color w:val="auto"/>
                <w:szCs w:val="21"/>
                <w:highlight w:val="none"/>
              </w:rPr>
              <w:t>复合及烘干废气、熟化废气</w:t>
            </w:r>
            <w:r>
              <w:rPr>
                <w:rFonts w:hint="eastAsia"/>
                <w:bCs/>
                <w:color w:val="auto"/>
                <w:szCs w:val="21"/>
                <w:highlight w:val="none"/>
                <w:lang w:eastAsia="zh-CN"/>
              </w:rPr>
              <w:t>（</w:t>
            </w:r>
            <w:r>
              <w:rPr>
                <w:rFonts w:hint="eastAsia"/>
                <w:bCs/>
                <w:color w:val="auto"/>
                <w:szCs w:val="21"/>
                <w:highlight w:val="none"/>
                <w:lang w:val="en-US" w:eastAsia="zh-CN"/>
              </w:rPr>
              <w:t>即有机废气</w:t>
            </w:r>
            <w:r>
              <w:rPr>
                <w:rFonts w:hint="eastAsia"/>
                <w:bCs/>
                <w:color w:val="auto"/>
                <w:szCs w:val="21"/>
                <w:highlight w:val="none"/>
                <w:lang w:eastAsia="zh-CN"/>
              </w:rPr>
              <w:t>）</w:t>
            </w:r>
            <w:r>
              <w:rPr>
                <w:rFonts w:hint="default" w:ascii="Times New Roman" w:hAnsi="Times New Roman" w:eastAsia="宋体" w:cs="Times New Roman"/>
                <w:color w:val="auto"/>
                <w:kern w:val="2"/>
                <w:sz w:val="24"/>
                <w:szCs w:val="24"/>
                <w:highlight w:val="none"/>
                <w:lang w:val="en-US" w:eastAsia="zh-CN" w:bidi="ar-SA"/>
              </w:rPr>
              <w:t>治理设施使用水喷淋</w:t>
            </w:r>
            <w:r>
              <w:rPr>
                <w:rFonts w:hint="eastAsia" w:ascii="Times New Roman" w:hAnsi="Times New Roman" w:eastAsia="宋体" w:cs="Times New Roman"/>
                <w:color w:val="auto"/>
                <w:kern w:val="2"/>
                <w:sz w:val="24"/>
                <w:szCs w:val="24"/>
                <w:highlight w:val="none"/>
                <w:lang w:val="en-US" w:eastAsia="zh-CN" w:bidi="ar-SA"/>
              </w:rPr>
              <w:t>塔</w:t>
            </w:r>
            <w:r>
              <w:rPr>
                <w:rFonts w:hint="default" w:ascii="Times New Roman" w:hAnsi="Times New Roman" w:eastAsia="宋体" w:cs="Times New Roman"/>
                <w:color w:val="auto"/>
                <w:kern w:val="2"/>
                <w:sz w:val="24"/>
                <w:szCs w:val="24"/>
                <w:highlight w:val="none"/>
                <w:lang w:val="en-US" w:eastAsia="zh-CN" w:bidi="ar-SA"/>
              </w:rPr>
              <w:t>处理，喷淋废水循环使用，</w:t>
            </w:r>
            <w:r>
              <w:rPr>
                <w:rFonts w:hint="eastAsia" w:ascii="Times New Roman" w:hAnsi="Times New Roman" w:eastAsia="宋体" w:cs="Times New Roman"/>
                <w:color w:val="auto"/>
                <w:kern w:val="2"/>
                <w:sz w:val="24"/>
                <w:szCs w:val="24"/>
                <w:highlight w:val="none"/>
                <w:lang w:val="en-US" w:eastAsia="zh-CN" w:bidi="ar-SA"/>
              </w:rPr>
              <w:t>定期更换</w:t>
            </w:r>
            <w:r>
              <w:rPr>
                <w:rFonts w:hint="eastAsia" w:ascii="Times New Roman" w:hAnsi="Times New Roman" w:cs="Times New Roman"/>
                <w:color w:val="auto"/>
                <w:kern w:val="2"/>
                <w:sz w:val="24"/>
                <w:szCs w:val="24"/>
                <w:highlight w:val="none"/>
                <w:lang w:val="en-US" w:eastAsia="zh-CN" w:bidi="ar-SA"/>
              </w:rPr>
              <w:t>喷淋液</w:t>
            </w:r>
            <w:r>
              <w:rPr>
                <w:rFonts w:hint="eastAsia" w:ascii="Times New Roman" w:hAnsi="Times New Roman" w:eastAsia="宋体" w:cs="Times New Roman"/>
                <w:color w:val="auto"/>
                <w:kern w:val="2"/>
                <w:sz w:val="24"/>
                <w:szCs w:val="24"/>
                <w:highlight w:val="none"/>
                <w:lang w:val="en-US" w:eastAsia="zh-CN" w:bidi="ar-SA"/>
              </w:rPr>
              <w:t>。</w:t>
            </w:r>
          </w:p>
          <w:p>
            <w:pPr>
              <w:pStyle w:val="33"/>
              <w:widowControl w:val="0"/>
              <w:autoSpaceDE w:val="0"/>
              <w:autoSpaceDN w:val="0"/>
              <w:adjustRightInd w:val="0"/>
              <w:snapToGrid w:val="0"/>
              <w:spacing w:before="0" w:beforeAutospacing="0" w:after="0" w:afterAutospacing="0" w:line="360" w:lineRule="auto"/>
              <w:ind w:firstLine="480" w:firstLineChars="200"/>
              <w:jc w:val="both"/>
              <w:textAlignment w:val="baseline"/>
              <w:rPr>
                <w:rFonts w:hint="default" w:ascii="Times New Roman" w:hAnsi="Times New Roman" w:cs="Times New Roman"/>
                <w:snapToGrid w:val="0"/>
                <w:color w:val="auto"/>
                <w:sz w:val="24"/>
                <w:highlight w:val="none"/>
                <w:lang w:val="en-US"/>
              </w:rPr>
            </w:pPr>
            <w:r>
              <w:rPr>
                <w:rFonts w:hint="default" w:ascii="Times New Roman" w:hAnsi="Times New Roman" w:eastAsia="宋体" w:cs="Times New Roman"/>
                <w:color w:val="auto"/>
                <w:highlight w:val="none"/>
                <w:lang w:val="en-US" w:eastAsia="zh-CN"/>
              </w:rPr>
              <w:t>本次扩建项目喷淋塔的参数液气比按0.5L/m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计算，由废气源强计算可知，</w:t>
            </w:r>
            <w:r>
              <w:rPr>
                <w:rFonts w:hint="default" w:ascii="Times New Roman" w:hAnsi="Times New Roman" w:cs="Times New Roman"/>
                <w:color w:val="auto"/>
                <w:highlight w:val="none"/>
                <w:lang w:val="en-US" w:eastAsia="zh-CN"/>
              </w:rPr>
              <w:t>喷淋塔处理有机废气量为</w:t>
            </w:r>
            <w:r>
              <w:rPr>
                <w:rFonts w:hint="eastAsia" w:ascii="Times New Roman" w:hAnsi="Times New Roman" w:cs="Times New Roman"/>
                <w:color w:val="auto"/>
                <w:highlight w:val="none"/>
                <w:lang w:val="en-US" w:eastAsia="zh-CN"/>
              </w:rPr>
              <w:t>0.644</w:t>
            </w:r>
            <w:r>
              <w:rPr>
                <w:rFonts w:hint="default" w:ascii="Times New Roman" w:hAnsi="Times New Roman" w:cs="Times New Roman"/>
                <w:color w:val="auto"/>
                <w:highlight w:val="none"/>
                <w:lang w:val="en-US" w:eastAsia="zh-CN"/>
              </w:rPr>
              <w:t>t/a，</w:t>
            </w:r>
            <w:r>
              <w:rPr>
                <w:rFonts w:hint="default" w:ascii="Times New Roman" w:hAnsi="Times New Roman" w:eastAsia="宋体" w:cs="Times New Roman"/>
                <w:color w:val="auto"/>
                <w:highlight w:val="none"/>
                <w:lang w:val="en-US" w:eastAsia="zh-CN"/>
              </w:rPr>
              <w:t>废气风量为50000m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/h，计算出喷淋塔循环水泵流量为</w:t>
            </w:r>
            <w:r>
              <w:rPr>
                <w:rFonts w:hint="default" w:ascii="Times New Roman" w:hAnsi="Times New Roman" w:cs="Times New Roman"/>
                <w:color w:val="auto"/>
                <w:highlight w:val="none"/>
                <w:lang w:val="en-US" w:eastAsia="zh-CN"/>
              </w:rPr>
              <w:t>25</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cs="Times New Roman"/>
                <w:color w:val="auto"/>
                <w:highlight w:val="none"/>
                <w:lang w:val="en-US" w:eastAsia="zh-CN"/>
              </w:rPr>
              <w:t>200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/d）</w:t>
            </w:r>
            <w:r>
              <w:rPr>
                <w:rFonts w:hint="default" w:ascii="Times New Roman" w:hAnsi="Times New Roman" w:cs="Times New Roman"/>
                <w:color w:val="auto"/>
                <w:highlight w:val="none"/>
                <w:lang w:val="en-US" w:eastAsia="zh-CN"/>
              </w:rPr>
              <w:t>，</w:t>
            </w:r>
            <w:r>
              <w:rPr>
                <w:rFonts w:hint="default" w:ascii="Times New Roman" w:hAnsi="Times New Roman" w:eastAsia="宋体" w:cs="Times New Roman"/>
                <w:color w:val="auto"/>
                <w:highlight w:val="none"/>
                <w:lang w:val="en-US" w:eastAsia="zh-CN"/>
              </w:rPr>
              <w:t>由于蒸发损耗，需定期对喷淋设备添加新鲜水，蒸发损耗按照1%计算</w:t>
            </w:r>
            <w:r>
              <w:rPr>
                <w:rFonts w:hint="default" w:ascii="Times New Roman" w:hAnsi="Times New Roman" w:cs="Times New Roman"/>
                <w:color w:val="auto"/>
                <w:sz w:val="24"/>
                <w:highlight w:val="none"/>
              </w:rPr>
              <w:t>，</w:t>
            </w:r>
            <w:r>
              <w:rPr>
                <w:rFonts w:hint="default" w:ascii="Times New Roman" w:hAnsi="Times New Roman" w:cs="Times New Roman"/>
                <w:snapToGrid w:val="0"/>
                <w:color w:val="auto"/>
                <w:sz w:val="24"/>
                <w:highlight w:val="none"/>
              </w:rPr>
              <w:t>则</w:t>
            </w:r>
            <w:r>
              <w:rPr>
                <w:rFonts w:hint="default" w:ascii="Times New Roman" w:hAnsi="Times New Roman" w:cs="Times New Roman"/>
                <w:snapToGrid w:val="0"/>
                <w:color w:val="auto"/>
                <w:sz w:val="24"/>
                <w:highlight w:val="none"/>
                <w:lang w:val="en-US" w:eastAsia="zh-CN"/>
              </w:rPr>
              <w:t>扩建项目</w:t>
            </w:r>
            <w:r>
              <w:rPr>
                <w:rFonts w:hint="default" w:ascii="Times New Roman" w:hAnsi="Times New Roman" w:cs="Times New Roman"/>
                <w:snapToGrid w:val="0"/>
                <w:color w:val="auto"/>
                <w:sz w:val="24"/>
                <w:highlight w:val="none"/>
              </w:rPr>
              <w:t>喷淋塔</w:t>
            </w:r>
            <w:r>
              <w:rPr>
                <w:rFonts w:hint="default" w:ascii="Times New Roman" w:hAnsi="Times New Roman" w:cs="Times New Roman"/>
                <w:snapToGrid w:val="0"/>
                <w:color w:val="auto"/>
                <w:sz w:val="24"/>
                <w:highlight w:val="none"/>
                <w:lang w:val="en-US" w:eastAsia="zh-CN"/>
              </w:rPr>
              <w:t>新增</w:t>
            </w:r>
            <w:r>
              <w:rPr>
                <w:rFonts w:hint="default" w:ascii="Times New Roman" w:hAnsi="Times New Roman" w:cs="Times New Roman"/>
                <w:snapToGrid w:val="0"/>
                <w:color w:val="auto"/>
                <w:sz w:val="24"/>
                <w:highlight w:val="none"/>
              </w:rPr>
              <w:t>补充损耗水量为</w:t>
            </w:r>
            <w:r>
              <w:rPr>
                <w:rFonts w:hint="default" w:ascii="Times New Roman" w:hAnsi="Times New Roman" w:cs="Times New Roman"/>
                <w:snapToGrid w:val="0"/>
                <w:color w:val="auto"/>
                <w:sz w:val="24"/>
                <w:highlight w:val="none"/>
                <w:lang w:val="en-US" w:eastAsia="zh-CN"/>
              </w:rPr>
              <w:t>2</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cs="Times New Roman"/>
                <w:snapToGrid w:val="0"/>
                <w:color w:val="auto"/>
                <w:sz w:val="24"/>
                <w:highlight w:val="none"/>
              </w:rPr>
              <w:t>/d（</w:t>
            </w:r>
            <w:r>
              <w:rPr>
                <w:rFonts w:hint="default" w:ascii="Times New Roman" w:hAnsi="Times New Roman" w:cs="Times New Roman"/>
                <w:snapToGrid w:val="0"/>
                <w:color w:val="auto"/>
                <w:sz w:val="24"/>
                <w:highlight w:val="none"/>
                <w:lang w:val="en-US" w:eastAsia="zh-CN"/>
              </w:rPr>
              <w:t>600</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cs="Times New Roman"/>
                <w:snapToGrid w:val="0"/>
                <w:color w:val="auto"/>
                <w:sz w:val="24"/>
                <w:highlight w:val="none"/>
              </w:rPr>
              <w:t>/a）</w:t>
            </w:r>
            <w:r>
              <w:rPr>
                <w:rFonts w:hint="default" w:ascii="Times New Roman" w:hAnsi="Times New Roman" w:cs="Times New Roman"/>
                <w:snapToGrid w:val="0"/>
                <w:color w:val="auto"/>
                <w:sz w:val="24"/>
                <w:highlight w:val="none"/>
                <w:lang w:eastAsia="zh-CN"/>
              </w:rPr>
              <w:t>。</w:t>
            </w:r>
            <w:r>
              <w:rPr>
                <w:rFonts w:hint="default" w:ascii="Times New Roman" w:hAnsi="Times New Roman" w:cs="Times New Roman"/>
                <w:color w:val="auto"/>
                <w:highlight w:val="none"/>
                <w:lang w:val="en-US" w:eastAsia="zh-CN"/>
              </w:rPr>
              <w:t>喷淋液循环量按5min流量设计，则循环水箱有效容积25</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eastAsia="宋体" w:cs="Times New Roman"/>
                <w:color w:val="auto"/>
                <w:highlight w:val="none"/>
                <w:lang w:val="en-US" w:eastAsia="zh-CN"/>
              </w:rPr>
              <w:t>/h×</w:t>
            </w:r>
            <w:r>
              <w:rPr>
                <w:rFonts w:hint="default" w:ascii="Times New Roman" w:hAnsi="Times New Roman" w:cs="Times New Roman"/>
                <w:color w:val="auto"/>
                <w:highlight w:val="none"/>
                <w:lang w:val="en-US" w:eastAsia="zh-CN"/>
              </w:rPr>
              <w:t>(5/60)h=2</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cs="Times New Roman"/>
                <w:color w:val="auto"/>
                <w:highlight w:val="none"/>
                <w:lang w:val="en-US" w:eastAsia="zh-CN"/>
              </w:rPr>
              <w:t>，</w:t>
            </w:r>
            <w:r>
              <w:rPr>
                <w:rFonts w:hint="eastAsia" w:ascii="Times New Roman" w:hAnsi="Times New Roman" w:cs="Times New Roman"/>
                <w:color w:val="auto"/>
                <w:highlight w:val="none"/>
                <w:lang w:val="en-US" w:eastAsia="zh-CN"/>
              </w:rPr>
              <w:t>循环水箱最高允许吸收有机废气10%（即0.2t）时，必须更换喷淋废液，因此，按3个月更换一次喷淋废液，</w:t>
            </w:r>
            <w:r>
              <w:rPr>
                <w:rFonts w:hint="eastAsia" w:ascii="Times New Roman" w:hAnsi="Times New Roman" w:cs="Times New Roman"/>
                <w:color w:val="auto"/>
                <w:sz w:val="24"/>
                <w:highlight w:val="none"/>
                <w:lang w:val="en-US" w:eastAsia="zh-CN"/>
              </w:rPr>
              <w:t>每次更换的喷淋废液量约2</w:t>
            </w:r>
            <w:r>
              <w:rPr>
                <w:rFonts w:hint="eastAsia" w:ascii="Times New Roman" w:hAnsi="Times New Roman" w:cs="Times New Roman"/>
                <w:color w:val="auto"/>
                <w:highlight w:val="none"/>
                <w:lang w:val="en-US" w:eastAsia="zh-CN"/>
              </w:rPr>
              <w:t>t，年更换的喷淋废液量为8t（0.0267</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cs="Times New Roman"/>
                <w:snapToGrid w:val="0"/>
                <w:color w:val="auto"/>
                <w:sz w:val="24"/>
                <w:highlight w:val="none"/>
              </w:rPr>
              <w:t>/d</w:t>
            </w:r>
            <w:r>
              <w:rPr>
                <w:rFonts w:hint="eastAsia" w:ascii="Times New Roman" w:hAnsi="Times New Roman" w:cs="Times New Roman"/>
                <w:color w:val="auto"/>
                <w:highlight w:val="none"/>
                <w:lang w:val="en-US" w:eastAsia="zh-CN"/>
              </w:rPr>
              <w:t>），则喷淋塔补充总水量约608t/a（</w:t>
            </w:r>
            <w:r>
              <w:rPr>
                <w:rFonts w:hint="eastAsia" w:ascii="Times New Roman" w:hAnsi="Times New Roman" w:cs="Times New Roman"/>
                <w:snapToGrid w:val="0"/>
                <w:color w:val="auto"/>
                <w:sz w:val="24"/>
                <w:highlight w:val="none"/>
                <w:lang w:val="en-US" w:eastAsia="zh-CN"/>
              </w:rPr>
              <w:t>2.0267</w:t>
            </w:r>
            <w:r>
              <w:rPr>
                <w:rFonts w:hint="default" w:ascii="Times New Roman" w:hAnsi="Times New Roman" w:eastAsia="宋体" w:cs="Times New Roman"/>
                <w:color w:val="auto"/>
                <w:highlight w:val="none"/>
                <w:lang w:val="en-US" w:eastAsia="zh-CN"/>
              </w:rPr>
              <w:t>m</w:t>
            </w:r>
            <w:r>
              <w:rPr>
                <w:rFonts w:hint="default" w:ascii="Times New Roman" w:hAnsi="Times New Roman" w:eastAsia="宋体" w:cs="Times New Roman"/>
                <w:color w:val="auto"/>
                <w:highlight w:val="none"/>
                <w:vertAlign w:val="superscript"/>
                <w:lang w:val="en-US" w:eastAsia="zh-CN"/>
              </w:rPr>
              <w:t>3</w:t>
            </w:r>
            <w:r>
              <w:rPr>
                <w:rFonts w:hint="default" w:ascii="Times New Roman" w:hAnsi="Times New Roman" w:cs="Times New Roman"/>
                <w:snapToGrid w:val="0"/>
                <w:color w:val="auto"/>
                <w:sz w:val="24"/>
                <w:highlight w:val="none"/>
              </w:rPr>
              <w:t>/d</w:t>
            </w:r>
            <w:r>
              <w:rPr>
                <w:rFonts w:hint="eastAsia" w:ascii="Times New Roman" w:hAnsi="Times New Roman" w:cs="Times New Roman"/>
                <w:color w:val="auto"/>
                <w:highlight w:val="none"/>
                <w:lang w:val="en-US" w:eastAsia="zh-CN"/>
              </w:rPr>
              <w:t>）。</w:t>
            </w:r>
          </w:p>
          <w:p>
            <w:pPr>
              <w:widowControl/>
              <w:spacing w:line="360" w:lineRule="auto"/>
              <w:ind w:firstLine="480" w:firstLineChars="200"/>
              <w:rPr>
                <w:rFonts w:hint="eastAsia" w:eastAsia="宋体" w:cs="宋体"/>
                <w:color w:val="auto"/>
                <w:sz w:val="24"/>
                <w:highlight w:val="none"/>
                <w:lang w:val="en-US" w:eastAsia="zh-CN"/>
              </w:rPr>
            </w:pPr>
            <w:r>
              <w:rPr>
                <w:rFonts w:hint="eastAsia" w:cs="宋体"/>
                <w:color w:val="auto"/>
                <w:sz w:val="24"/>
                <w:highlight w:val="none"/>
              </w:rPr>
              <w:t>扩建项目水平衡见图2.7-1</w:t>
            </w:r>
            <w:r>
              <w:rPr>
                <w:rFonts w:hint="eastAsia" w:cs="宋体"/>
                <w:color w:val="auto"/>
                <w:sz w:val="24"/>
                <w:highlight w:val="none"/>
                <w:lang w:eastAsia="zh-CN"/>
              </w:rPr>
              <w:t>。</w:t>
            </w:r>
          </w:p>
          <w:p>
            <w:pPr>
              <w:widowControl/>
              <w:spacing w:line="360" w:lineRule="auto"/>
              <w:jc w:val="center"/>
              <w:rPr>
                <w:rFonts w:hint="eastAsia" w:cs="宋体"/>
                <w:color w:val="FF0000"/>
                <w:sz w:val="24"/>
                <w:highlight w:val="none"/>
              </w:rPr>
            </w:pPr>
            <w:r>
              <w:drawing>
                <wp:inline distT="0" distB="0" distL="114300" distR="114300">
                  <wp:extent cx="5327015" cy="1800225"/>
                  <wp:effectExtent l="0" t="0" r="6985" b="13335"/>
                  <wp:docPr id="2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3"/>
                          <pic:cNvPicPr>
                            <a:picLocks noChangeAspect="1"/>
                          </pic:cNvPicPr>
                        </pic:nvPicPr>
                        <pic:blipFill>
                          <a:blip r:embed="rId22"/>
                          <a:stretch>
                            <a:fillRect/>
                          </a:stretch>
                        </pic:blipFill>
                        <pic:spPr>
                          <a:xfrm>
                            <a:off x="0" y="0"/>
                            <a:ext cx="5327015" cy="1800225"/>
                          </a:xfrm>
                          <a:prstGeom prst="rect">
                            <a:avLst/>
                          </a:prstGeom>
                          <a:noFill/>
                          <a:ln>
                            <a:noFill/>
                          </a:ln>
                        </pic:spPr>
                      </pic:pic>
                    </a:graphicData>
                  </a:graphic>
                </wp:inline>
              </w:drawing>
            </w:r>
          </w:p>
          <w:p>
            <w:pPr>
              <w:widowControl/>
              <w:spacing w:line="360" w:lineRule="auto"/>
              <w:jc w:val="center"/>
              <w:rPr>
                <w:rFonts w:hint="default" w:eastAsia="宋体" w:cs="宋体"/>
                <w:b/>
                <w:bCs/>
                <w:color w:val="auto"/>
                <w:sz w:val="24"/>
                <w:highlight w:val="none"/>
                <w:lang w:val="en-US" w:eastAsia="zh-CN"/>
              </w:rPr>
            </w:pPr>
            <w:r>
              <w:rPr>
                <w:rFonts w:hint="eastAsia" w:cs="宋体"/>
                <w:b/>
                <w:bCs/>
                <w:color w:val="auto"/>
                <w:sz w:val="24"/>
                <w:highlight w:val="none"/>
              </w:rPr>
              <w:t>图2.7-1</w:t>
            </w:r>
            <w:r>
              <w:rPr>
                <w:rFonts w:hint="eastAsia" w:cs="宋体"/>
                <w:b/>
                <w:bCs/>
                <w:color w:val="auto"/>
                <w:sz w:val="24"/>
                <w:highlight w:val="none"/>
                <w:lang w:val="en-US" w:eastAsia="zh-CN"/>
              </w:rPr>
              <w:t xml:space="preserve">  </w:t>
            </w:r>
            <w:r>
              <w:rPr>
                <w:rFonts w:hint="eastAsia" w:cs="宋体"/>
                <w:b/>
                <w:bCs/>
                <w:color w:val="auto"/>
                <w:sz w:val="24"/>
                <w:highlight w:val="none"/>
              </w:rPr>
              <w:t>水平衡</w:t>
            </w:r>
            <w:r>
              <w:rPr>
                <w:rFonts w:hint="eastAsia" w:cs="宋体"/>
                <w:b/>
                <w:bCs/>
                <w:color w:val="auto"/>
                <w:sz w:val="24"/>
                <w:highlight w:val="none"/>
                <w:lang w:val="en-US" w:eastAsia="zh-CN"/>
              </w:rPr>
              <w:t>图  t/d</w:t>
            </w:r>
          </w:p>
          <w:p>
            <w:pPr>
              <w:pStyle w:val="48"/>
              <w:ind w:firstLine="0" w:firstLineChars="0"/>
              <w:jc w:val="both"/>
              <w:rPr>
                <w:b/>
                <w:bCs/>
                <w:color w:val="auto"/>
              </w:rPr>
            </w:pPr>
            <w:r>
              <w:rPr>
                <w:rFonts w:hint="eastAsia"/>
                <w:b/>
                <w:bCs/>
                <w:color w:val="auto"/>
              </w:rPr>
              <w:t>2.7</w:t>
            </w:r>
            <w:r>
              <w:rPr>
                <w:b/>
                <w:bCs/>
                <w:color w:val="auto"/>
              </w:rPr>
              <w:t>.1.2</w:t>
            </w:r>
            <w:r>
              <w:rPr>
                <w:rFonts w:hint="eastAsia"/>
                <w:b/>
                <w:bCs/>
                <w:color w:val="auto"/>
              </w:rPr>
              <w:t>排水系统</w:t>
            </w:r>
          </w:p>
          <w:p>
            <w:pPr>
              <w:pStyle w:val="48"/>
              <w:ind w:firstLine="480"/>
              <w:jc w:val="both"/>
              <w:rPr>
                <w:color w:val="auto"/>
                <w:highlight w:val="yellow"/>
              </w:rPr>
            </w:pPr>
            <w:r>
              <w:rPr>
                <w:rFonts w:hint="eastAsia"/>
                <w:color w:val="auto"/>
              </w:rPr>
              <w:t>扩建项目雨污分流，雨水经雨水管道排入市政雨水管网。扩建项目</w:t>
            </w:r>
            <w:r>
              <w:rPr>
                <w:rFonts w:hint="eastAsia"/>
                <w:bCs/>
                <w:color w:val="auto"/>
                <w:szCs w:val="21"/>
                <w:lang w:val="en-US" w:eastAsia="zh-CN"/>
              </w:rPr>
              <w:t>喷淋废水循环使用，定期更换喷淋废液（作为危废委托有资质单位处置），</w:t>
            </w:r>
            <w:r>
              <w:rPr>
                <w:rFonts w:hint="eastAsia"/>
                <w:color w:val="auto"/>
              </w:rPr>
              <w:t>无生产废水</w:t>
            </w:r>
            <w:r>
              <w:rPr>
                <w:rFonts w:hint="eastAsia"/>
                <w:color w:val="auto"/>
                <w:lang w:val="en-US" w:eastAsia="zh-CN"/>
              </w:rPr>
              <w:t>排放</w:t>
            </w:r>
            <w:r>
              <w:rPr>
                <w:rFonts w:hint="eastAsia"/>
                <w:color w:val="auto"/>
              </w:rPr>
              <w:t>，生活污水经化粪池处理后接入市政污水管网，排入长乐区</w:t>
            </w:r>
            <w:r>
              <w:rPr>
                <w:rFonts w:hint="eastAsia"/>
                <w:color w:val="auto"/>
                <w:lang w:val="en-US" w:eastAsia="zh-CN"/>
              </w:rPr>
              <w:t>滨海</w:t>
            </w:r>
            <w:r>
              <w:rPr>
                <w:rFonts w:hint="eastAsia"/>
                <w:color w:val="auto"/>
              </w:rPr>
              <w:t>污水处理厂深度处理。</w:t>
            </w:r>
          </w:p>
          <w:p>
            <w:pPr>
              <w:pStyle w:val="48"/>
              <w:ind w:firstLine="0" w:firstLineChars="0"/>
              <w:jc w:val="both"/>
              <w:rPr>
                <w:b/>
                <w:bCs/>
                <w:color w:val="auto"/>
                <w:sz w:val="28"/>
                <w:szCs w:val="28"/>
              </w:rPr>
            </w:pPr>
            <w:r>
              <w:rPr>
                <w:rFonts w:hint="eastAsia"/>
                <w:b/>
                <w:bCs/>
                <w:color w:val="auto"/>
                <w:sz w:val="28"/>
                <w:szCs w:val="28"/>
              </w:rPr>
              <w:t>2.7.2供配电系统</w:t>
            </w:r>
          </w:p>
          <w:p>
            <w:pPr>
              <w:pStyle w:val="48"/>
              <w:ind w:firstLine="480"/>
              <w:jc w:val="both"/>
              <w:rPr>
                <w:color w:val="auto"/>
              </w:rPr>
            </w:pPr>
            <w:r>
              <w:rPr>
                <w:rFonts w:hint="eastAsia"/>
                <w:color w:val="auto"/>
              </w:rPr>
              <w:t>扩建项目供电由市政电网进入厂区，厂房内设置配电井为厂房供电。</w:t>
            </w:r>
          </w:p>
          <w:p>
            <w:pPr>
              <w:pStyle w:val="73"/>
              <w:rPr>
                <w:color w:val="auto"/>
              </w:rPr>
            </w:pPr>
            <w:r>
              <w:rPr>
                <w:rFonts w:hint="eastAsia"/>
                <w:color w:val="auto"/>
              </w:rPr>
              <w:t>2.8扩建项目物料平衡</w:t>
            </w:r>
          </w:p>
          <w:p>
            <w:pPr>
              <w:pStyle w:val="48"/>
              <w:ind w:firstLine="480"/>
              <w:rPr>
                <w:color w:val="auto"/>
              </w:rPr>
            </w:pPr>
            <w:r>
              <w:rPr>
                <w:rFonts w:hint="eastAsia"/>
                <w:color w:val="auto"/>
              </w:rPr>
              <w:t>①全厂物料平衡</w:t>
            </w:r>
          </w:p>
          <w:p>
            <w:pPr>
              <w:pStyle w:val="13"/>
              <w:spacing w:line="240" w:lineRule="auto"/>
              <w:ind w:firstLine="0"/>
              <w:jc w:val="center"/>
              <w:rPr>
                <w:rFonts w:eastAsia="宋体"/>
                <w:b/>
                <w:color w:val="auto"/>
                <w:sz w:val="24"/>
                <w:szCs w:val="24"/>
              </w:rPr>
            </w:pPr>
            <w:r>
              <w:rPr>
                <w:rFonts w:eastAsia="宋体"/>
                <w:b/>
                <w:color w:val="auto"/>
                <w:sz w:val="24"/>
                <w:szCs w:val="24"/>
              </w:rPr>
              <w:t>表2</w:t>
            </w:r>
            <w:r>
              <w:rPr>
                <w:rFonts w:hint="eastAsia" w:eastAsia="宋体"/>
                <w:b/>
                <w:color w:val="auto"/>
                <w:sz w:val="24"/>
                <w:szCs w:val="24"/>
              </w:rPr>
              <w:t>.8-1</w:t>
            </w:r>
            <w:r>
              <w:rPr>
                <w:rFonts w:eastAsia="宋体"/>
                <w:b/>
                <w:color w:val="auto"/>
                <w:sz w:val="24"/>
                <w:szCs w:val="24"/>
              </w:rPr>
              <w:t xml:space="preserve">  </w:t>
            </w:r>
            <w:r>
              <w:rPr>
                <w:rFonts w:hint="eastAsia" w:eastAsia="宋体"/>
                <w:b/>
                <w:color w:val="auto"/>
                <w:sz w:val="24"/>
                <w:szCs w:val="24"/>
              </w:rPr>
              <w:t>全厂物料平衡表</w:t>
            </w:r>
          </w:p>
          <w:tbl>
            <w:tblPr>
              <w:tblStyle w:val="36"/>
              <w:tblW w:w="85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5"/>
              <w:gridCol w:w="2580"/>
              <w:gridCol w:w="936"/>
              <w:gridCol w:w="492"/>
              <w:gridCol w:w="732"/>
              <w:gridCol w:w="2093"/>
              <w:gridCol w:w="11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vMerge w:val="restart"/>
                  <w:tcBorders>
                    <w:top w:val="single" w:color="auto" w:sz="12" w:space="0"/>
                  </w:tcBorders>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序号</w:t>
                  </w:r>
                </w:p>
              </w:tc>
              <w:tc>
                <w:tcPr>
                  <w:tcW w:w="3516" w:type="dxa"/>
                  <w:gridSpan w:val="2"/>
                  <w:tcBorders>
                    <w:top w:val="single" w:color="auto" w:sz="12" w:space="0"/>
                  </w:tcBorders>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投入（t/a）</w:t>
                  </w:r>
                </w:p>
              </w:tc>
              <w:tc>
                <w:tcPr>
                  <w:tcW w:w="4493" w:type="dxa"/>
                  <w:gridSpan w:val="4"/>
                  <w:tcBorders>
                    <w:top w:val="single" w:color="auto" w:sz="12" w:space="0"/>
                  </w:tcBorders>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产出（t/a）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vMerge w:val="continue"/>
                  <w:vAlign w:val="center"/>
                </w:tcPr>
                <w:p>
                  <w:pPr>
                    <w:pStyle w:val="48"/>
                    <w:adjustRightInd w:val="0"/>
                    <w:snapToGrid w:val="0"/>
                    <w:spacing w:line="240" w:lineRule="auto"/>
                    <w:ind w:firstLine="0" w:firstLineChars="0"/>
                    <w:jc w:val="center"/>
                    <w:rPr>
                      <w:color w:val="auto"/>
                      <w:sz w:val="21"/>
                      <w:szCs w:val="21"/>
                    </w:rPr>
                  </w:pPr>
                </w:p>
              </w:tc>
              <w:tc>
                <w:tcPr>
                  <w:tcW w:w="2580"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物料名称</w:t>
                  </w:r>
                </w:p>
              </w:tc>
              <w:tc>
                <w:tcPr>
                  <w:tcW w:w="936"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消耗量</w:t>
                  </w:r>
                </w:p>
              </w:tc>
              <w:tc>
                <w:tcPr>
                  <w:tcW w:w="1224" w:type="dxa"/>
                  <w:gridSpan w:val="2"/>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类别</w:t>
                  </w:r>
                </w:p>
              </w:tc>
              <w:tc>
                <w:tcPr>
                  <w:tcW w:w="2093"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名称</w:t>
                  </w:r>
                </w:p>
              </w:tc>
              <w:tc>
                <w:tcPr>
                  <w:tcW w:w="1176"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产生量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95" w:type="dxa"/>
                  <w:vAlign w:val="center"/>
                </w:tcPr>
                <w:p>
                  <w:pPr>
                    <w:pStyle w:val="48"/>
                    <w:adjustRightInd w:val="0"/>
                    <w:snapToGrid w:val="0"/>
                    <w:spacing w:line="240" w:lineRule="auto"/>
                    <w:ind w:firstLine="0" w:firstLineChars="0"/>
                    <w:jc w:val="center"/>
                    <w:rPr>
                      <w:color w:val="auto"/>
                      <w:sz w:val="21"/>
                      <w:szCs w:val="21"/>
                    </w:rPr>
                  </w:pPr>
                </w:p>
              </w:tc>
              <w:tc>
                <w:tcPr>
                  <w:tcW w:w="2580" w:type="dxa"/>
                  <w:vAlign w:val="center"/>
                </w:tcPr>
                <w:p>
                  <w:pPr>
                    <w:widowControl/>
                    <w:jc w:val="center"/>
                    <w:textAlignment w:val="center"/>
                    <w:rPr>
                      <w:color w:val="auto"/>
                      <w:szCs w:val="21"/>
                    </w:rPr>
                  </w:pPr>
                </w:p>
              </w:tc>
              <w:tc>
                <w:tcPr>
                  <w:tcW w:w="936" w:type="dxa"/>
                  <w:vAlign w:val="center"/>
                </w:tcPr>
                <w:p>
                  <w:pPr>
                    <w:pStyle w:val="48"/>
                    <w:adjustRightInd w:val="0"/>
                    <w:snapToGrid w:val="0"/>
                    <w:spacing w:line="240" w:lineRule="auto"/>
                    <w:ind w:firstLine="0" w:firstLineChars="0"/>
                    <w:jc w:val="center"/>
                    <w:rPr>
                      <w:color w:val="auto"/>
                      <w:sz w:val="21"/>
                      <w:szCs w:val="21"/>
                    </w:rPr>
                  </w:pPr>
                </w:p>
              </w:tc>
              <w:tc>
                <w:tcPr>
                  <w:tcW w:w="1224" w:type="dxa"/>
                  <w:gridSpan w:val="2"/>
                  <w:vMerge w:val="restart"/>
                  <w:vAlign w:val="center"/>
                </w:tcPr>
                <w:p>
                  <w:pPr>
                    <w:pStyle w:val="48"/>
                    <w:adjustRightInd w:val="0"/>
                    <w:snapToGrid w:val="0"/>
                    <w:spacing w:line="240" w:lineRule="auto"/>
                    <w:ind w:firstLine="0" w:firstLineChars="0"/>
                    <w:jc w:val="center"/>
                    <w:rPr>
                      <w:color w:val="auto"/>
                      <w:sz w:val="21"/>
                      <w:szCs w:val="21"/>
                    </w:rPr>
                  </w:pPr>
                </w:p>
              </w:tc>
              <w:tc>
                <w:tcPr>
                  <w:tcW w:w="2093" w:type="dxa"/>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vAlign w:val="center"/>
                </w:tcPr>
                <w:p>
                  <w:pPr>
                    <w:pStyle w:val="48"/>
                    <w:adjustRightInd w:val="0"/>
                    <w:snapToGrid w:val="0"/>
                    <w:spacing w:line="240" w:lineRule="auto"/>
                    <w:ind w:firstLine="0" w:firstLineChars="0"/>
                    <w:jc w:val="center"/>
                    <w:rPr>
                      <w:color w:val="auto"/>
                      <w:sz w:val="21"/>
                      <w:szCs w:val="21"/>
                    </w:rPr>
                  </w:pPr>
                </w:p>
              </w:tc>
              <w:tc>
                <w:tcPr>
                  <w:tcW w:w="2580" w:type="dxa"/>
                  <w:vAlign w:val="center"/>
                </w:tcPr>
                <w:p>
                  <w:pPr>
                    <w:widowControl/>
                    <w:jc w:val="center"/>
                    <w:textAlignment w:val="center"/>
                    <w:rPr>
                      <w:color w:val="auto"/>
                      <w:szCs w:val="21"/>
                    </w:rPr>
                  </w:pPr>
                </w:p>
              </w:tc>
              <w:tc>
                <w:tcPr>
                  <w:tcW w:w="936" w:type="dxa"/>
                  <w:vAlign w:val="center"/>
                </w:tcPr>
                <w:p>
                  <w:pPr>
                    <w:pStyle w:val="48"/>
                    <w:adjustRightInd w:val="0"/>
                    <w:snapToGrid w:val="0"/>
                    <w:spacing w:line="240" w:lineRule="auto"/>
                    <w:ind w:firstLine="0" w:firstLineChars="0"/>
                    <w:jc w:val="center"/>
                    <w:rPr>
                      <w:color w:val="auto"/>
                      <w:sz w:val="21"/>
                      <w:szCs w:val="21"/>
                    </w:rPr>
                  </w:pPr>
                </w:p>
              </w:tc>
              <w:tc>
                <w:tcPr>
                  <w:tcW w:w="1224" w:type="dxa"/>
                  <w:gridSpan w:val="2"/>
                  <w:vMerge w:val="continue"/>
                  <w:vAlign w:val="center"/>
                </w:tcPr>
                <w:p>
                  <w:pPr>
                    <w:pStyle w:val="48"/>
                    <w:adjustRightInd w:val="0"/>
                    <w:snapToGrid w:val="0"/>
                    <w:spacing w:line="240" w:lineRule="auto"/>
                    <w:ind w:firstLine="0" w:firstLineChars="0"/>
                    <w:jc w:val="center"/>
                    <w:rPr>
                      <w:color w:val="auto"/>
                      <w:sz w:val="21"/>
                      <w:szCs w:val="21"/>
                    </w:rPr>
                  </w:pPr>
                </w:p>
              </w:tc>
              <w:tc>
                <w:tcPr>
                  <w:tcW w:w="2093" w:type="dxa"/>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vAlign w:val="center"/>
                </w:tcPr>
                <w:p>
                  <w:pPr>
                    <w:pStyle w:val="48"/>
                    <w:adjustRightInd w:val="0"/>
                    <w:snapToGrid w:val="0"/>
                    <w:spacing w:line="240" w:lineRule="auto"/>
                    <w:ind w:firstLine="0" w:firstLineChars="0"/>
                    <w:jc w:val="center"/>
                    <w:rPr>
                      <w:color w:val="auto"/>
                      <w:sz w:val="21"/>
                      <w:szCs w:val="21"/>
                    </w:rPr>
                  </w:pPr>
                </w:p>
              </w:tc>
              <w:tc>
                <w:tcPr>
                  <w:tcW w:w="2580" w:type="dxa"/>
                  <w:vAlign w:val="center"/>
                </w:tcPr>
                <w:p>
                  <w:pPr>
                    <w:widowControl/>
                    <w:jc w:val="center"/>
                    <w:textAlignment w:val="center"/>
                    <w:rPr>
                      <w:color w:val="auto"/>
                      <w:szCs w:val="21"/>
                    </w:rPr>
                  </w:pPr>
                </w:p>
              </w:tc>
              <w:tc>
                <w:tcPr>
                  <w:tcW w:w="936" w:type="dxa"/>
                  <w:vAlign w:val="center"/>
                </w:tcPr>
                <w:p>
                  <w:pPr>
                    <w:pStyle w:val="48"/>
                    <w:adjustRightInd w:val="0"/>
                    <w:snapToGrid w:val="0"/>
                    <w:spacing w:line="240" w:lineRule="auto"/>
                    <w:ind w:firstLine="0" w:firstLineChars="0"/>
                    <w:jc w:val="center"/>
                    <w:rPr>
                      <w:color w:val="auto"/>
                      <w:sz w:val="21"/>
                      <w:szCs w:val="21"/>
                    </w:rPr>
                  </w:pPr>
                </w:p>
              </w:tc>
              <w:tc>
                <w:tcPr>
                  <w:tcW w:w="1224" w:type="dxa"/>
                  <w:gridSpan w:val="2"/>
                  <w:vAlign w:val="center"/>
                </w:tcPr>
                <w:p>
                  <w:pPr>
                    <w:pStyle w:val="48"/>
                    <w:adjustRightInd w:val="0"/>
                    <w:snapToGrid w:val="0"/>
                    <w:spacing w:line="240" w:lineRule="auto"/>
                    <w:ind w:firstLine="0" w:firstLineChars="0"/>
                    <w:jc w:val="center"/>
                    <w:rPr>
                      <w:color w:val="auto"/>
                      <w:sz w:val="21"/>
                      <w:szCs w:val="21"/>
                    </w:rPr>
                  </w:pPr>
                </w:p>
              </w:tc>
              <w:tc>
                <w:tcPr>
                  <w:tcW w:w="2093" w:type="dxa"/>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495" w:type="dxa"/>
                  <w:vAlign w:val="center"/>
                </w:tcPr>
                <w:p>
                  <w:pPr>
                    <w:pStyle w:val="48"/>
                    <w:adjustRightInd w:val="0"/>
                    <w:snapToGrid w:val="0"/>
                    <w:spacing w:line="240" w:lineRule="auto"/>
                    <w:ind w:firstLine="0" w:firstLineChars="0"/>
                    <w:jc w:val="center"/>
                    <w:rPr>
                      <w:color w:val="auto"/>
                      <w:sz w:val="21"/>
                      <w:szCs w:val="21"/>
                    </w:rPr>
                  </w:pPr>
                </w:p>
              </w:tc>
              <w:tc>
                <w:tcPr>
                  <w:tcW w:w="2580" w:type="dxa"/>
                  <w:vAlign w:val="center"/>
                </w:tcPr>
                <w:p>
                  <w:pPr>
                    <w:widowControl/>
                    <w:jc w:val="center"/>
                    <w:textAlignment w:val="center"/>
                    <w:rPr>
                      <w:color w:val="auto"/>
                      <w:szCs w:val="21"/>
                    </w:rPr>
                  </w:pPr>
                </w:p>
              </w:tc>
              <w:tc>
                <w:tcPr>
                  <w:tcW w:w="936" w:type="dxa"/>
                  <w:vAlign w:val="center"/>
                </w:tcPr>
                <w:p>
                  <w:pPr>
                    <w:pStyle w:val="48"/>
                    <w:adjustRightInd w:val="0"/>
                    <w:snapToGrid w:val="0"/>
                    <w:spacing w:line="240" w:lineRule="auto"/>
                    <w:ind w:firstLine="0" w:firstLineChars="0"/>
                    <w:jc w:val="center"/>
                    <w:rPr>
                      <w:color w:val="auto"/>
                      <w:sz w:val="21"/>
                      <w:szCs w:val="21"/>
                    </w:rPr>
                  </w:pPr>
                </w:p>
              </w:tc>
              <w:tc>
                <w:tcPr>
                  <w:tcW w:w="492" w:type="dxa"/>
                  <w:vMerge w:val="restart"/>
                  <w:vAlign w:val="center"/>
                </w:tcPr>
                <w:p>
                  <w:pPr>
                    <w:pStyle w:val="48"/>
                    <w:adjustRightInd w:val="0"/>
                    <w:snapToGrid w:val="0"/>
                    <w:spacing w:line="240" w:lineRule="auto"/>
                    <w:ind w:firstLine="0" w:firstLineChars="0"/>
                    <w:jc w:val="center"/>
                    <w:rPr>
                      <w:color w:val="auto"/>
                      <w:sz w:val="21"/>
                      <w:szCs w:val="21"/>
                    </w:rPr>
                  </w:pPr>
                </w:p>
              </w:tc>
              <w:tc>
                <w:tcPr>
                  <w:tcW w:w="732" w:type="dxa"/>
                  <w:vMerge w:val="restart"/>
                  <w:vAlign w:val="center"/>
                </w:tcPr>
                <w:p>
                  <w:pPr>
                    <w:pStyle w:val="48"/>
                    <w:adjustRightInd w:val="0"/>
                    <w:snapToGrid w:val="0"/>
                    <w:spacing w:line="240" w:lineRule="auto"/>
                    <w:ind w:firstLine="0" w:firstLineChars="0"/>
                    <w:jc w:val="center"/>
                    <w:rPr>
                      <w:color w:val="auto"/>
                      <w:sz w:val="21"/>
                      <w:szCs w:val="21"/>
                    </w:rPr>
                  </w:pPr>
                </w:p>
              </w:tc>
              <w:tc>
                <w:tcPr>
                  <w:tcW w:w="2093" w:type="dxa"/>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shd w:val="clear" w:color="auto" w:fill="auto"/>
                  <w:vAlign w:val="center"/>
                </w:tcPr>
                <w:p>
                  <w:pPr>
                    <w:pStyle w:val="48"/>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2580" w:type="dxa"/>
                  <w:shd w:val="clear" w:color="auto" w:fill="auto"/>
                  <w:vAlign w:val="center"/>
                </w:tcPr>
                <w:p>
                  <w:pPr>
                    <w:widowControl/>
                    <w:jc w:val="center"/>
                    <w:textAlignment w:val="center"/>
                    <w:rPr>
                      <w:rFonts w:hint="eastAsia" w:ascii="Times New Roman" w:hAnsi="Times New Roman" w:eastAsia="宋体" w:cs="Times New Roman"/>
                      <w:color w:val="auto"/>
                      <w:kern w:val="2"/>
                      <w:sz w:val="21"/>
                      <w:szCs w:val="21"/>
                      <w:lang w:val="en-US" w:eastAsia="zh-CN" w:bidi="ar-SA"/>
                    </w:rPr>
                  </w:pPr>
                </w:p>
              </w:tc>
              <w:tc>
                <w:tcPr>
                  <w:tcW w:w="936" w:type="dxa"/>
                  <w:shd w:val="clear" w:color="auto" w:fill="auto"/>
                  <w:vAlign w:val="center"/>
                </w:tcPr>
                <w:p>
                  <w:pPr>
                    <w:pStyle w:val="48"/>
                    <w:adjustRightInd w:val="0"/>
                    <w:snapToGrid w:val="0"/>
                    <w:spacing w:line="240" w:lineRule="auto"/>
                    <w:ind w:firstLine="0" w:firstLineChars="0"/>
                    <w:jc w:val="center"/>
                    <w:rPr>
                      <w:rFonts w:hint="eastAsia" w:ascii="Times New Roman" w:hAnsi="Times New Roman" w:eastAsia="宋体" w:cs="Times New Roman"/>
                      <w:color w:val="auto"/>
                      <w:kern w:val="2"/>
                      <w:sz w:val="21"/>
                      <w:szCs w:val="21"/>
                      <w:lang w:val="en-US" w:eastAsia="zh-CN" w:bidi="ar-SA"/>
                    </w:rPr>
                  </w:pPr>
                </w:p>
              </w:tc>
              <w:tc>
                <w:tcPr>
                  <w:tcW w:w="492" w:type="dxa"/>
                  <w:vMerge w:val="continue"/>
                  <w:vAlign w:val="center"/>
                </w:tcPr>
                <w:p>
                  <w:pPr>
                    <w:pStyle w:val="48"/>
                    <w:adjustRightInd w:val="0"/>
                    <w:snapToGrid w:val="0"/>
                    <w:spacing w:line="240" w:lineRule="auto"/>
                    <w:ind w:firstLine="0" w:firstLineChars="0"/>
                    <w:jc w:val="center"/>
                    <w:rPr>
                      <w:rFonts w:hint="eastAsia"/>
                      <w:color w:val="auto"/>
                      <w:sz w:val="21"/>
                      <w:szCs w:val="21"/>
                    </w:rPr>
                  </w:pPr>
                </w:p>
              </w:tc>
              <w:tc>
                <w:tcPr>
                  <w:tcW w:w="732" w:type="dxa"/>
                  <w:vMerge w:val="continue"/>
                  <w:vAlign w:val="center"/>
                </w:tcPr>
                <w:p>
                  <w:pPr>
                    <w:pStyle w:val="48"/>
                    <w:adjustRightInd w:val="0"/>
                    <w:snapToGrid w:val="0"/>
                    <w:spacing w:line="240" w:lineRule="auto"/>
                    <w:ind w:firstLine="0" w:firstLineChars="0"/>
                    <w:jc w:val="center"/>
                    <w:rPr>
                      <w:rFonts w:hint="eastAsia"/>
                      <w:color w:val="auto"/>
                      <w:sz w:val="21"/>
                      <w:szCs w:val="21"/>
                    </w:rPr>
                  </w:pPr>
                </w:p>
              </w:tc>
              <w:tc>
                <w:tcPr>
                  <w:tcW w:w="2093" w:type="dxa"/>
                  <w:vAlign w:val="center"/>
                </w:tcPr>
                <w:p>
                  <w:pPr>
                    <w:pStyle w:val="48"/>
                    <w:adjustRightInd w:val="0"/>
                    <w:snapToGrid w:val="0"/>
                    <w:spacing w:line="240" w:lineRule="auto"/>
                    <w:ind w:firstLine="0" w:firstLineChars="0"/>
                    <w:jc w:val="center"/>
                    <w:rPr>
                      <w:rFonts w:hint="eastAsia" w:eastAsia="宋体"/>
                      <w:color w:val="auto"/>
                      <w:sz w:val="21"/>
                      <w:szCs w:val="21"/>
                      <w:lang w:val="en-US" w:eastAsia="zh-CN"/>
                    </w:rPr>
                  </w:pPr>
                </w:p>
              </w:tc>
              <w:tc>
                <w:tcPr>
                  <w:tcW w:w="1176" w:type="dxa"/>
                  <w:vAlign w:val="center"/>
                </w:tcPr>
                <w:p>
                  <w:pPr>
                    <w:pStyle w:val="48"/>
                    <w:adjustRightInd w:val="0"/>
                    <w:snapToGrid w:val="0"/>
                    <w:spacing w:line="240" w:lineRule="auto"/>
                    <w:ind w:firstLine="0" w:firstLineChars="0"/>
                    <w:jc w:val="center"/>
                    <w:rPr>
                      <w:rFonts w:hint="default"/>
                      <w:color w:val="auto"/>
                      <w:sz w:val="21"/>
                      <w:szCs w:val="21"/>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2580" w:type="dxa"/>
                  <w:shd w:val="clear" w:color="auto" w:fill="auto"/>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p>
              </w:tc>
              <w:tc>
                <w:tcPr>
                  <w:tcW w:w="936"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492" w:type="dxa"/>
                  <w:vMerge w:val="continue"/>
                  <w:vAlign w:val="center"/>
                </w:tcPr>
                <w:p>
                  <w:pPr>
                    <w:pStyle w:val="48"/>
                    <w:adjustRightInd w:val="0"/>
                    <w:snapToGrid w:val="0"/>
                    <w:spacing w:line="240" w:lineRule="auto"/>
                    <w:ind w:firstLine="0" w:firstLineChars="0"/>
                    <w:jc w:val="center"/>
                    <w:rPr>
                      <w:color w:val="auto"/>
                      <w:sz w:val="21"/>
                      <w:szCs w:val="21"/>
                    </w:rPr>
                  </w:pPr>
                </w:p>
              </w:tc>
              <w:tc>
                <w:tcPr>
                  <w:tcW w:w="732" w:type="dxa"/>
                  <w:vMerge w:val="restart"/>
                  <w:vAlign w:val="center"/>
                </w:tcPr>
                <w:p>
                  <w:pPr>
                    <w:pStyle w:val="48"/>
                    <w:adjustRightInd w:val="0"/>
                    <w:snapToGrid w:val="0"/>
                    <w:spacing w:line="240" w:lineRule="auto"/>
                    <w:ind w:firstLine="0" w:firstLineChars="0"/>
                    <w:jc w:val="center"/>
                    <w:rPr>
                      <w:color w:val="auto"/>
                      <w:sz w:val="21"/>
                      <w:szCs w:val="21"/>
                    </w:rPr>
                  </w:pPr>
                </w:p>
              </w:tc>
              <w:tc>
                <w:tcPr>
                  <w:tcW w:w="2093" w:type="dxa"/>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2580" w:type="dxa"/>
                  <w:shd w:val="clear" w:color="auto" w:fill="auto"/>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p>
              </w:tc>
              <w:tc>
                <w:tcPr>
                  <w:tcW w:w="936"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492" w:type="dxa"/>
                  <w:vMerge w:val="continue"/>
                  <w:vAlign w:val="center"/>
                </w:tcPr>
                <w:p>
                  <w:pPr>
                    <w:pStyle w:val="48"/>
                    <w:adjustRightInd w:val="0"/>
                    <w:snapToGrid w:val="0"/>
                    <w:spacing w:line="240" w:lineRule="auto"/>
                    <w:ind w:firstLine="0" w:firstLineChars="0"/>
                    <w:jc w:val="center"/>
                    <w:rPr>
                      <w:color w:val="auto"/>
                      <w:sz w:val="21"/>
                      <w:szCs w:val="21"/>
                    </w:rPr>
                  </w:pPr>
                </w:p>
              </w:tc>
              <w:tc>
                <w:tcPr>
                  <w:tcW w:w="732" w:type="dxa"/>
                  <w:vMerge w:val="continue"/>
                  <w:vAlign w:val="center"/>
                </w:tcPr>
                <w:p>
                  <w:pPr>
                    <w:pStyle w:val="48"/>
                    <w:adjustRightInd w:val="0"/>
                    <w:snapToGrid w:val="0"/>
                    <w:spacing w:line="240" w:lineRule="auto"/>
                    <w:ind w:firstLine="0" w:firstLineChars="0"/>
                    <w:jc w:val="center"/>
                    <w:rPr>
                      <w:color w:val="auto"/>
                      <w:sz w:val="21"/>
                      <w:szCs w:val="21"/>
                    </w:rPr>
                  </w:pPr>
                </w:p>
              </w:tc>
              <w:tc>
                <w:tcPr>
                  <w:tcW w:w="2093" w:type="dxa"/>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2580" w:type="dxa"/>
                  <w:shd w:val="clear" w:color="auto" w:fill="auto"/>
                  <w:vAlign w:val="center"/>
                </w:tcPr>
                <w:p>
                  <w:pPr>
                    <w:widowControl/>
                    <w:jc w:val="center"/>
                    <w:textAlignment w:val="center"/>
                    <w:rPr>
                      <w:rFonts w:ascii="Times New Roman" w:hAnsi="Times New Roman" w:eastAsia="宋体" w:cs="Times New Roman"/>
                      <w:color w:val="auto"/>
                      <w:kern w:val="2"/>
                      <w:sz w:val="21"/>
                      <w:szCs w:val="21"/>
                      <w:lang w:val="en-US" w:eastAsia="zh-CN" w:bidi="ar-SA"/>
                    </w:rPr>
                  </w:pPr>
                </w:p>
              </w:tc>
              <w:tc>
                <w:tcPr>
                  <w:tcW w:w="936"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1224" w:type="dxa"/>
                  <w:gridSpan w:val="2"/>
                  <w:vAlign w:val="center"/>
                </w:tcPr>
                <w:p>
                  <w:pPr>
                    <w:pStyle w:val="48"/>
                    <w:adjustRightInd w:val="0"/>
                    <w:snapToGrid w:val="0"/>
                    <w:spacing w:line="240" w:lineRule="auto"/>
                    <w:ind w:firstLine="0" w:firstLineChars="0"/>
                    <w:jc w:val="center"/>
                    <w:rPr>
                      <w:color w:val="auto"/>
                      <w:sz w:val="21"/>
                      <w:szCs w:val="21"/>
                    </w:rPr>
                  </w:pPr>
                </w:p>
              </w:tc>
              <w:tc>
                <w:tcPr>
                  <w:tcW w:w="2093" w:type="dxa"/>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2580" w:type="dxa"/>
                  <w:shd w:val="clear" w:color="auto" w:fill="auto"/>
                  <w:vAlign w:val="center"/>
                </w:tcPr>
                <w:p>
                  <w:pPr>
                    <w:widowControl/>
                    <w:jc w:val="center"/>
                    <w:textAlignment w:val="center"/>
                    <w:rPr>
                      <w:rFonts w:ascii="Times New Roman" w:hAnsi="Times New Roman" w:eastAsia="宋体" w:cs="Times New Roman"/>
                      <w:color w:val="auto"/>
                      <w:kern w:val="0"/>
                      <w:sz w:val="21"/>
                      <w:szCs w:val="21"/>
                      <w:lang w:val="en-US" w:eastAsia="zh-CN" w:bidi="ar"/>
                    </w:rPr>
                  </w:pPr>
                </w:p>
              </w:tc>
              <w:tc>
                <w:tcPr>
                  <w:tcW w:w="936"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1224" w:type="dxa"/>
                  <w:gridSpan w:val="2"/>
                  <w:vAlign w:val="center"/>
                </w:tcPr>
                <w:p>
                  <w:pPr>
                    <w:pStyle w:val="48"/>
                    <w:adjustRightInd w:val="0"/>
                    <w:snapToGrid w:val="0"/>
                    <w:spacing w:line="240" w:lineRule="auto"/>
                    <w:ind w:firstLine="0" w:firstLineChars="0"/>
                    <w:jc w:val="center"/>
                    <w:rPr>
                      <w:color w:val="auto"/>
                      <w:sz w:val="21"/>
                      <w:szCs w:val="21"/>
                    </w:rPr>
                  </w:pPr>
                </w:p>
              </w:tc>
              <w:tc>
                <w:tcPr>
                  <w:tcW w:w="2093" w:type="dxa"/>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5"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2580" w:type="dxa"/>
                  <w:shd w:val="clear" w:color="auto" w:fill="auto"/>
                  <w:vAlign w:val="center"/>
                </w:tcPr>
                <w:p>
                  <w:pPr>
                    <w:widowControl/>
                    <w:jc w:val="center"/>
                    <w:textAlignment w:val="center"/>
                    <w:rPr>
                      <w:rFonts w:ascii="Times New Roman" w:hAnsi="Times New Roman" w:eastAsia="宋体" w:cs="Times New Roman"/>
                      <w:color w:val="auto"/>
                      <w:kern w:val="0"/>
                      <w:sz w:val="21"/>
                      <w:szCs w:val="21"/>
                      <w:lang w:val="en-US" w:eastAsia="zh-CN" w:bidi="ar"/>
                    </w:rPr>
                  </w:pPr>
                </w:p>
              </w:tc>
              <w:tc>
                <w:tcPr>
                  <w:tcW w:w="936" w:type="dxa"/>
                  <w:shd w:val="clear" w:color="auto" w:fill="auto"/>
                  <w:vAlign w:val="center"/>
                </w:tcPr>
                <w:p>
                  <w:pPr>
                    <w:pStyle w:val="48"/>
                    <w:adjustRightInd w:val="0"/>
                    <w:snapToGrid w:val="0"/>
                    <w:spacing w:line="240" w:lineRule="auto"/>
                    <w:ind w:firstLine="0" w:firstLineChars="0"/>
                    <w:jc w:val="center"/>
                    <w:rPr>
                      <w:rFonts w:ascii="Times New Roman" w:hAnsi="Times New Roman" w:eastAsia="宋体" w:cs="Times New Roman"/>
                      <w:color w:val="auto"/>
                      <w:kern w:val="2"/>
                      <w:sz w:val="21"/>
                      <w:szCs w:val="21"/>
                      <w:lang w:val="en-US" w:eastAsia="zh-CN" w:bidi="ar-SA"/>
                    </w:rPr>
                  </w:pPr>
                </w:p>
              </w:tc>
              <w:tc>
                <w:tcPr>
                  <w:tcW w:w="1224" w:type="dxa"/>
                  <w:gridSpan w:val="2"/>
                  <w:vAlign w:val="center"/>
                </w:tcPr>
                <w:p>
                  <w:pPr>
                    <w:pStyle w:val="48"/>
                    <w:adjustRightInd w:val="0"/>
                    <w:snapToGrid w:val="0"/>
                    <w:spacing w:line="240" w:lineRule="auto"/>
                    <w:ind w:firstLine="0" w:firstLineChars="0"/>
                    <w:jc w:val="center"/>
                    <w:rPr>
                      <w:color w:val="auto"/>
                      <w:sz w:val="21"/>
                      <w:szCs w:val="21"/>
                    </w:rPr>
                  </w:pPr>
                </w:p>
              </w:tc>
              <w:tc>
                <w:tcPr>
                  <w:tcW w:w="2093" w:type="dxa"/>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075" w:type="dxa"/>
                  <w:gridSpan w:val="2"/>
                  <w:vAlign w:val="center"/>
                </w:tcPr>
                <w:p>
                  <w:pPr>
                    <w:widowControl/>
                    <w:jc w:val="center"/>
                    <w:textAlignment w:val="center"/>
                    <w:rPr>
                      <w:color w:val="auto"/>
                      <w:kern w:val="0"/>
                      <w:szCs w:val="21"/>
                      <w:lang w:bidi="ar"/>
                    </w:rPr>
                  </w:pPr>
                </w:p>
              </w:tc>
              <w:tc>
                <w:tcPr>
                  <w:tcW w:w="936" w:type="dxa"/>
                  <w:vAlign w:val="center"/>
                </w:tcPr>
                <w:p>
                  <w:pPr>
                    <w:pStyle w:val="48"/>
                    <w:adjustRightInd w:val="0"/>
                    <w:snapToGrid w:val="0"/>
                    <w:spacing w:line="240" w:lineRule="auto"/>
                    <w:ind w:firstLine="0" w:firstLineChars="0"/>
                    <w:jc w:val="center"/>
                    <w:rPr>
                      <w:color w:val="auto"/>
                      <w:sz w:val="21"/>
                      <w:szCs w:val="21"/>
                    </w:rPr>
                  </w:pPr>
                </w:p>
              </w:tc>
              <w:tc>
                <w:tcPr>
                  <w:tcW w:w="3317" w:type="dxa"/>
                  <w:gridSpan w:val="3"/>
                  <w:vAlign w:val="center"/>
                </w:tcPr>
                <w:p>
                  <w:pPr>
                    <w:pStyle w:val="48"/>
                    <w:adjustRightInd w:val="0"/>
                    <w:snapToGrid w:val="0"/>
                    <w:spacing w:line="240" w:lineRule="auto"/>
                    <w:ind w:firstLine="0" w:firstLineChars="0"/>
                    <w:jc w:val="center"/>
                    <w:rPr>
                      <w:color w:val="auto"/>
                      <w:sz w:val="21"/>
                      <w:szCs w:val="21"/>
                    </w:rPr>
                  </w:pPr>
                </w:p>
              </w:tc>
              <w:tc>
                <w:tcPr>
                  <w:tcW w:w="1176" w:type="dxa"/>
                  <w:vAlign w:val="center"/>
                </w:tcPr>
                <w:p>
                  <w:pPr>
                    <w:pStyle w:val="48"/>
                    <w:adjustRightInd w:val="0"/>
                    <w:snapToGrid w:val="0"/>
                    <w:spacing w:line="240" w:lineRule="auto"/>
                    <w:ind w:firstLine="0" w:firstLineChars="0"/>
                    <w:jc w:val="center"/>
                    <w:rPr>
                      <w:color w:val="auto"/>
                      <w:sz w:val="21"/>
                      <w:szCs w:val="21"/>
                    </w:rPr>
                  </w:pPr>
                </w:p>
              </w:tc>
            </w:tr>
          </w:tbl>
          <w:p>
            <w:pPr>
              <w:pStyle w:val="48"/>
              <w:ind w:firstLine="0" w:firstLineChars="0"/>
              <w:jc w:val="center"/>
              <w:rPr>
                <w:color w:val="auto"/>
              </w:rPr>
            </w:pPr>
          </w:p>
          <w:p>
            <w:pPr>
              <w:pStyle w:val="13"/>
              <w:spacing w:line="240" w:lineRule="auto"/>
              <w:ind w:firstLine="0"/>
              <w:jc w:val="center"/>
              <w:rPr>
                <w:rFonts w:eastAsia="宋体"/>
                <w:b/>
                <w:color w:val="auto"/>
                <w:sz w:val="24"/>
                <w:szCs w:val="24"/>
              </w:rPr>
            </w:pPr>
            <w:r>
              <w:rPr>
                <w:rFonts w:hint="eastAsia" w:eastAsia="宋体"/>
                <w:b/>
                <w:color w:val="auto"/>
                <w:sz w:val="24"/>
                <w:szCs w:val="24"/>
              </w:rPr>
              <w:t>图</w:t>
            </w:r>
            <w:r>
              <w:rPr>
                <w:rFonts w:eastAsia="宋体"/>
                <w:b/>
                <w:color w:val="auto"/>
                <w:sz w:val="24"/>
                <w:szCs w:val="24"/>
              </w:rPr>
              <w:t>2</w:t>
            </w:r>
            <w:r>
              <w:rPr>
                <w:rFonts w:hint="eastAsia" w:eastAsia="宋体"/>
                <w:b/>
                <w:color w:val="auto"/>
                <w:sz w:val="24"/>
                <w:szCs w:val="24"/>
              </w:rPr>
              <w:t>.8-1</w:t>
            </w:r>
            <w:r>
              <w:rPr>
                <w:rFonts w:eastAsia="宋体"/>
                <w:b/>
                <w:color w:val="auto"/>
                <w:sz w:val="24"/>
                <w:szCs w:val="24"/>
              </w:rPr>
              <w:t xml:space="preserve">  </w:t>
            </w:r>
            <w:r>
              <w:rPr>
                <w:rFonts w:hint="eastAsia" w:eastAsia="宋体"/>
                <w:b/>
                <w:color w:val="auto"/>
                <w:sz w:val="24"/>
                <w:szCs w:val="24"/>
              </w:rPr>
              <w:t>全厂物料平衡图</w:t>
            </w:r>
          </w:p>
          <w:p>
            <w:pPr>
              <w:pStyle w:val="48"/>
              <w:ind w:firstLine="480"/>
              <w:rPr>
                <w:color w:val="auto"/>
              </w:rPr>
            </w:pPr>
            <w:r>
              <w:rPr>
                <w:color w:val="auto"/>
              </w:rPr>
              <w:t>②</w:t>
            </w:r>
            <w:r>
              <w:rPr>
                <w:rFonts w:hint="eastAsia"/>
                <w:color w:val="auto"/>
              </w:rPr>
              <w:t>全厂含VOCs物料</w:t>
            </w:r>
            <w:r>
              <w:rPr>
                <w:color w:val="auto"/>
              </w:rPr>
              <w:t>平衡</w:t>
            </w:r>
          </w:p>
          <w:p>
            <w:pPr>
              <w:pStyle w:val="13"/>
              <w:spacing w:line="240" w:lineRule="auto"/>
              <w:ind w:firstLine="0"/>
              <w:jc w:val="center"/>
              <w:rPr>
                <w:rFonts w:eastAsia="宋体"/>
                <w:b/>
                <w:color w:val="auto"/>
                <w:sz w:val="24"/>
                <w:szCs w:val="24"/>
              </w:rPr>
            </w:pPr>
            <w:r>
              <w:rPr>
                <w:rFonts w:eastAsia="宋体"/>
                <w:b/>
                <w:color w:val="auto"/>
                <w:sz w:val="24"/>
                <w:szCs w:val="24"/>
              </w:rPr>
              <w:t>表2</w:t>
            </w:r>
            <w:r>
              <w:rPr>
                <w:rFonts w:hint="eastAsia" w:eastAsia="宋体"/>
                <w:b/>
                <w:color w:val="auto"/>
                <w:sz w:val="24"/>
                <w:szCs w:val="24"/>
              </w:rPr>
              <w:t>.8-2</w:t>
            </w:r>
            <w:r>
              <w:rPr>
                <w:rFonts w:eastAsia="宋体"/>
                <w:b/>
                <w:color w:val="auto"/>
                <w:sz w:val="24"/>
                <w:szCs w:val="24"/>
              </w:rPr>
              <w:t xml:space="preserve">  </w:t>
            </w:r>
            <w:r>
              <w:rPr>
                <w:rFonts w:hint="eastAsia" w:eastAsia="宋体"/>
                <w:b/>
                <w:color w:val="auto"/>
                <w:sz w:val="24"/>
                <w:szCs w:val="24"/>
              </w:rPr>
              <w:t>全厂含VOCs物料平衡表</w:t>
            </w:r>
          </w:p>
          <w:tbl>
            <w:tblPr>
              <w:tblStyle w:val="36"/>
              <w:tblW w:w="850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5"/>
              <w:gridCol w:w="1485"/>
              <w:gridCol w:w="1696"/>
              <w:gridCol w:w="982"/>
              <w:gridCol w:w="1125"/>
              <w:gridCol w:w="1755"/>
              <w:gridCol w:w="102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5" w:type="dxa"/>
                  <w:vMerge w:val="restart"/>
                  <w:tcBorders>
                    <w:top w:val="single" w:color="auto" w:sz="12" w:space="0"/>
                  </w:tcBorders>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序号</w:t>
                  </w:r>
                </w:p>
              </w:tc>
              <w:tc>
                <w:tcPr>
                  <w:tcW w:w="4163" w:type="dxa"/>
                  <w:gridSpan w:val="3"/>
                  <w:tcBorders>
                    <w:top w:val="single" w:color="auto" w:sz="12" w:space="0"/>
                  </w:tcBorders>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投入（t/a）</w:t>
                  </w:r>
                </w:p>
              </w:tc>
              <w:tc>
                <w:tcPr>
                  <w:tcW w:w="3906" w:type="dxa"/>
                  <w:gridSpan w:val="3"/>
                  <w:tcBorders>
                    <w:top w:val="single" w:color="auto" w:sz="12" w:space="0"/>
                  </w:tcBorders>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产出（t/a）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5" w:type="dxa"/>
                  <w:vMerge w:val="continue"/>
                  <w:vAlign w:val="center"/>
                </w:tcPr>
                <w:p>
                  <w:pPr>
                    <w:pStyle w:val="48"/>
                    <w:adjustRightInd w:val="0"/>
                    <w:snapToGrid w:val="0"/>
                    <w:spacing w:line="240" w:lineRule="auto"/>
                    <w:ind w:firstLine="0" w:firstLineChars="0"/>
                    <w:jc w:val="center"/>
                    <w:rPr>
                      <w:color w:val="auto"/>
                      <w:sz w:val="21"/>
                      <w:szCs w:val="21"/>
                    </w:rPr>
                  </w:pPr>
                </w:p>
              </w:tc>
              <w:tc>
                <w:tcPr>
                  <w:tcW w:w="1485"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类别</w:t>
                  </w:r>
                </w:p>
              </w:tc>
              <w:tc>
                <w:tcPr>
                  <w:tcW w:w="1696"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名称</w:t>
                  </w:r>
                </w:p>
              </w:tc>
              <w:tc>
                <w:tcPr>
                  <w:tcW w:w="982"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消耗量</w:t>
                  </w:r>
                </w:p>
              </w:tc>
              <w:tc>
                <w:tcPr>
                  <w:tcW w:w="1125"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类别</w:t>
                  </w:r>
                </w:p>
              </w:tc>
              <w:tc>
                <w:tcPr>
                  <w:tcW w:w="1755"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名称</w:t>
                  </w:r>
                </w:p>
              </w:tc>
              <w:tc>
                <w:tcPr>
                  <w:tcW w:w="1026" w:type="dxa"/>
                  <w:vAlign w:val="center"/>
                </w:tcPr>
                <w:p>
                  <w:pPr>
                    <w:pStyle w:val="48"/>
                    <w:adjustRightInd w:val="0"/>
                    <w:snapToGrid w:val="0"/>
                    <w:spacing w:line="240" w:lineRule="auto"/>
                    <w:ind w:firstLine="0" w:firstLineChars="0"/>
                    <w:jc w:val="center"/>
                    <w:rPr>
                      <w:color w:val="auto"/>
                      <w:sz w:val="21"/>
                      <w:szCs w:val="21"/>
                    </w:rPr>
                  </w:pPr>
                  <w:r>
                    <w:rPr>
                      <w:rFonts w:hint="eastAsia"/>
                      <w:color w:val="auto"/>
                      <w:sz w:val="21"/>
                      <w:szCs w:val="21"/>
                    </w:rPr>
                    <w:t>产生量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5" w:type="dxa"/>
                  <w:vAlign w:val="center"/>
                </w:tcPr>
                <w:p>
                  <w:pPr>
                    <w:pStyle w:val="48"/>
                    <w:adjustRightInd w:val="0"/>
                    <w:snapToGrid w:val="0"/>
                    <w:spacing w:line="240" w:lineRule="auto"/>
                    <w:ind w:firstLine="0" w:firstLineChars="0"/>
                    <w:jc w:val="center"/>
                    <w:rPr>
                      <w:color w:val="auto"/>
                      <w:sz w:val="21"/>
                      <w:szCs w:val="21"/>
                    </w:rPr>
                  </w:pPr>
                </w:p>
              </w:tc>
              <w:tc>
                <w:tcPr>
                  <w:tcW w:w="1485" w:type="dxa"/>
                  <w:vAlign w:val="center"/>
                </w:tcPr>
                <w:p>
                  <w:pPr>
                    <w:widowControl/>
                    <w:jc w:val="center"/>
                    <w:textAlignment w:val="center"/>
                    <w:rPr>
                      <w:color w:val="auto"/>
                      <w:szCs w:val="21"/>
                    </w:rPr>
                  </w:pPr>
                </w:p>
              </w:tc>
              <w:tc>
                <w:tcPr>
                  <w:tcW w:w="1696" w:type="dxa"/>
                  <w:vAlign w:val="center"/>
                </w:tcPr>
                <w:p>
                  <w:pPr>
                    <w:widowControl/>
                    <w:jc w:val="center"/>
                    <w:textAlignment w:val="center"/>
                    <w:rPr>
                      <w:color w:val="auto"/>
                      <w:szCs w:val="21"/>
                    </w:rPr>
                  </w:pPr>
                </w:p>
              </w:tc>
              <w:tc>
                <w:tcPr>
                  <w:tcW w:w="982" w:type="dxa"/>
                  <w:vAlign w:val="center"/>
                </w:tcPr>
                <w:p>
                  <w:pPr>
                    <w:pStyle w:val="48"/>
                    <w:adjustRightInd w:val="0"/>
                    <w:snapToGrid w:val="0"/>
                    <w:spacing w:line="240" w:lineRule="auto"/>
                    <w:ind w:firstLine="0" w:firstLineChars="0"/>
                    <w:jc w:val="center"/>
                    <w:rPr>
                      <w:color w:val="auto"/>
                      <w:sz w:val="21"/>
                      <w:szCs w:val="21"/>
                    </w:rPr>
                  </w:pPr>
                </w:p>
              </w:tc>
              <w:tc>
                <w:tcPr>
                  <w:tcW w:w="1125" w:type="dxa"/>
                  <w:vAlign w:val="center"/>
                </w:tcPr>
                <w:p>
                  <w:pPr>
                    <w:pStyle w:val="48"/>
                    <w:adjustRightInd w:val="0"/>
                    <w:snapToGrid w:val="0"/>
                    <w:spacing w:line="240" w:lineRule="auto"/>
                    <w:ind w:firstLine="0" w:firstLineChars="0"/>
                    <w:jc w:val="center"/>
                    <w:rPr>
                      <w:color w:val="auto"/>
                      <w:sz w:val="21"/>
                      <w:szCs w:val="21"/>
                    </w:rPr>
                  </w:pPr>
                </w:p>
              </w:tc>
              <w:tc>
                <w:tcPr>
                  <w:tcW w:w="1755" w:type="dxa"/>
                  <w:vAlign w:val="center"/>
                </w:tcPr>
                <w:p>
                  <w:pPr>
                    <w:pStyle w:val="48"/>
                    <w:adjustRightInd w:val="0"/>
                    <w:snapToGrid w:val="0"/>
                    <w:spacing w:line="240" w:lineRule="auto"/>
                    <w:ind w:firstLine="0" w:firstLineChars="0"/>
                    <w:jc w:val="center"/>
                    <w:rPr>
                      <w:rFonts w:hint="default" w:eastAsia="宋体"/>
                      <w:color w:val="auto"/>
                      <w:sz w:val="21"/>
                      <w:szCs w:val="21"/>
                      <w:highlight w:val="none"/>
                      <w:lang w:val="en-US" w:eastAsia="zh-CN"/>
                    </w:rPr>
                  </w:pPr>
                </w:p>
              </w:tc>
              <w:tc>
                <w:tcPr>
                  <w:tcW w:w="1026" w:type="dxa"/>
                  <w:vAlign w:val="center"/>
                </w:tcPr>
                <w:p>
                  <w:pPr>
                    <w:pStyle w:val="48"/>
                    <w:adjustRightInd w:val="0"/>
                    <w:snapToGrid w:val="0"/>
                    <w:spacing w:line="240" w:lineRule="auto"/>
                    <w:ind w:firstLine="0" w:firstLineChars="0"/>
                    <w:jc w:val="center"/>
                    <w:rPr>
                      <w:rFonts w:hint="default" w:eastAsia="宋体"/>
                      <w:color w:val="auto"/>
                      <w:sz w:val="21"/>
                      <w:szCs w:val="21"/>
                      <w:highlight w:val="no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5" w:type="dxa"/>
                  <w:vAlign w:val="center"/>
                </w:tcPr>
                <w:p>
                  <w:pPr>
                    <w:pStyle w:val="48"/>
                    <w:adjustRightInd w:val="0"/>
                    <w:snapToGrid w:val="0"/>
                    <w:spacing w:line="240" w:lineRule="auto"/>
                    <w:ind w:firstLine="0" w:firstLineChars="0"/>
                    <w:jc w:val="center"/>
                    <w:rPr>
                      <w:color w:val="auto"/>
                      <w:sz w:val="21"/>
                      <w:szCs w:val="21"/>
                    </w:rPr>
                  </w:pPr>
                </w:p>
              </w:tc>
              <w:tc>
                <w:tcPr>
                  <w:tcW w:w="1485" w:type="dxa"/>
                  <w:vAlign w:val="center"/>
                </w:tcPr>
                <w:p>
                  <w:pPr>
                    <w:widowControl/>
                    <w:jc w:val="center"/>
                    <w:textAlignment w:val="center"/>
                    <w:rPr>
                      <w:color w:val="auto"/>
                      <w:szCs w:val="21"/>
                    </w:rPr>
                  </w:pPr>
                </w:p>
              </w:tc>
              <w:tc>
                <w:tcPr>
                  <w:tcW w:w="1696" w:type="dxa"/>
                  <w:vAlign w:val="center"/>
                </w:tcPr>
                <w:p>
                  <w:pPr>
                    <w:widowControl/>
                    <w:jc w:val="center"/>
                    <w:textAlignment w:val="center"/>
                    <w:rPr>
                      <w:color w:val="auto"/>
                      <w:szCs w:val="21"/>
                    </w:rPr>
                  </w:pPr>
                </w:p>
              </w:tc>
              <w:tc>
                <w:tcPr>
                  <w:tcW w:w="982" w:type="dxa"/>
                  <w:vAlign w:val="center"/>
                </w:tcPr>
                <w:p>
                  <w:pPr>
                    <w:pStyle w:val="48"/>
                    <w:adjustRightInd w:val="0"/>
                    <w:snapToGrid w:val="0"/>
                    <w:spacing w:line="240" w:lineRule="auto"/>
                    <w:ind w:firstLine="0" w:firstLineChars="0"/>
                    <w:jc w:val="center"/>
                    <w:rPr>
                      <w:color w:val="auto"/>
                      <w:sz w:val="21"/>
                      <w:szCs w:val="21"/>
                    </w:rPr>
                  </w:pPr>
                </w:p>
              </w:tc>
              <w:tc>
                <w:tcPr>
                  <w:tcW w:w="1125" w:type="dxa"/>
                  <w:vAlign w:val="center"/>
                </w:tcPr>
                <w:p>
                  <w:pPr>
                    <w:pStyle w:val="48"/>
                    <w:adjustRightInd w:val="0"/>
                    <w:snapToGrid w:val="0"/>
                    <w:spacing w:line="240" w:lineRule="auto"/>
                    <w:ind w:firstLine="0" w:firstLineChars="0"/>
                    <w:jc w:val="center"/>
                    <w:rPr>
                      <w:color w:val="auto"/>
                      <w:sz w:val="21"/>
                      <w:szCs w:val="21"/>
                    </w:rPr>
                  </w:pPr>
                </w:p>
              </w:tc>
              <w:tc>
                <w:tcPr>
                  <w:tcW w:w="1755" w:type="dxa"/>
                  <w:vAlign w:val="center"/>
                </w:tcPr>
                <w:p>
                  <w:pPr>
                    <w:pStyle w:val="48"/>
                    <w:adjustRightInd w:val="0"/>
                    <w:snapToGrid w:val="0"/>
                    <w:spacing w:line="240" w:lineRule="auto"/>
                    <w:ind w:firstLine="0" w:firstLineChars="0"/>
                    <w:jc w:val="center"/>
                    <w:rPr>
                      <w:color w:val="auto"/>
                      <w:sz w:val="21"/>
                      <w:szCs w:val="21"/>
                      <w:highlight w:val="none"/>
                    </w:rPr>
                  </w:pPr>
                </w:p>
              </w:tc>
              <w:tc>
                <w:tcPr>
                  <w:tcW w:w="1026" w:type="dxa"/>
                  <w:vAlign w:val="center"/>
                </w:tcPr>
                <w:p>
                  <w:pPr>
                    <w:pStyle w:val="48"/>
                    <w:adjustRightInd w:val="0"/>
                    <w:snapToGrid w:val="0"/>
                    <w:spacing w:line="240" w:lineRule="auto"/>
                    <w:ind w:firstLine="0" w:firstLineChars="0"/>
                    <w:jc w:val="center"/>
                    <w:rPr>
                      <w:rFonts w:hint="default" w:eastAsia="宋体"/>
                      <w:color w:val="auto"/>
                      <w:sz w:val="21"/>
                      <w:szCs w:val="21"/>
                      <w:highlight w:val="no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5" w:type="dxa"/>
                  <w:vAlign w:val="center"/>
                </w:tcPr>
                <w:p>
                  <w:pPr>
                    <w:pStyle w:val="48"/>
                    <w:adjustRightInd w:val="0"/>
                    <w:snapToGrid w:val="0"/>
                    <w:spacing w:line="240" w:lineRule="auto"/>
                    <w:ind w:firstLine="0" w:firstLineChars="0"/>
                    <w:jc w:val="center"/>
                    <w:rPr>
                      <w:color w:val="auto"/>
                      <w:sz w:val="21"/>
                      <w:szCs w:val="21"/>
                    </w:rPr>
                  </w:pPr>
                </w:p>
              </w:tc>
              <w:tc>
                <w:tcPr>
                  <w:tcW w:w="1485" w:type="dxa"/>
                  <w:vAlign w:val="center"/>
                </w:tcPr>
                <w:p>
                  <w:pPr>
                    <w:widowControl/>
                    <w:jc w:val="center"/>
                    <w:textAlignment w:val="center"/>
                    <w:rPr>
                      <w:color w:val="auto"/>
                      <w:szCs w:val="21"/>
                    </w:rPr>
                  </w:pPr>
                </w:p>
              </w:tc>
              <w:tc>
                <w:tcPr>
                  <w:tcW w:w="1696" w:type="dxa"/>
                  <w:vAlign w:val="center"/>
                </w:tcPr>
                <w:p>
                  <w:pPr>
                    <w:widowControl/>
                    <w:jc w:val="center"/>
                    <w:textAlignment w:val="center"/>
                    <w:rPr>
                      <w:color w:val="auto"/>
                      <w:szCs w:val="21"/>
                    </w:rPr>
                  </w:pPr>
                </w:p>
              </w:tc>
              <w:tc>
                <w:tcPr>
                  <w:tcW w:w="982" w:type="dxa"/>
                  <w:vAlign w:val="center"/>
                </w:tcPr>
                <w:p>
                  <w:pPr>
                    <w:pStyle w:val="48"/>
                    <w:adjustRightInd w:val="0"/>
                    <w:snapToGrid w:val="0"/>
                    <w:spacing w:line="240" w:lineRule="auto"/>
                    <w:ind w:firstLine="0" w:firstLineChars="0"/>
                    <w:jc w:val="center"/>
                    <w:rPr>
                      <w:color w:val="auto"/>
                      <w:sz w:val="21"/>
                      <w:szCs w:val="21"/>
                    </w:rPr>
                  </w:pPr>
                </w:p>
              </w:tc>
              <w:tc>
                <w:tcPr>
                  <w:tcW w:w="1125" w:type="dxa"/>
                  <w:vAlign w:val="center"/>
                </w:tcPr>
                <w:p>
                  <w:pPr>
                    <w:pStyle w:val="48"/>
                    <w:adjustRightInd w:val="0"/>
                    <w:snapToGrid w:val="0"/>
                    <w:spacing w:line="240" w:lineRule="auto"/>
                    <w:ind w:firstLine="0" w:firstLineChars="0"/>
                    <w:jc w:val="center"/>
                    <w:rPr>
                      <w:color w:val="auto"/>
                      <w:sz w:val="21"/>
                      <w:szCs w:val="21"/>
                    </w:rPr>
                  </w:pPr>
                </w:p>
              </w:tc>
              <w:tc>
                <w:tcPr>
                  <w:tcW w:w="1755" w:type="dxa"/>
                  <w:vAlign w:val="center"/>
                </w:tcPr>
                <w:p>
                  <w:pPr>
                    <w:pStyle w:val="48"/>
                    <w:adjustRightInd w:val="0"/>
                    <w:snapToGrid w:val="0"/>
                    <w:spacing w:line="240" w:lineRule="auto"/>
                    <w:ind w:firstLine="0" w:firstLineChars="0"/>
                    <w:jc w:val="center"/>
                    <w:rPr>
                      <w:rFonts w:hint="eastAsia" w:eastAsia="宋体"/>
                      <w:color w:val="auto"/>
                      <w:sz w:val="21"/>
                      <w:szCs w:val="21"/>
                      <w:highlight w:val="none"/>
                      <w:lang w:val="en-US" w:eastAsia="zh-CN"/>
                    </w:rPr>
                  </w:pPr>
                </w:p>
              </w:tc>
              <w:tc>
                <w:tcPr>
                  <w:tcW w:w="1026" w:type="dxa"/>
                  <w:vAlign w:val="center"/>
                </w:tcPr>
                <w:p>
                  <w:pPr>
                    <w:pStyle w:val="48"/>
                    <w:adjustRightInd w:val="0"/>
                    <w:snapToGrid w:val="0"/>
                    <w:spacing w:line="240" w:lineRule="auto"/>
                    <w:ind w:firstLine="0" w:firstLineChars="0"/>
                    <w:jc w:val="center"/>
                    <w:rPr>
                      <w:rFonts w:hint="default" w:eastAsia="宋体"/>
                      <w:color w:val="auto"/>
                      <w:sz w:val="21"/>
                      <w:szCs w:val="21"/>
                      <w:highlight w:val="no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5" w:type="dxa"/>
                  <w:vAlign w:val="center"/>
                </w:tcPr>
                <w:p>
                  <w:pPr>
                    <w:pStyle w:val="48"/>
                    <w:adjustRightInd w:val="0"/>
                    <w:snapToGrid w:val="0"/>
                    <w:spacing w:line="240" w:lineRule="auto"/>
                    <w:ind w:firstLine="0" w:firstLineChars="0"/>
                    <w:jc w:val="center"/>
                    <w:rPr>
                      <w:color w:val="auto"/>
                      <w:sz w:val="21"/>
                      <w:szCs w:val="21"/>
                    </w:rPr>
                  </w:pPr>
                </w:p>
              </w:tc>
              <w:tc>
                <w:tcPr>
                  <w:tcW w:w="1485" w:type="dxa"/>
                  <w:vAlign w:val="center"/>
                </w:tcPr>
                <w:p>
                  <w:pPr>
                    <w:widowControl/>
                    <w:jc w:val="center"/>
                    <w:textAlignment w:val="center"/>
                    <w:rPr>
                      <w:color w:val="auto"/>
                      <w:szCs w:val="21"/>
                    </w:rPr>
                  </w:pPr>
                </w:p>
              </w:tc>
              <w:tc>
                <w:tcPr>
                  <w:tcW w:w="1696" w:type="dxa"/>
                  <w:vAlign w:val="center"/>
                </w:tcPr>
                <w:p>
                  <w:pPr>
                    <w:widowControl/>
                    <w:jc w:val="center"/>
                    <w:textAlignment w:val="center"/>
                    <w:rPr>
                      <w:color w:val="auto"/>
                      <w:szCs w:val="21"/>
                    </w:rPr>
                  </w:pPr>
                </w:p>
              </w:tc>
              <w:tc>
                <w:tcPr>
                  <w:tcW w:w="982" w:type="dxa"/>
                  <w:vAlign w:val="center"/>
                </w:tcPr>
                <w:p>
                  <w:pPr>
                    <w:pStyle w:val="48"/>
                    <w:adjustRightInd w:val="0"/>
                    <w:snapToGrid w:val="0"/>
                    <w:spacing w:line="240" w:lineRule="auto"/>
                    <w:ind w:firstLine="0" w:firstLineChars="0"/>
                    <w:jc w:val="center"/>
                    <w:rPr>
                      <w:color w:val="auto"/>
                      <w:sz w:val="21"/>
                      <w:szCs w:val="21"/>
                    </w:rPr>
                  </w:pPr>
                </w:p>
              </w:tc>
              <w:tc>
                <w:tcPr>
                  <w:tcW w:w="1125" w:type="dxa"/>
                  <w:vAlign w:val="center"/>
                </w:tcPr>
                <w:p>
                  <w:pPr>
                    <w:pStyle w:val="48"/>
                    <w:adjustRightInd w:val="0"/>
                    <w:snapToGrid w:val="0"/>
                    <w:spacing w:line="240" w:lineRule="auto"/>
                    <w:ind w:firstLine="0" w:firstLineChars="0"/>
                    <w:jc w:val="center"/>
                    <w:rPr>
                      <w:color w:val="auto"/>
                      <w:sz w:val="21"/>
                      <w:szCs w:val="21"/>
                    </w:rPr>
                  </w:pPr>
                </w:p>
              </w:tc>
              <w:tc>
                <w:tcPr>
                  <w:tcW w:w="1755" w:type="dxa"/>
                  <w:vAlign w:val="center"/>
                </w:tcPr>
                <w:p>
                  <w:pPr>
                    <w:pStyle w:val="48"/>
                    <w:adjustRightInd w:val="0"/>
                    <w:snapToGrid w:val="0"/>
                    <w:spacing w:line="240" w:lineRule="auto"/>
                    <w:ind w:firstLine="0" w:firstLineChars="0"/>
                    <w:jc w:val="center"/>
                    <w:rPr>
                      <w:rFonts w:hint="default" w:eastAsia="宋体"/>
                      <w:color w:val="auto"/>
                      <w:sz w:val="21"/>
                      <w:szCs w:val="21"/>
                      <w:highlight w:val="none"/>
                      <w:lang w:val="en-US" w:eastAsia="zh-CN"/>
                    </w:rPr>
                  </w:pPr>
                </w:p>
              </w:tc>
              <w:tc>
                <w:tcPr>
                  <w:tcW w:w="1026" w:type="dxa"/>
                  <w:vAlign w:val="center"/>
                </w:tcPr>
                <w:p>
                  <w:pPr>
                    <w:pStyle w:val="48"/>
                    <w:adjustRightInd w:val="0"/>
                    <w:snapToGrid w:val="0"/>
                    <w:spacing w:line="240" w:lineRule="auto"/>
                    <w:ind w:firstLine="0" w:firstLineChars="0"/>
                    <w:jc w:val="center"/>
                    <w:rPr>
                      <w:rFonts w:hint="default" w:eastAsia="宋体"/>
                      <w:color w:val="auto"/>
                      <w:sz w:val="21"/>
                      <w:szCs w:val="21"/>
                      <w:highlight w:val="no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35" w:type="dxa"/>
                  <w:vAlign w:val="center"/>
                </w:tcPr>
                <w:p>
                  <w:pPr>
                    <w:pStyle w:val="48"/>
                    <w:adjustRightInd w:val="0"/>
                    <w:snapToGrid w:val="0"/>
                    <w:spacing w:line="240" w:lineRule="auto"/>
                    <w:ind w:firstLine="0" w:firstLineChars="0"/>
                    <w:jc w:val="center"/>
                    <w:rPr>
                      <w:color w:val="auto"/>
                      <w:sz w:val="21"/>
                      <w:szCs w:val="21"/>
                    </w:rPr>
                  </w:pPr>
                </w:p>
              </w:tc>
              <w:tc>
                <w:tcPr>
                  <w:tcW w:w="1485" w:type="dxa"/>
                  <w:vAlign w:val="center"/>
                </w:tcPr>
                <w:p>
                  <w:pPr>
                    <w:widowControl/>
                    <w:jc w:val="center"/>
                    <w:textAlignment w:val="center"/>
                    <w:rPr>
                      <w:color w:val="auto"/>
                      <w:szCs w:val="21"/>
                    </w:rPr>
                  </w:pPr>
                </w:p>
              </w:tc>
              <w:tc>
                <w:tcPr>
                  <w:tcW w:w="1696" w:type="dxa"/>
                  <w:vAlign w:val="center"/>
                </w:tcPr>
                <w:p>
                  <w:pPr>
                    <w:widowControl/>
                    <w:jc w:val="center"/>
                    <w:textAlignment w:val="center"/>
                    <w:rPr>
                      <w:color w:val="auto"/>
                      <w:szCs w:val="21"/>
                    </w:rPr>
                  </w:pPr>
                </w:p>
              </w:tc>
              <w:tc>
                <w:tcPr>
                  <w:tcW w:w="982" w:type="dxa"/>
                  <w:vAlign w:val="center"/>
                </w:tcPr>
                <w:p>
                  <w:pPr>
                    <w:pStyle w:val="48"/>
                    <w:adjustRightInd w:val="0"/>
                    <w:snapToGrid w:val="0"/>
                    <w:spacing w:line="240" w:lineRule="auto"/>
                    <w:ind w:firstLine="0" w:firstLineChars="0"/>
                    <w:jc w:val="center"/>
                    <w:rPr>
                      <w:color w:val="auto"/>
                      <w:sz w:val="21"/>
                      <w:szCs w:val="21"/>
                    </w:rPr>
                  </w:pPr>
                </w:p>
              </w:tc>
              <w:tc>
                <w:tcPr>
                  <w:tcW w:w="1125" w:type="dxa"/>
                  <w:vAlign w:val="center"/>
                </w:tcPr>
                <w:p>
                  <w:pPr>
                    <w:pStyle w:val="48"/>
                    <w:adjustRightInd w:val="0"/>
                    <w:snapToGrid w:val="0"/>
                    <w:spacing w:line="240" w:lineRule="auto"/>
                    <w:ind w:firstLine="0" w:firstLineChars="0"/>
                    <w:jc w:val="center"/>
                    <w:rPr>
                      <w:color w:val="auto"/>
                      <w:sz w:val="21"/>
                      <w:szCs w:val="21"/>
                    </w:rPr>
                  </w:pPr>
                </w:p>
              </w:tc>
              <w:tc>
                <w:tcPr>
                  <w:tcW w:w="1755" w:type="dxa"/>
                  <w:vAlign w:val="center"/>
                </w:tcPr>
                <w:p>
                  <w:pPr>
                    <w:pStyle w:val="48"/>
                    <w:adjustRightInd w:val="0"/>
                    <w:snapToGrid w:val="0"/>
                    <w:spacing w:line="240" w:lineRule="auto"/>
                    <w:ind w:firstLine="0" w:firstLineChars="0"/>
                    <w:jc w:val="center"/>
                    <w:rPr>
                      <w:color w:val="auto"/>
                      <w:sz w:val="21"/>
                      <w:szCs w:val="21"/>
                    </w:rPr>
                  </w:pPr>
                </w:p>
              </w:tc>
              <w:tc>
                <w:tcPr>
                  <w:tcW w:w="1026" w:type="dxa"/>
                  <w:vAlign w:val="center"/>
                </w:tcPr>
                <w:p>
                  <w:pPr>
                    <w:pStyle w:val="48"/>
                    <w:adjustRightInd w:val="0"/>
                    <w:snapToGrid w:val="0"/>
                    <w:spacing w:line="240" w:lineRule="auto"/>
                    <w:ind w:firstLine="0" w:firstLineChars="0"/>
                    <w:jc w:val="center"/>
                    <w:rPr>
                      <w:color w:val="auto"/>
                      <w:sz w:val="21"/>
                      <w:szCs w:val="21"/>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3616" w:type="dxa"/>
                  <w:gridSpan w:val="3"/>
                  <w:vAlign w:val="center"/>
                </w:tcPr>
                <w:p>
                  <w:pPr>
                    <w:widowControl/>
                    <w:jc w:val="center"/>
                    <w:textAlignment w:val="center"/>
                    <w:rPr>
                      <w:color w:val="auto"/>
                      <w:kern w:val="0"/>
                      <w:szCs w:val="21"/>
                      <w:lang w:bidi="ar"/>
                    </w:rPr>
                  </w:pPr>
                </w:p>
              </w:tc>
              <w:tc>
                <w:tcPr>
                  <w:tcW w:w="982" w:type="dxa"/>
                  <w:vAlign w:val="center"/>
                </w:tcPr>
                <w:p>
                  <w:pPr>
                    <w:pStyle w:val="48"/>
                    <w:adjustRightInd w:val="0"/>
                    <w:snapToGrid w:val="0"/>
                    <w:spacing w:line="240" w:lineRule="auto"/>
                    <w:ind w:firstLine="0" w:firstLineChars="0"/>
                    <w:jc w:val="center"/>
                    <w:rPr>
                      <w:color w:val="auto"/>
                      <w:sz w:val="21"/>
                      <w:szCs w:val="21"/>
                    </w:rPr>
                  </w:pPr>
                </w:p>
              </w:tc>
              <w:tc>
                <w:tcPr>
                  <w:tcW w:w="2880" w:type="dxa"/>
                  <w:gridSpan w:val="2"/>
                  <w:vAlign w:val="center"/>
                </w:tcPr>
                <w:p>
                  <w:pPr>
                    <w:pStyle w:val="48"/>
                    <w:adjustRightInd w:val="0"/>
                    <w:snapToGrid w:val="0"/>
                    <w:spacing w:line="240" w:lineRule="auto"/>
                    <w:ind w:firstLine="0" w:firstLineChars="0"/>
                    <w:jc w:val="center"/>
                    <w:rPr>
                      <w:color w:val="auto"/>
                      <w:sz w:val="21"/>
                      <w:szCs w:val="21"/>
                    </w:rPr>
                  </w:pPr>
                </w:p>
              </w:tc>
              <w:tc>
                <w:tcPr>
                  <w:tcW w:w="1026" w:type="dxa"/>
                  <w:vAlign w:val="center"/>
                </w:tcPr>
                <w:p>
                  <w:pPr>
                    <w:pStyle w:val="48"/>
                    <w:adjustRightInd w:val="0"/>
                    <w:snapToGrid w:val="0"/>
                    <w:spacing w:line="240" w:lineRule="auto"/>
                    <w:ind w:firstLine="0" w:firstLineChars="0"/>
                    <w:jc w:val="center"/>
                    <w:rPr>
                      <w:color w:val="auto"/>
                      <w:sz w:val="21"/>
                      <w:szCs w:val="21"/>
                    </w:rPr>
                  </w:pPr>
                </w:p>
              </w:tc>
            </w:tr>
          </w:tbl>
          <w:p>
            <w:pPr>
              <w:pStyle w:val="48"/>
              <w:ind w:firstLine="0" w:firstLineChars="0"/>
              <w:jc w:val="center"/>
              <w:rPr>
                <w:color w:val="auto"/>
              </w:rPr>
            </w:pPr>
          </w:p>
          <w:p>
            <w:pPr>
              <w:pStyle w:val="13"/>
              <w:spacing w:line="240" w:lineRule="auto"/>
              <w:ind w:firstLine="0"/>
              <w:jc w:val="center"/>
              <w:rPr>
                <w:rFonts w:eastAsia="宋体"/>
                <w:b/>
                <w:color w:val="auto"/>
                <w:sz w:val="24"/>
                <w:szCs w:val="24"/>
              </w:rPr>
            </w:pPr>
            <w:r>
              <w:rPr>
                <w:rFonts w:hint="eastAsia" w:eastAsia="宋体"/>
                <w:b/>
                <w:color w:val="auto"/>
                <w:sz w:val="24"/>
                <w:szCs w:val="24"/>
              </w:rPr>
              <w:t>图</w:t>
            </w:r>
            <w:r>
              <w:rPr>
                <w:rFonts w:eastAsia="宋体"/>
                <w:b/>
                <w:color w:val="auto"/>
                <w:sz w:val="24"/>
                <w:szCs w:val="24"/>
              </w:rPr>
              <w:t>2</w:t>
            </w:r>
            <w:r>
              <w:rPr>
                <w:rFonts w:hint="eastAsia" w:eastAsia="宋体"/>
                <w:b/>
                <w:color w:val="auto"/>
                <w:sz w:val="24"/>
                <w:szCs w:val="24"/>
              </w:rPr>
              <w:t>.8-2</w:t>
            </w:r>
            <w:r>
              <w:rPr>
                <w:rFonts w:eastAsia="宋体"/>
                <w:b/>
                <w:color w:val="auto"/>
                <w:sz w:val="24"/>
                <w:szCs w:val="24"/>
              </w:rPr>
              <w:t xml:space="preserve">  </w:t>
            </w:r>
            <w:r>
              <w:rPr>
                <w:rFonts w:hint="eastAsia" w:eastAsia="宋体"/>
                <w:b/>
                <w:color w:val="auto"/>
                <w:sz w:val="24"/>
                <w:szCs w:val="24"/>
              </w:rPr>
              <w:t>全厂</w:t>
            </w:r>
            <w:r>
              <w:rPr>
                <w:rFonts w:eastAsia="宋体"/>
                <w:b/>
                <w:color w:val="auto"/>
                <w:sz w:val="24"/>
                <w:szCs w:val="24"/>
              </w:rPr>
              <w:t>含VOCs物料</w:t>
            </w:r>
            <w:r>
              <w:rPr>
                <w:rFonts w:hint="eastAsia" w:eastAsia="宋体"/>
                <w:b/>
                <w:color w:val="auto"/>
                <w:sz w:val="24"/>
                <w:szCs w:val="24"/>
              </w:rPr>
              <w:t>平衡图</w:t>
            </w:r>
          </w:p>
          <w:p>
            <w:pPr>
              <w:pStyle w:val="73"/>
              <w:rPr>
                <w:color w:val="auto"/>
              </w:rPr>
            </w:pPr>
            <w:r>
              <w:rPr>
                <w:rFonts w:hint="eastAsia"/>
                <w:color w:val="auto"/>
              </w:rPr>
              <w:t>2.9扩建项目厂区平面布置</w:t>
            </w:r>
          </w:p>
          <w:p>
            <w:pPr>
              <w:pStyle w:val="48"/>
              <w:ind w:firstLine="480"/>
              <w:jc w:val="both"/>
              <w:rPr>
                <w:color w:val="auto"/>
              </w:rPr>
            </w:pPr>
            <w:r>
              <w:rPr>
                <w:color w:val="auto"/>
              </w:rPr>
              <w:t>①从项目总体布局及功能分区来看，</w:t>
            </w:r>
            <w:r>
              <w:rPr>
                <w:rFonts w:hint="eastAsia"/>
                <w:color w:val="auto"/>
              </w:rPr>
              <w:t>其</w:t>
            </w:r>
            <w:r>
              <w:rPr>
                <w:color w:val="auto"/>
              </w:rPr>
              <w:t>生产、物料区</w:t>
            </w:r>
            <w:r>
              <w:rPr>
                <w:rFonts w:hint="eastAsia"/>
                <w:color w:val="auto"/>
              </w:rPr>
              <w:t>、</w:t>
            </w:r>
            <w:r>
              <w:rPr>
                <w:color w:val="auto"/>
              </w:rPr>
              <w:t>办公功能区分清楚，便于组织生产和管理。</w:t>
            </w:r>
          </w:p>
          <w:p>
            <w:pPr>
              <w:pStyle w:val="48"/>
              <w:ind w:firstLine="480"/>
              <w:jc w:val="both"/>
              <w:rPr>
                <w:color w:val="auto"/>
              </w:rPr>
            </w:pPr>
            <w:r>
              <w:rPr>
                <w:color w:val="auto"/>
              </w:rPr>
              <w:t>②工艺布置上，做到布局合理，分区明确，工艺流程顺畅、生产设施布置紧凑，整个生产线的设备按照工艺流程依次进行布置，使生产过程更加顺畅，节约时间，提高效率且缩短物料的输送路线；原料区及成品区布设利于生产时原料的输送及成品的外运。</w:t>
            </w:r>
          </w:p>
          <w:p>
            <w:pPr>
              <w:pStyle w:val="48"/>
              <w:ind w:firstLine="480"/>
              <w:jc w:val="both"/>
              <w:rPr>
                <w:color w:val="auto"/>
              </w:rPr>
            </w:pPr>
            <w:r>
              <w:rPr>
                <w:color w:val="auto"/>
              </w:rPr>
              <w:t>③原料、成品、固废等分区堆放，便于管理。</w:t>
            </w:r>
          </w:p>
          <w:p>
            <w:pPr>
              <w:pStyle w:val="48"/>
              <w:ind w:firstLine="480"/>
              <w:jc w:val="both"/>
              <w:rPr>
                <w:bCs/>
                <w:color w:val="auto"/>
              </w:rPr>
            </w:pPr>
            <w:r>
              <w:rPr>
                <w:color w:val="auto"/>
              </w:rPr>
              <w:t>综上分析，项目从工艺布置、环保等方面考虑，其平面布局较为合理。</w:t>
            </w:r>
            <w:r>
              <w:rPr>
                <w:rFonts w:hint="eastAsia"/>
                <w:color w:val="auto"/>
              </w:rPr>
              <w:t>扩建项目各层</w:t>
            </w:r>
            <w:r>
              <w:rPr>
                <w:color w:val="auto"/>
              </w:rPr>
              <w:t>平布</w:t>
            </w:r>
            <w:r>
              <w:rPr>
                <w:rFonts w:hint="eastAsia"/>
                <w:color w:val="auto"/>
              </w:rPr>
              <w:t>布局图</w:t>
            </w:r>
            <w:r>
              <w:rPr>
                <w:color w:val="auto"/>
              </w:rPr>
              <w:t>见</w:t>
            </w:r>
            <w:r>
              <w:rPr>
                <w:b/>
                <w:bCs/>
                <w:color w:val="auto"/>
              </w:rPr>
              <w:t>附图3</w:t>
            </w:r>
            <w:r>
              <w:rPr>
                <w:color w:val="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452" w:type="dxa"/>
            <w:vAlign w:val="center"/>
          </w:tcPr>
          <w:p>
            <w:pPr>
              <w:pStyle w:val="33"/>
              <w:spacing w:before="0" w:beforeAutospacing="0" w:after="0" w:afterAutospacing="0" w:line="360" w:lineRule="auto"/>
              <w:jc w:val="center"/>
              <w:rPr>
                <w:rFonts w:ascii="Times New Roman" w:hAnsi="Times New Roman"/>
                <w:b/>
                <w:color w:val="auto"/>
                <w:szCs w:val="21"/>
              </w:rPr>
            </w:pPr>
            <w:r>
              <w:rPr>
                <w:rFonts w:ascii="Times New Roman" w:hAnsi="Times New Roman"/>
                <w:b/>
                <w:color w:val="auto"/>
                <w:szCs w:val="21"/>
              </w:rPr>
              <w:t>工艺流程和产排污环节</w:t>
            </w:r>
          </w:p>
        </w:tc>
        <w:tc>
          <w:tcPr>
            <w:tcW w:w="8608" w:type="dxa"/>
          </w:tcPr>
          <w:p>
            <w:pPr>
              <w:pStyle w:val="73"/>
              <w:rPr>
                <w:rFonts w:cs="Times New Roman"/>
                <w:color w:val="auto"/>
              </w:rPr>
            </w:pPr>
            <w:r>
              <w:rPr>
                <w:rFonts w:hint="eastAsia"/>
                <w:color w:val="auto"/>
              </w:rPr>
              <w:t>2.10扩建项目生产工艺流程及产污环</w:t>
            </w:r>
            <w:r>
              <w:rPr>
                <w:rFonts w:cs="Times New Roman"/>
                <w:color w:val="auto"/>
              </w:rPr>
              <w:t>节</w:t>
            </w:r>
          </w:p>
          <w:p>
            <w:pPr>
              <w:pStyle w:val="73"/>
              <w:rPr>
                <w:rFonts w:cs="Times New Roman"/>
                <w:color w:val="auto"/>
                <w:sz w:val="28"/>
                <w:szCs w:val="28"/>
              </w:rPr>
            </w:pPr>
            <w:r>
              <w:rPr>
                <w:rFonts w:cs="Times New Roman"/>
                <w:color w:val="auto"/>
                <w:sz w:val="28"/>
                <w:szCs w:val="28"/>
              </w:rPr>
              <w:t>2.</w:t>
            </w:r>
            <w:r>
              <w:rPr>
                <w:rFonts w:hint="eastAsia" w:cs="Times New Roman"/>
                <w:color w:val="auto"/>
                <w:sz w:val="28"/>
                <w:szCs w:val="28"/>
              </w:rPr>
              <w:t>10</w:t>
            </w:r>
            <w:r>
              <w:rPr>
                <w:rFonts w:cs="Times New Roman"/>
                <w:color w:val="auto"/>
                <w:sz w:val="28"/>
                <w:szCs w:val="28"/>
              </w:rPr>
              <w:t>.1扩建项目</w:t>
            </w:r>
            <w:r>
              <w:rPr>
                <w:rFonts w:cs="Times New Roman"/>
                <w:color w:val="auto"/>
              </w:rPr>
              <w:t>生产工艺流程</w:t>
            </w:r>
            <w:r>
              <w:rPr>
                <w:rFonts w:cs="Times New Roman"/>
                <w:color w:val="auto"/>
                <w:sz w:val="28"/>
                <w:szCs w:val="28"/>
              </w:rPr>
              <w:t>及工艺流程说明</w:t>
            </w:r>
          </w:p>
          <w:p>
            <w:pPr>
              <w:pStyle w:val="78"/>
              <w:rPr>
                <w:color w:val="auto"/>
              </w:rPr>
            </w:pPr>
            <w:r>
              <w:rPr>
                <w:rFonts w:hint="eastAsia"/>
                <w:color w:val="auto"/>
              </w:rPr>
              <w:t>（1）生产工艺流程</w:t>
            </w:r>
          </w:p>
          <w:p>
            <w:pPr>
              <w:pStyle w:val="78"/>
              <w:rPr>
                <w:color w:val="auto"/>
              </w:rPr>
            </w:pPr>
            <w:r>
              <w:rPr>
                <w:rFonts w:hint="eastAsia"/>
                <w:color w:val="auto"/>
              </w:rPr>
              <w:t>扩建项目主要从事复合膜、复合袋的生产，复合膜生产工艺无分切和制袋过程，其余生产过程均一致。具体生产工艺流程及主要产污环节见</w:t>
            </w:r>
            <w:r>
              <w:rPr>
                <w:rFonts w:hint="eastAsia"/>
                <w:b/>
                <w:bCs/>
                <w:color w:val="auto"/>
              </w:rPr>
              <w:t>图2.10-1</w:t>
            </w:r>
            <w:r>
              <w:rPr>
                <w:rFonts w:hint="eastAsia"/>
                <w:color w:val="auto"/>
              </w:rPr>
              <w:t>。</w:t>
            </w:r>
          </w:p>
          <w:p>
            <w:pPr>
              <w:pStyle w:val="78"/>
              <w:ind w:firstLine="0" w:firstLineChars="0"/>
              <w:jc w:val="center"/>
              <w:rPr>
                <w:b/>
                <w:bCs/>
                <w:color w:val="auto"/>
                <w:spacing w:val="-1"/>
              </w:rPr>
            </w:pPr>
            <w:r>
              <w:rPr>
                <w:color w:val="auto"/>
              </w:rPr>
              <w:drawing>
                <wp:inline distT="0" distB="0" distL="114300" distR="114300">
                  <wp:extent cx="5328285" cy="1923415"/>
                  <wp:effectExtent l="0" t="0" r="5715" b="635"/>
                  <wp:docPr id="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
                          <pic:cNvPicPr>
                            <a:picLocks noChangeAspect="1"/>
                          </pic:cNvPicPr>
                        </pic:nvPicPr>
                        <pic:blipFill>
                          <a:blip r:embed="rId23"/>
                          <a:stretch>
                            <a:fillRect/>
                          </a:stretch>
                        </pic:blipFill>
                        <pic:spPr>
                          <a:xfrm>
                            <a:off x="0" y="0"/>
                            <a:ext cx="5328285" cy="1923415"/>
                          </a:xfrm>
                          <a:prstGeom prst="rect">
                            <a:avLst/>
                          </a:prstGeom>
                          <a:noFill/>
                          <a:ln>
                            <a:noFill/>
                          </a:ln>
                        </pic:spPr>
                      </pic:pic>
                    </a:graphicData>
                  </a:graphic>
                </wp:inline>
              </w:drawing>
            </w:r>
          </w:p>
          <w:p>
            <w:pPr>
              <w:pStyle w:val="78"/>
              <w:ind w:firstLine="0" w:firstLineChars="0"/>
              <w:jc w:val="center"/>
              <w:rPr>
                <w:color w:val="auto"/>
              </w:rPr>
            </w:pPr>
            <w:r>
              <w:rPr>
                <w:rFonts w:hint="eastAsia"/>
                <w:b/>
                <w:bCs/>
                <w:color w:val="auto"/>
                <w:spacing w:val="-1"/>
              </w:rPr>
              <w:t>图2.10-1  生产工艺流程及主要产污环节</w:t>
            </w:r>
            <w:r>
              <w:rPr>
                <w:rFonts w:hint="eastAsia"/>
                <w:b/>
                <w:bCs/>
                <w:color w:val="auto"/>
              </w:rPr>
              <w:t>图</w:t>
            </w:r>
          </w:p>
          <w:p>
            <w:pPr>
              <w:spacing w:line="360" w:lineRule="auto"/>
              <w:ind w:firstLine="474" w:firstLineChars="200"/>
              <w:rPr>
                <w:b/>
                <w:bCs/>
                <w:color w:val="auto"/>
                <w:spacing w:val="-2"/>
                <w:sz w:val="24"/>
              </w:rPr>
            </w:pPr>
            <w:r>
              <w:rPr>
                <w:b/>
                <w:bCs/>
                <w:color w:val="auto"/>
                <w:spacing w:val="-2"/>
                <w:sz w:val="24"/>
              </w:rPr>
              <w:t>工艺流程说明：</w:t>
            </w:r>
          </w:p>
          <w:p>
            <w:pPr>
              <w:pStyle w:val="78"/>
              <w:numPr>
                <w:ilvl w:val="0"/>
                <w:numId w:val="5"/>
              </w:numPr>
              <w:ind w:firstLine="476"/>
              <w:rPr>
                <w:color w:val="auto"/>
                <w:spacing w:val="-1"/>
                <w:szCs w:val="24"/>
              </w:rPr>
            </w:pPr>
            <w:r>
              <w:rPr>
                <w:rFonts w:hint="eastAsia"/>
                <w:color w:val="auto"/>
                <w:spacing w:val="-1"/>
                <w:szCs w:val="24"/>
              </w:rPr>
              <w:t>油墨调配、印刷及烘干：</w:t>
            </w:r>
            <w:r>
              <w:rPr>
                <w:rFonts w:hint="eastAsia" w:ascii="宋体" w:hAnsi="宋体"/>
                <w:color w:val="auto"/>
                <w:szCs w:val="24"/>
              </w:rPr>
              <w:t>将油墨和溶剂按比例进行调配混合，</w:t>
            </w:r>
            <w:r>
              <w:rPr>
                <w:rFonts w:hint="eastAsia"/>
                <w:color w:val="auto"/>
                <w:spacing w:val="-1"/>
                <w:szCs w:val="24"/>
              </w:rPr>
              <w:t>通过印刷机将油墨（含溶剂）印刷到原料塑料薄膜上，然后电热泵烘干。更换油墨过程不涉及清洗，无清洗废水产生；此过程会产生油墨调配废气、印刷及烘干有机废气、废油墨桶、废油墨、</w:t>
            </w:r>
            <w:r>
              <w:rPr>
                <w:rFonts w:hint="eastAsia"/>
                <w:color w:val="auto"/>
              </w:rPr>
              <w:t>印刷辊筒擦拭废布</w:t>
            </w:r>
            <w:r>
              <w:rPr>
                <w:rFonts w:hint="eastAsia"/>
                <w:color w:val="auto"/>
                <w:spacing w:val="-1"/>
                <w:szCs w:val="24"/>
              </w:rPr>
              <w:t>以及噪声。</w:t>
            </w:r>
          </w:p>
          <w:p>
            <w:pPr>
              <w:pStyle w:val="78"/>
              <w:numPr>
                <w:ilvl w:val="0"/>
                <w:numId w:val="5"/>
              </w:numPr>
              <w:ind w:firstLine="476"/>
              <w:rPr>
                <w:color w:val="auto"/>
                <w:spacing w:val="-1"/>
                <w:szCs w:val="24"/>
                <w:highlight w:val="none"/>
              </w:rPr>
            </w:pPr>
            <w:r>
              <w:rPr>
                <w:rFonts w:hint="eastAsia"/>
                <w:color w:val="auto"/>
                <w:spacing w:val="-1"/>
                <w:szCs w:val="24"/>
                <w:highlight w:val="none"/>
              </w:rPr>
              <w:t>溶剂型粘合剂调配、复合及烘干：干式复合机使用溶剂型粘合剂，无溶剂复合机使用无溶剂粘合剂。溶剂型粘合剂需要与溶剂进行调配混合，将酯溶型聚氨酯粘合剂和溶剂按比例进行调配混合，通过在复合机中加入酯溶型聚氨酯粘合剂（含溶剂）或无溶剂粘合剂（聚氨酯粘合剂），将印刷后的塑料薄膜粘合在一起，然后电热泵烘干；此过程会产生溶剂型粘合剂调配废气、</w:t>
            </w:r>
            <w:r>
              <w:rPr>
                <w:rFonts w:hint="default" w:ascii="Times New Roman" w:hAnsi="Times New Roman" w:cs="Times New Roman"/>
                <w:color w:val="auto"/>
                <w:szCs w:val="24"/>
                <w:highlight w:val="none"/>
              </w:rPr>
              <w:t>粘合剂</w:t>
            </w:r>
            <w:r>
              <w:rPr>
                <w:rFonts w:hint="default" w:ascii="Times New Roman" w:hAnsi="Times New Roman" w:cs="Times New Roman"/>
                <w:color w:val="auto"/>
                <w:szCs w:val="24"/>
                <w:highlight w:val="none"/>
                <w:lang w:val="en-US" w:eastAsia="zh-CN"/>
              </w:rPr>
              <w:t>(含</w:t>
            </w:r>
            <w:r>
              <w:rPr>
                <w:rFonts w:hint="default" w:ascii="Times New Roman" w:hAnsi="Times New Roman" w:cs="Times New Roman"/>
                <w:color w:val="auto"/>
                <w:szCs w:val="24"/>
                <w:highlight w:val="none"/>
              </w:rPr>
              <w:t>溶剂型粘合剂</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kern w:val="0"/>
                <w:szCs w:val="21"/>
                <w:highlight w:val="none"/>
                <w:lang w:bidi="ar"/>
              </w:rPr>
              <w:t>无溶剂</w:t>
            </w:r>
            <w:r>
              <w:rPr>
                <w:rFonts w:hint="default" w:ascii="Times New Roman" w:hAnsi="Times New Roman" w:cs="Times New Roman"/>
                <w:bCs/>
                <w:color w:val="auto"/>
                <w:szCs w:val="21"/>
                <w:highlight w:val="none"/>
              </w:rPr>
              <w:t>粘合剂</w:t>
            </w:r>
            <w:r>
              <w:rPr>
                <w:rFonts w:hint="default" w:ascii="Times New Roman" w:hAnsi="Times New Roman" w:cs="Times New Roman"/>
                <w:color w:val="auto"/>
                <w:szCs w:val="24"/>
                <w:highlight w:val="none"/>
                <w:lang w:val="en-US" w:eastAsia="zh-CN"/>
              </w:rPr>
              <w:t>)</w:t>
            </w:r>
            <w:r>
              <w:rPr>
                <w:rFonts w:hint="eastAsia"/>
                <w:color w:val="auto"/>
                <w:spacing w:val="-1"/>
                <w:szCs w:val="24"/>
                <w:highlight w:val="none"/>
              </w:rPr>
              <w:t>复合及烘干有机废气、废粘合剂桶、废粘合剂以及噪声。</w:t>
            </w:r>
          </w:p>
          <w:p>
            <w:pPr>
              <w:pStyle w:val="78"/>
              <w:ind w:firstLine="476"/>
              <w:rPr>
                <w:color w:val="auto"/>
                <w:spacing w:val="-1"/>
                <w:szCs w:val="24"/>
              </w:rPr>
            </w:pPr>
            <w:r>
              <w:rPr>
                <w:rFonts w:hint="eastAsia"/>
                <w:color w:val="auto"/>
                <w:spacing w:val="-1"/>
                <w:szCs w:val="24"/>
              </w:rPr>
              <w:t>（3）熟化、冷却：在塑料薄膜复合后，进入</w:t>
            </w:r>
            <w:r>
              <w:rPr>
                <w:rFonts w:hint="eastAsia"/>
                <w:color w:val="auto"/>
                <w:spacing w:val="-1"/>
                <w:szCs w:val="24"/>
                <w:highlight w:val="none"/>
              </w:rPr>
              <w:t>熟化</w:t>
            </w:r>
            <w:r>
              <w:rPr>
                <w:rFonts w:hint="eastAsia"/>
                <w:color w:val="auto"/>
                <w:spacing w:val="-1"/>
                <w:szCs w:val="24"/>
                <w:highlight w:val="none"/>
                <w:lang w:val="en-US" w:eastAsia="zh-CN"/>
              </w:rPr>
              <w:t>箱</w:t>
            </w:r>
            <w:r>
              <w:rPr>
                <w:rFonts w:hint="eastAsia"/>
                <w:color w:val="auto"/>
                <w:spacing w:val="-1"/>
                <w:szCs w:val="24"/>
              </w:rPr>
              <w:t>将熟化一定的时间，</w:t>
            </w:r>
            <w:r>
              <w:rPr>
                <w:rFonts w:hint="eastAsia"/>
                <w:color w:val="auto"/>
                <w:spacing w:val="-1"/>
                <w:szCs w:val="24"/>
                <w:highlight w:val="none"/>
              </w:rPr>
              <w:t>熟化</w:t>
            </w:r>
            <w:r>
              <w:rPr>
                <w:rFonts w:hint="eastAsia"/>
                <w:color w:val="auto"/>
                <w:spacing w:val="-1"/>
                <w:szCs w:val="24"/>
                <w:highlight w:val="none"/>
                <w:lang w:val="en-US" w:eastAsia="zh-CN"/>
              </w:rPr>
              <w:t>箱</w:t>
            </w:r>
            <w:r>
              <w:rPr>
                <w:rFonts w:hint="eastAsia"/>
                <w:color w:val="auto"/>
                <w:spacing w:val="-1"/>
                <w:szCs w:val="24"/>
              </w:rPr>
              <w:t>采用恒温机组（电加热）供热，确保复合薄膜干燥，同时确保附着的有机溶剂挥发完全，然后进行冷却；此过程会产生有机废气。</w:t>
            </w:r>
          </w:p>
          <w:p>
            <w:pPr>
              <w:pStyle w:val="78"/>
              <w:ind w:firstLine="476"/>
              <w:rPr>
                <w:color w:val="auto"/>
                <w:spacing w:val="-1"/>
                <w:szCs w:val="24"/>
              </w:rPr>
            </w:pPr>
            <w:r>
              <w:rPr>
                <w:rFonts w:hint="eastAsia"/>
                <w:color w:val="auto"/>
                <w:spacing w:val="-1"/>
                <w:szCs w:val="24"/>
              </w:rPr>
              <w:t>（4）分切、制袋：熟化后的复合薄膜先用分切机进行分条，再采用高速制袋机制袋成型；此过程会产生废边角料、噪声。</w:t>
            </w:r>
          </w:p>
          <w:p>
            <w:pPr>
              <w:pStyle w:val="78"/>
              <w:ind w:firstLine="476"/>
              <w:rPr>
                <w:color w:val="auto"/>
                <w:spacing w:val="-1"/>
                <w:szCs w:val="24"/>
              </w:rPr>
            </w:pPr>
            <w:r>
              <w:rPr>
                <w:rFonts w:hint="eastAsia"/>
                <w:color w:val="auto"/>
                <w:spacing w:val="-1"/>
                <w:szCs w:val="24"/>
              </w:rPr>
              <w:t>（5）检测、包装、成品入库：产品进行检测、包装、入库；此过程会产生不合格品。</w:t>
            </w:r>
          </w:p>
          <w:p>
            <w:pPr>
              <w:pStyle w:val="97"/>
              <w:ind w:firstLine="0" w:firstLineChars="0"/>
              <w:rPr>
                <w:b/>
                <w:bCs/>
                <w:color w:val="auto"/>
                <w:sz w:val="28"/>
                <w:szCs w:val="28"/>
              </w:rPr>
            </w:pPr>
            <w:r>
              <w:rPr>
                <w:rFonts w:hint="eastAsia"/>
                <w:b/>
                <w:bCs/>
                <w:color w:val="auto"/>
                <w:sz w:val="28"/>
                <w:szCs w:val="28"/>
              </w:rPr>
              <w:t>2.10.2扩建项目</w:t>
            </w:r>
            <w:r>
              <w:rPr>
                <w:b/>
                <w:bCs/>
                <w:color w:val="auto"/>
                <w:sz w:val="28"/>
                <w:szCs w:val="28"/>
              </w:rPr>
              <w:t>产污环节</w:t>
            </w:r>
          </w:p>
          <w:p>
            <w:pPr>
              <w:pStyle w:val="103"/>
              <w:ind w:left="0" w:leftChars="0" w:firstLineChars="300"/>
              <w:rPr>
                <w:color w:val="auto"/>
              </w:rPr>
            </w:pPr>
            <w:r>
              <w:rPr>
                <w:rFonts w:hint="eastAsia"/>
                <w:color w:val="auto"/>
              </w:rPr>
              <w:t>扩建</w:t>
            </w:r>
            <w:r>
              <w:rPr>
                <w:color w:val="auto"/>
              </w:rPr>
              <w:t>项目运营期产污环节</w:t>
            </w:r>
            <w:r>
              <w:rPr>
                <w:rFonts w:hint="eastAsia"/>
                <w:color w:val="auto"/>
              </w:rPr>
              <w:t>详见</w:t>
            </w:r>
            <w:r>
              <w:rPr>
                <w:rFonts w:hint="eastAsia"/>
                <w:b/>
                <w:bCs/>
                <w:color w:val="auto"/>
              </w:rPr>
              <w:t>表2.10-1</w:t>
            </w:r>
            <w:r>
              <w:rPr>
                <w:rFonts w:hint="eastAsia"/>
                <w:color w:val="auto"/>
              </w:rPr>
              <w:t>。</w:t>
            </w:r>
          </w:p>
          <w:p>
            <w:pPr>
              <w:pStyle w:val="47"/>
              <w:rPr>
                <w:bCs/>
                <w:color w:val="auto"/>
              </w:rPr>
            </w:pPr>
            <w:r>
              <w:rPr>
                <w:bCs/>
                <w:color w:val="auto"/>
              </w:rPr>
              <w:t>表2.</w:t>
            </w:r>
            <w:r>
              <w:rPr>
                <w:rFonts w:hint="eastAsia"/>
                <w:bCs/>
                <w:color w:val="auto"/>
              </w:rPr>
              <w:t>10</w:t>
            </w:r>
            <w:r>
              <w:rPr>
                <w:bCs/>
                <w:color w:val="auto"/>
              </w:rPr>
              <w:t>-1</w:t>
            </w:r>
            <w:r>
              <w:rPr>
                <w:rFonts w:hint="eastAsia"/>
                <w:bCs/>
                <w:color w:val="auto"/>
              </w:rPr>
              <w:t xml:space="preserve">  扩建</w:t>
            </w:r>
            <w:r>
              <w:rPr>
                <w:bCs/>
                <w:color w:val="auto"/>
              </w:rPr>
              <w:t>项目运营期产污环节一览表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676"/>
              <w:gridCol w:w="2040"/>
              <w:gridCol w:w="2265"/>
              <w:gridCol w:w="35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tcBorders>
                    <w:tl2br w:val="nil"/>
                    <w:tr2bl w:val="nil"/>
                  </w:tcBorders>
                  <w:vAlign w:val="center"/>
                </w:tcPr>
                <w:p>
                  <w:pPr>
                    <w:pStyle w:val="154"/>
                    <w:rPr>
                      <w:color w:val="auto"/>
                      <w:szCs w:val="21"/>
                    </w:rPr>
                  </w:pPr>
                  <w:r>
                    <w:rPr>
                      <w:color w:val="auto"/>
                      <w:szCs w:val="21"/>
                    </w:rPr>
                    <w:t>类别</w:t>
                  </w:r>
                </w:p>
              </w:tc>
              <w:tc>
                <w:tcPr>
                  <w:tcW w:w="2040" w:type="dxa"/>
                  <w:tcBorders>
                    <w:tl2br w:val="nil"/>
                    <w:tr2bl w:val="nil"/>
                  </w:tcBorders>
                  <w:vAlign w:val="center"/>
                </w:tcPr>
                <w:p>
                  <w:pPr>
                    <w:pStyle w:val="154"/>
                    <w:rPr>
                      <w:color w:val="auto"/>
                      <w:szCs w:val="21"/>
                    </w:rPr>
                  </w:pPr>
                  <w:r>
                    <w:rPr>
                      <w:color w:val="auto"/>
                      <w:szCs w:val="21"/>
                    </w:rPr>
                    <w:t>污染源</w:t>
                  </w:r>
                </w:p>
              </w:tc>
              <w:tc>
                <w:tcPr>
                  <w:tcW w:w="2265" w:type="dxa"/>
                  <w:tcBorders>
                    <w:tl2br w:val="nil"/>
                    <w:tr2bl w:val="nil"/>
                  </w:tcBorders>
                  <w:vAlign w:val="center"/>
                </w:tcPr>
                <w:p>
                  <w:pPr>
                    <w:pStyle w:val="154"/>
                    <w:rPr>
                      <w:color w:val="auto"/>
                      <w:szCs w:val="21"/>
                    </w:rPr>
                  </w:pPr>
                  <w:r>
                    <w:rPr>
                      <w:color w:val="auto"/>
                      <w:szCs w:val="21"/>
                    </w:rPr>
                    <w:t>污染物</w:t>
                  </w:r>
                </w:p>
              </w:tc>
              <w:tc>
                <w:tcPr>
                  <w:tcW w:w="3523" w:type="dxa"/>
                  <w:tcBorders>
                    <w:tl2br w:val="nil"/>
                    <w:tr2bl w:val="nil"/>
                  </w:tcBorders>
                  <w:vAlign w:val="center"/>
                </w:tcPr>
                <w:p>
                  <w:pPr>
                    <w:pStyle w:val="154"/>
                    <w:rPr>
                      <w:color w:val="auto"/>
                      <w:szCs w:val="21"/>
                    </w:rPr>
                  </w:pPr>
                  <w:r>
                    <w:rPr>
                      <w:color w:val="auto"/>
                      <w:szCs w:val="21"/>
                    </w:rPr>
                    <w:t>治理措施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restart"/>
                  <w:tcBorders>
                    <w:tl2br w:val="nil"/>
                    <w:tr2bl w:val="nil"/>
                  </w:tcBorders>
                  <w:vAlign w:val="center"/>
                </w:tcPr>
                <w:p>
                  <w:pPr>
                    <w:pStyle w:val="154"/>
                    <w:rPr>
                      <w:color w:val="auto"/>
                      <w:szCs w:val="21"/>
                    </w:rPr>
                  </w:pPr>
                  <w:r>
                    <w:rPr>
                      <w:color w:val="auto"/>
                      <w:szCs w:val="21"/>
                    </w:rPr>
                    <w:t>废水</w:t>
                  </w:r>
                </w:p>
              </w:tc>
              <w:tc>
                <w:tcPr>
                  <w:tcW w:w="2040" w:type="dxa"/>
                  <w:tcBorders>
                    <w:tl2br w:val="nil"/>
                    <w:tr2bl w:val="nil"/>
                  </w:tcBorders>
                  <w:vAlign w:val="center"/>
                </w:tcPr>
                <w:p>
                  <w:pPr>
                    <w:pStyle w:val="154"/>
                    <w:rPr>
                      <w:color w:val="auto"/>
                      <w:szCs w:val="21"/>
                    </w:rPr>
                  </w:pPr>
                  <w:r>
                    <w:rPr>
                      <w:rFonts w:hint="eastAsia"/>
                      <w:color w:val="auto"/>
                      <w:szCs w:val="21"/>
                    </w:rPr>
                    <w:t>生活污水</w:t>
                  </w:r>
                </w:p>
              </w:tc>
              <w:tc>
                <w:tcPr>
                  <w:tcW w:w="2265" w:type="dxa"/>
                  <w:tcBorders>
                    <w:tl2br w:val="nil"/>
                    <w:tr2bl w:val="nil"/>
                  </w:tcBorders>
                  <w:vAlign w:val="center"/>
                </w:tcPr>
                <w:p>
                  <w:pPr>
                    <w:pStyle w:val="154"/>
                    <w:rPr>
                      <w:color w:val="auto"/>
                      <w:szCs w:val="21"/>
                    </w:rPr>
                  </w:pPr>
                  <w:r>
                    <w:rPr>
                      <w:rFonts w:hint="eastAsia"/>
                      <w:color w:val="auto"/>
                      <w:szCs w:val="21"/>
                    </w:rPr>
                    <w:t>pH、CODcr、BOD</w:t>
                  </w:r>
                  <w:r>
                    <w:rPr>
                      <w:rFonts w:hint="eastAsia"/>
                      <w:color w:val="auto"/>
                      <w:szCs w:val="21"/>
                      <w:vertAlign w:val="subscript"/>
                    </w:rPr>
                    <w:t>5</w:t>
                  </w:r>
                  <w:r>
                    <w:rPr>
                      <w:rFonts w:hint="eastAsia"/>
                      <w:color w:val="auto"/>
                      <w:szCs w:val="21"/>
                    </w:rPr>
                    <w:t>、SS、氨氮</w:t>
                  </w:r>
                </w:p>
              </w:tc>
              <w:tc>
                <w:tcPr>
                  <w:tcW w:w="3523" w:type="dxa"/>
                  <w:tcBorders>
                    <w:tl2br w:val="nil"/>
                    <w:tr2bl w:val="nil"/>
                  </w:tcBorders>
                  <w:vAlign w:val="center"/>
                </w:tcPr>
                <w:p>
                  <w:pPr>
                    <w:pStyle w:val="154"/>
                    <w:rPr>
                      <w:color w:val="auto"/>
                      <w:szCs w:val="21"/>
                    </w:rPr>
                  </w:pPr>
                  <w:r>
                    <w:rPr>
                      <w:rFonts w:hint="eastAsia"/>
                      <w:color w:val="auto"/>
                      <w:szCs w:val="21"/>
                    </w:rPr>
                    <w:t>经化粪池处理后通过市政污水管网纳入长乐区</w:t>
                  </w:r>
                  <w:r>
                    <w:rPr>
                      <w:rFonts w:hint="eastAsia"/>
                      <w:color w:val="auto"/>
                      <w:lang w:val="en-US" w:eastAsia="zh-CN"/>
                    </w:rPr>
                    <w:t>滨海</w:t>
                  </w:r>
                  <w:r>
                    <w:rPr>
                      <w:rFonts w:hint="eastAsia"/>
                      <w:color w:val="auto"/>
                      <w:szCs w:val="21"/>
                    </w:rPr>
                    <w:t>污水处理厂深度处理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continue"/>
                  <w:tcBorders>
                    <w:tl2br w:val="nil"/>
                    <w:tr2bl w:val="nil"/>
                  </w:tcBorders>
                  <w:vAlign w:val="center"/>
                </w:tcPr>
                <w:p>
                  <w:pPr>
                    <w:pStyle w:val="154"/>
                    <w:rPr>
                      <w:color w:val="auto"/>
                      <w:szCs w:val="21"/>
                    </w:rPr>
                  </w:pPr>
                </w:p>
              </w:tc>
              <w:tc>
                <w:tcPr>
                  <w:tcW w:w="2040" w:type="dxa"/>
                  <w:tcBorders>
                    <w:tl2br w:val="nil"/>
                    <w:tr2bl w:val="nil"/>
                  </w:tcBorders>
                  <w:vAlign w:val="center"/>
                </w:tcPr>
                <w:p>
                  <w:pPr>
                    <w:pStyle w:val="154"/>
                    <w:rPr>
                      <w:rFonts w:hint="default" w:eastAsia="宋体"/>
                      <w:color w:val="auto"/>
                      <w:szCs w:val="21"/>
                      <w:lang w:val="en-US" w:eastAsia="zh-CN"/>
                    </w:rPr>
                  </w:pPr>
                  <w:r>
                    <w:rPr>
                      <w:rFonts w:hint="eastAsia"/>
                      <w:color w:val="auto"/>
                      <w:szCs w:val="21"/>
                      <w:lang w:val="en-US" w:eastAsia="zh-CN"/>
                    </w:rPr>
                    <w:t>喷淋废水</w:t>
                  </w:r>
                </w:p>
              </w:tc>
              <w:tc>
                <w:tcPr>
                  <w:tcW w:w="2265" w:type="dxa"/>
                  <w:tcBorders>
                    <w:tl2br w:val="nil"/>
                    <w:tr2bl w:val="nil"/>
                  </w:tcBorders>
                  <w:vAlign w:val="center"/>
                </w:tcPr>
                <w:p>
                  <w:pPr>
                    <w:pStyle w:val="154"/>
                    <w:rPr>
                      <w:rFonts w:hint="eastAsia" w:eastAsia="宋体"/>
                      <w:color w:val="auto"/>
                      <w:szCs w:val="21"/>
                      <w:lang w:val="en-US" w:eastAsia="zh-CN"/>
                    </w:rPr>
                  </w:pPr>
                  <w:r>
                    <w:rPr>
                      <w:rFonts w:hint="eastAsia"/>
                      <w:color w:val="auto"/>
                      <w:szCs w:val="21"/>
                    </w:rPr>
                    <w:t>pH、</w:t>
                  </w:r>
                  <w:r>
                    <w:rPr>
                      <w:rFonts w:hint="eastAsia"/>
                      <w:color w:val="auto"/>
                      <w:szCs w:val="21"/>
                      <w:lang w:val="en-US" w:eastAsia="zh-CN"/>
                    </w:rPr>
                    <w:t>CODcr、</w:t>
                  </w:r>
                  <w:r>
                    <w:rPr>
                      <w:rFonts w:hint="eastAsia"/>
                      <w:color w:val="auto"/>
                      <w:szCs w:val="21"/>
                    </w:rPr>
                    <w:t>SS</w:t>
                  </w:r>
                  <w:r>
                    <w:rPr>
                      <w:rFonts w:hint="eastAsia"/>
                      <w:color w:val="auto"/>
                      <w:szCs w:val="21"/>
                      <w:lang w:val="en-US" w:eastAsia="zh-CN"/>
                    </w:rPr>
                    <w:t>等</w:t>
                  </w:r>
                </w:p>
              </w:tc>
              <w:tc>
                <w:tcPr>
                  <w:tcW w:w="3523" w:type="dxa"/>
                  <w:tcBorders>
                    <w:tl2br w:val="nil"/>
                    <w:tr2bl w:val="nil"/>
                  </w:tcBorders>
                  <w:vAlign w:val="center"/>
                </w:tcPr>
                <w:p>
                  <w:pPr>
                    <w:pStyle w:val="154"/>
                    <w:rPr>
                      <w:rFonts w:hint="eastAsia"/>
                      <w:color w:val="auto"/>
                      <w:szCs w:val="21"/>
                    </w:rPr>
                  </w:pPr>
                  <w:r>
                    <w:rPr>
                      <w:rFonts w:hint="eastAsia"/>
                      <w:bCs/>
                      <w:color w:val="auto"/>
                      <w:szCs w:val="21"/>
                      <w:lang w:val="en-US" w:eastAsia="zh-CN"/>
                    </w:rPr>
                    <w:t>喷淋废水循环使用，定期更换喷淋废液（作为危废委托有资质单位处置）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1736" w:hRule="atLeast"/>
                <w:jc w:val="center"/>
              </w:trPr>
              <w:tc>
                <w:tcPr>
                  <w:tcW w:w="676" w:type="dxa"/>
                  <w:tcBorders>
                    <w:tl2br w:val="nil"/>
                    <w:tr2bl w:val="nil"/>
                  </w:tcBorders>
                  <w:vAlign w:val="center"/>
                </w:tcPr>
                <w:p>
                  <w:pPr>
                    <w:pStyle w:val="154"/>
                    <w:rPr>
                      <w:color w:val="auto"/>
                      <w:szCs w:val="21"/>
                    </w:rPr>
                  </w:pPr>
                  <w:r>
                    <w:rPr>
                      <w:rFonts w:hint="eastAsia"/>
                      <w:color w:val="auto"/>
                      <w:szCs w:val="21"/>
                    </w:rPr>
                    <w:t>废气</w:t>
                  </w:r>
                </w:p>
              </w:tc>
              <w:tc>
                <w:tcPr>
                  <w:tcW w:w="2040" w:type="dxa"/>
                  <w:tcBorders>
                    <w:tl2br w:val="nil"/>
                    <w:tr2bl w:val="nil"/>
                  </w:tcBorders>
                  <w:vAlign w:val="center"/>
                </w:tcPr>
                <w:p>
                  <w:pPr>
                    <w:pStyle w:val="154"/>
                    <w:rPr>
                      <w:rFonts w:hint="default" w:eastAsia="宋体"/>
                      <w:color w:val="auto"/>
                      <w:szCs w:val="21"/>
                      <w:lang w:val="en-US" w:eastAsia="zh-CN"/>
                    </w:rPr>
                  </w:pPr>
                  <w:r>
                    <w:rPr>
                      <w:rFonts w:hint="eastAsia"/>
                      <w:color w:val="auto"/>
                      <w:szCs w:val="21"/>
                      <w:highlight w:val="none"/>
                    </w:rPr>
                    <w:t>油墨调配废气、</w:t>
                  </w:r>
                  <w:r>
                    <w:rPr>
                      <w:color w:val="auto"/>
                      <w:szCs w:val="21"/>
                      <w:highlight w:val="none"/>
                    </w:rPr>
                    <w:t>印刷</w:t>
                  </w:r>
                  <w:r>
                    <w:rPr>
                      <w:rFonts w:hint="eastAsia"/>
                      <w:color w:val="auto"/>
                      <w:szCs w:val="21"/>
                      <w:highlight w:val="none"/>
                    </w:rPr>
                    <w:t>及烘干</w:t>
                  </w:r>
                  <w:r>
                    <w:rPr>
                      <w:color w:val="auto"/>
                      <w:szCs w:val="21"/>
                      <w:highlight w:val="none"/>
                    </w:rPr>
                    <w:t>废气</w:t>
                  </w:r>
                  <w:r>
                    <w:rPr>
                      <w:rFonts w:hint="eastAsia"/>
                      <w:color w:val="auto"/>
                      <w:szCs w:val="21"/>
                      <w:highlight w:val="none"/>
                    </w:rPr>
                    <w:t>、溶剂型粘合剂调配、</w:t>
                  </w:r>
                  <w:r>
                    <w:rPr>
                      <w:rFonts w:hint="default" w:ascii="Times New Roman" w:hAnsi="Times New Roman" w:cs="Times New Roman"/>
                      <w:color w:val="auto"/>
                      <w:szCs w:val="24"/>
                      <w:highlight w:val="none"/>
                    </w:rPr>
                    <w:t>粘合剂</w:t>
                  </w:r>
                  <w:r>
                    <w:rPr>
                      <w:rFonts w:hint="default" w:ascii="Times New Roman" w:hAnsi="Times New Roman" w:cs="Times New Roman"/>
                      <w:color w:val="auto"/>
                      <w:szCs w:val="24"/>
                      <w:highlight w:val="none"/>
                      <w:lang w:val="en-US" w:eastAsia="zh-CN"/>
                    </w:rPr>
                    <w:t>(含</w:t>
                  </w:r>
                  <w:r>
                    <w:rPr>
                      <w:rFonts w:hint="default" w:ascii="Times New Roman" w:hAnsi="Times New Roman" w:cs="Times New Roman"/>
                      <w:color w:val="auto"/>
                      <w:szCs w:val="24"/>
                      <w:highlight w:val="none"/>
                    </w:rPr>
                    <w:t>溶剂型粘合剂</w:t>
                  </w:r>
                  <w:r>
                    <w:rPr>
                      <w:rFonts w:hint="default" w:ascii="Times New Roman" w:hAnsi="Times New Roman" w:cs="Times New Roman"/>
                      <w:color w:val="auto"/>
                      <w:szCs w:val="24"/>
                      <w:highlight w:val="none"/>
                      <w:lang w:eastAsia="zh-CN"/>
                    </w:rPr>
                    <w:t>、</w:t>
                  </w:r>
                  <w:r>
                    <w:rPr>
                      <w:rFonts w:hint="default" w:ascii="Times New Roman" w:hAnsi="Times New Roman" w:cs="Times New Roman"/>
                      <w:color w:val="auto"/>
                      <w:kern w:val="0"/>
                      <w:szCs w:val="21"/>
                      <w:highlight w:val="none"/>
                      <w:lang w:bidi="ar"/>
                    </w:rPr>
                    <w:t>无溶剂</w:t>
                  </w:r>
                  <w:r>
                    <w:rPr>
                      <w:rFonts w:hint="default" w:ascii="Times New Roman" w:hAnsi="Times New Roman" w:cs="Times New Roman"/>
                      <w:bCs/>
                      <w:color w:val="auto"/>
                      <w:szCs w:val="21"/>
                      <w:highlight w:val="none"/>
                    </w:rPr>
                    <w:t>粘合剂</w:t>
                  </w:r>
                  <w:r>
                    <w:rPr>
                      <w:rFonts w:hint="default" w:ascii="Times New Roman" w:hAnsi="Times New Roman" w:cs="Times New Roman"/>
                      <w:color w:val="auto"/>
                      <w:szCs w:val="24"/>
                      <w:highlight w:val="none"/>
                      <w:lang w:val="en-US" w:eastAsia="zh-CN"/>
                    </w:rPr>
                    <w:t>)</w:t>
                  </w:r>
                  <w:r>
                    <w:rPr>
                      <w:rFonts w:hint="eastAsia"/>
                      <w:color w:val="auto"/>
                      <w:szCs w:val="21"/>
                      <w:highlight w:val="none"/>
                    </w:rPr>
                    <w:t>复合及烘干废气</w:t>
                  </w:r>
                  <w:r>
                    <w:rPr>
                      <w:rFonts w:hint="eastAsia"/>
                      <w:color w:val="auto"/>
                      <w:szCs w:val="21"/>
                      <w:highlight w:val="none"/>
                      <w:lang w:eastAsia="zh-CN"/>
                    </w:rPr>
                    <w:t>、</w:t>
                  </w:r>
                  <w:r>
                    <w:rPr>
                      <w:rFonts w:hint="eastAsia"/>
                      <w:color w:val="auto"/>
                      <w:szCs w:val="21"/>
                      <w:highlight w:val="none"/>
                      <w:lang w:val="en-US" w:eastAsia="zh-CN"/>
                    </w:rPr>
                    <w:t>熟化废气</w:t>
                  </w:r>
                </w:p>
              </w:tc>
              <w:tc>
                <w:tcPr>
                  <w:tcW w:w="2265" w:type="dxa"/>
                  <w:tcBorders>
                    <w:tl2br w:val="nil"/>
                    <w:tr2bl w:val="nil"/>
                  </w:tcBorders>
                  <w:vAlign w:val="center"/>
                </w:tcPr>
                <w:p>
                  <w:pPr>
                    <w:pStyle w:val="154"/>
                    <w:rPr>
                      <w:color w:val="auto"/>
                      <w:szCs w:val="21"/>
                    </w:rPr>
                  </w:pPr>
                  <w:r>
                    <w:rPr>
                      <w:color w:val="auto"/>
                      <w:szCs w:val="21"/>
                    </w:rPr>
                    <w:t>非甲烷总烃</w:t>
                  </w:r>
                </w:p>
              </w:tc>
              <w:tc>
                <w:tcPr>
                  <w:tcW w:w="3523" w:type="dxa"/>
                  <w:tcBorders>
                    <w:tl2br w:val="nil"/>
                    <w:tr2bl w:val="nil"/>
                  </w:tcBorders>
                  <w:vAlign w:val="center"/>
                </w:tcPr>
                <w:p>
                  <w:pPr>
                    <w:pStyle w:val="154"/>
                    <w:rPr>
                      <w:color w:val="auto"/>
                      <w:szCs w:val="21"/>
                    </w:rPr>
                  </w:pPr>
                  <w:r>
                    <w:rPr>
                      <w:rFonts w:hint="eastAsia"/>
                      <w:color w:val="auto"/>
                      <w:spacing w:val="-2"/>
                      <w:szCs w:val="21"/>
                    </w:rPr>
                    <w:t>密闭</w:t>
                  </w:r>
                  <w:r>
                    <w:rPr>
                      <w:rFonts w:hint="eastAsia"/>
                      <w:color w:val="auto"/>
                      <w:spacing w:val="-2"/>
                      <w:szCs w:val="21"/>
                      <w:lang w:val="en-US" w:eastAsia="zh-CN"/>
                    </w:rPr>
                    <w:t>空间</w:t>
                  </w:r>
                  <w:r>
                    <w:rPr>
                      <w:rFonts w:hint="eastAsia"/>
                      <w:color w:val="auto"/>
                      <w:spacing w:val="-2"/>
                      <w:szCs w:val="21"/>
                    </w:rPr>
                    <w:t>，密闭</w:t>
                  </w:r>
                  <w:r>
                    <w:rPr>
                      <w:rFonts w:hint="eastAsia"/>
                      <w:color w:val="auto"/>
                      <w:spacing w:val="-2"/>
                      <w:szCs w:val="21"/>
                      <w:lang w:val="en-US" w:eastAsia="zh-CN"/>
                    </w:rPr>
                    <w:t>空间</w:t>
                  </w:r>
                  <w:r>
                    <w:rPr>
                      <w:rFonts w:hint="eastAsia"/>
                      <w:color w:val="auto"/>
                      <w:spacing w:val="-2"/>
                      <w:szCs w:val="21"/>
                    </w:rPr>
                    <w:t>微负压收集</w:t>
                  </w:r>
                  <w:r>
                    <w:rPr>
                      <w:rFonts w:hint="eastAsia"/>
                      <w:color w:val="auto"/>
                      <w:spacing w:val="-2"/>
                      <w:szCs w:val="21"/>
                      <w:lang w:val="en-US" w:eastAsia="zh-CN"/>
                    </w:rPr>
                    <w:t>废气</w:t>
                  </w:r>
                  <w:r>
                    <w:rPr>
                      <w:rFonts w:hint="eastAsia"/>
                      <w:color w:val="auto"/>
                      <w:spacing w:val="-2"/>
                      <w:szCs w:val="21"/>
                    </w:rPr>
                    <w:t>后引至</w:t>
                  </w:r>
                  <w:r>
                    <w:rPr>
                      <w:rFonts w:hint="eastAsia"/>
                      <w:color w:val="auto"/>
                      <w:spacing w:val="-2"/>
                      <w:szCs w:val="21"/>
                      <w:lang w:val="en-US" w:eastAsia="zh-CN"/>
                    </w:rPr>
                    <w:t>水喷淋塔+</w:t>
                  </w:r>
                  <w:r>
                    <w:rPr>
                      <w:rFonts w:hint="eastAsia"/>
                      <w:color w:val="auto"/>
                      <w:spacing w:val="-2"/>
                      <w:szCs w:val="21"/>
                    </w:rPr>
                    <w:t>二级</w:t>
                  </w:r>
                  <w:r>
                    <w:rPr>
                      <w:rStyle w:val="180"/>
                      <w:rFonts w:hint="eastAsia"/>
                      <w:color w:val="auto"/>
                      <w:sz w:val="21"/>
                      <w:szCs w:val="21"/>
                      <w:lang w:eastAsia="zh-CN"/>
                    </w:rPr>
                    <w:t>颗粒</w:t>
                  </w:r>
                  <w:r>
                    <w:rPr>
                      <w:rStyle w:val="180"/>
                      <w:rFonts w:hint="default" w:ascii="Times New Roman"/>
                      <w:color w:val="auto"/>
                      <w:sz w:val="21"/>
                      <w:szCs w:val="21"/>
                    </w:rPr>
                    <w:t>活性炭</w:t>
                  </w:r>
                  <w:r>
                    <w:rPr>
                      <w:rFonts w:hint="eastAsia"/>
                      <w:color w:val="auto"/>
                      <w:spacing w:val="-2"/>
                      <w:szCs w:val="21"/>
                    </w:rPr>
                    <w:t>吸附装置处理后通过23m排气筒</w:t>
                  </w:r>
                  <w:r>
                    <w:rPr>
                      <w:rFonts w:hint="eastAsia"/>
                      <w:color w:val="auto"/>
                      <w:szCs w:val="21"/>
                    </w:rPr>
                    <w:t>（DA</w:t>
                  </w:r>
                  <w:r>
                    <w:rPr>
                      <w:color w:val="auto"/>
                      <w:szCs w:val="21"/>
                    </w:rPr>
                    <w:t>00</w:t>
                  </w:r>
                  <w:r>
                    <w:rPr>
                      <w:rFonts w:hint="eastAsia"/>
                      <w:color w:val="auto"/>
                      <w:szCs w:val="21"/>
                    </w:rPr>
                    <w:t>1</w:t>
                  </w:r>
                  <w:r>
                    <w:rPr>
                      <w:color w:val="auto"/>
                      <w:szCs w:val="21"/>
                    </w:rPr>
                    <w:t>）</w:t>
                  </w:r>
                  <w:r>
                    <w:rPr>
                      <w:rFonts w:hint="eastAsia"/>
                      <w:color w:val="auto"/>
                      <w:spacing w:val="-2"/>
                      <w:szCs w:val="21"/>
                    </w:rPr>
                    <w:t>高空排放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tcBorders>
                    <w:tl2br w:val="nil"/>
                    <w:tr2bl w:val="nil"/>
                  </w:tcBorders>
                  <w:vAlign w:val="center"/>
                </w:tcPr>
                <w:p>
                  <w:pPr>
                    <w:pStyle w:val="154"/>
                    <w:rPr>
                      <w:color w:val="auto"/>
                      <w:szCs w:val="21"/>
                    </w:rPr>
                  </w:pPr>
                  <w:r>
                    <w:rPr>
                      <w:color w:val="auto"/>
                      <w:szCs w:val="21"/>
                    </w:rPr>
                    <w:t>噪声</w:t>
                  </w:r>
                </w:p>
              </w:tc>
              <w:tc>
                <w:tcPr>
                  <w:tcW w:w="2040" w:type="dxa"/>
                  <w:tcBorders>
                    <w:tl2br w:val="nil"/>
                    <w:tr2bl w:val="nil"/>
                  </w:tcBorders>
                  <w:vAlign w:val="center"/>
                </w:tcPr>
                <w:p>
                  <w:pPr>
                    <w:pStyle w:val="154"/>
                    <w:rPr>
                      <w:color w:val="auto"/>
                      <w:szCs w:val="21"/>
                    </w:rPr>
                  </w:pPr>
                  <w:r>
                    <w:rPr>
                      <w:rFonts w:hint="eastAsia"/>
                      <w:color w:val="auto"/>
                      <w:szCs w:val="21"/>
                    </w:rPr>
                    <w:t>印刷机、复合机、分切机、制袋机等设备</w:t>
                  </w:r>
                </w:p>
              </w:tc>
              <w:tc>
                <w:tcPr>
                  <w:tcW w:w="2265" w:type="dxa"/>
                  <w:tcBorders>
                    <w:tl2br w:val="nil"/>
                    <w:tr2bl w:val="nil"/>
                  </w:tcBorders>
                  <w:vAlign w:val="center"/>
                </w:tcPr>
                <w:p>
                  <w:pPr>
                    <w:pStyle w:val="154"/>
                    <w:rPr>
                      <w:color w:val="auto"/>
                      <w:szCs w:val="21"/>
                    </w:rPr>
                  </w:pPr>
                  <w:r>
                    <w:rPr>
                      <w:color w:val="auto"/>
                      <w:szCs w:val="21"/>
                    </w:rPr>
                    <w:t>Leq</w:t>
                  </w:r>
                </w:p>
              </w:tc>
              <w:tc>
                <w:tcPr>
                  <w:tcW w:w="3523" w:type="dxa"/>
                  <w:tcBorders>
                    <w:tl2br w:val="nil"/>
                    <w:tr2bl w:val="nil"/>
                  </w:tcBorders>
                  <w:vAlign w:val="center"/>
                </w:tcPr>
                <w:p>
                  <w:pPr>
                    <w:pStyle w:val="154"/>
                    <w:rPr>
                      <w:color w:val="auto"/>
                      <w:szCs w:val="21"/>
                    </w:rPr>
                  </w:pPr>
                  <w:r>
                    <w:rPr>
                      <w:rFonts w:hint="eastAsia"/>
                      <w:color w:val="auto"/>
                      <w:szCs w:val="21"/>
                    </w:rPr>
                    <w:t>高噪声</w:t>
                  </w:r>
                  <w:r>
                    <w:rPr>
                      <w:color w:val="auto"/>
                      <w:szCs w:val="21"/>
                    </w:rPr>
                    <w:t>设备基础减振</w:t>
                  </w:r>
                  <w:r>
                    <w:rPr>
                      <w:rFonts w:hint="eastAsia"/>
                      <w:color w:val="auto"/>
                      <w:szCs w:val="21"/>
                    </w:rPr>
                    <w:t>、消声、隔声</w:t>
                  </w:r>
                  <w:r>
                    <w:rPr>
                      <w:color w:val="auto"/>
                      <w:szCs w:val="21"/>
                    </w:rPr>
                    <w:t>等综合降噪措施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restart"/>
                  <w:tcBorders>
                    <w:tl2br w:val="nil"/>
                    <w:tr2bl w:val="nil"/>
                  </w:tcBorders>
                  <w:vAlign w:val="center"/>
                </w:tcPr>
                <w:p>
                  <w:pPr>
                    <w:pStyle w:val="154"/>
                    <w:rPr>
                      <w:color w:val="auto"/>
                      <w:szCs w:val="21"/>
                    </w:rPr>
                  </w:pPr>
                  <w:r>
                    <w:rPr>
                      <w:color w:val="auto"/>
                      <w:szCs w:val="21"/>
                    </w:rPr>
                    <w:t>固废</w:t>
                  </w:r>
                </w:p>
              </w:tc>
              <w:tc>
                <w:tcPr>
                  <w:tcW w:w="2040" w:type="dxa"/>
                  <w:tcBorders>
                    <w:tl2br w:val="nil"/>
                    <w:tr2bl w:val="nil"/>
                  </w:tcBorders>
                  <w:vAlign w:val="center"/>
                </w:tcPr>
                <w:p>
                  <w:pPr>
                    <w:pStyle w:val="154"/>
                    <w:rPr>
                      <w:color w:val="auto"/>
                    </w:rPr>
                  </w:pPr>
                  <w:r>
                    <w:rPr>
                      <w:rFonts w:hint="eastAsia"/>
                      <w:color w:val="auto"/>
                    </w:rPr>
                    <w:t>外购原料拆包过程</w:t>
                  </w:r>
                </w:p>
              </w:tc>
              <w:tc>
                <w:tcPr>
                  <w:tcW w:w="2265" w:type="dxa"/>
                  <w:tcBorders>
                    <w:tl2br w:val="nil"/>
                    <w:tr2bl w:val="nil"/>
                  </w:tcBorders>
                  <w:vAlign w:val="center"/>
                </w:tcPr>
                <w:p>
                  <w:pPr>
                    <w:pStyle w:val="154"/>
                    <w:rPr>
                      <w:color w:val="auto"/>
                    </w:rPr>
                  </w:pPr>
                  <w:r>
                    <w:rPr>
                      <w:rFonts w:hint="eastAsia"/>
                      <w:color w:val="auto"/>
                    </w:rPr>
                    <w:t>废包装材料</w:t>
                  </w:r>
                </w:p>
              </w:tc>
              <w:tc>
                <w:tcPr>
                  <w:tcW w:w="3523" w:type="dxa"/>
                  <w:vMerge w:val="restart"/>
                  <w:tcBorders>
                    <w:tl2br w:val="nil"/>
                    <w:tr2bl w:val="nil"/>
                  </w:tcBorders>
                  <w:vAlign w:val="center"/>
                </w:tcPr>
                <w:p>
                  <w:pPr>
                    <w:pStyle w:val="154"/>
                    <w:rPr>
                      <w:color w:val="auto"/>
                      <w:szCs w:val="21"/>
                    </w:rPr>
                  </w:pPr>
                  <w:r>
                    <w:rPr>
                      <w:color w:val="auto"/>
                      <w:szCs w:val="21"/>
                    </w:rPr>
                    <w:t>收集后暂存于一般固废</w:t>
                  </w:r>
                  <w:r>
                    <w:rPr>
                      <w:rFonts w:hint="eastAsia"/>
                      <w:color w:val="auto"/>
                      <w:szCs w:val="21"/>
                    </w:rPr>
                    <w:t>仓库</w:t>
                  </w:r>
                  <w:r>
                    <w:rPr>
                      <w:color w:val="auto"/>
                      <w:szCs w:val="21"/>
                    </w:rPr>
                    <w:t>，定期</w:t>
                  </w:r>
                  <w:r>
                    <w:rPr>
                      <w:rFonts w:hint="eastAsia"/>
                      <w:color w:val="auto"/>
                      <w:szCs w:val="21"/>
                    </w:rPr>
                    <w:t>由废品回收公司回收处理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continue"/>
                  <w:tcBorders>
                    <w:tl2br w:val="nil"/>
                    <w:tr2bl w:val="nil"/>
                  </w:tcBorders>
                  <w:vAlign w:val="center"/>
                </w:tcPr>
                <w:p>
                  <w:pPr>
                    <w:pStyle w:val="154"/>
                    <w:rPr>
                      <w:color w:val="auto"/>
                      <w:szCs w:val="21"/>
                    </w:rPr>
                  </w:pPr>
                </w:p>
              </w:tc>
              <w:tc>
                <w:tcPr>
                  <w:tcW w:w="2040" w:type="dxa"/>
                  <w:tcBorders>
                    <w:tl2br w:val="nil"/>
                    <w:tr2bl w:val="nil"/>
                  </w:tcBorders>
                  <w:vAlign w:val="center"/>
                </w:tcPr>
                <w:p>
                  <w:pPr>
                    <w:pStyle w:val="154"/>
                    <w:rPr>
                      <w:color w:val="auto"/>
                    </w:rPr>
                  </w:pPr>
                  <w:r>
                    <w:rPr>
                      <w:rFonts w:hint="eastAsia"/>
                      <w:color w:val="auto"/>
                    </w:rPr>
                    <w:t>分切、制袋过程</w:t>
                  </w:r>
                </w:p>
              </w:tc>
              <w:tc>
                <w:tcPr>
                  <w:tcW w:w="2265" w:type="dxa"/>
                  <w:tcBorders>
                    <w:tl2br w:val="nil"/>
                    <w:tr2bl w:val="nil"/>
                  </w:tcBorders>
                  <w:vAlign w:val="center"/>
                </w:tcPr>
                <w:p>
                  <w:pPr>
                    <w:pStyle w:val="154"/>
                    <w:rPr>
                      <w:color w:val="auto"/>
                    </w:rPr>
                  </w:pPr>
                  <w:r>
                    <w:rPr>
                      <w:rFonts w:hint="eastAsia"/>
                      <w:color w:val="auto"/>
                    </w:rPr>
                    <w:t>废边角料</w:t>
                  </w:r>
                </w:p>
              </w:tc>
              <w:tc>
                <w:tcPr>
                  <w:tcW w:w="3523"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continue"/>
                  <w:tcBorders>
                    <w:tl2br w:val="nil"/>
                    <w:tr2bl w:val="nil"/>
                  </w:tcBorders>
                  <w:vAlign w:val="center"/>
                </w:tcPr>
                <w:p>
                  <w:pPr>
                    <w:pStyle w:val="154"/>
                    <w:rPr>
                      <w:color w:val="auto"/>
                      <w:szCs w:val="21"/>
                    </w:rPr>
                  </w:pPr>
                </w:p>
              </w:tc>
              <w:tc>
                <w:tcPr>
                  <w:tcW w:w="2040" w:type="dxa"/>
                  <w:tcBorders>
                    <w:tl2br w:val="nil"/>
                    <w:tr2bl w:val="nil"/>
                  </w:tcBorders>
                  <w:vAlign w:val="center"/>
                </w:tcPr>
                <w:p>
                  <w:pPr>
                    <w:pStyle w:val="154"/>
                    <w:rPr>
                      <w:rFonts w:hint="default" w:eastAsia="宋体"/>
                      <w:color w:val="auto"/>
                      <w:lang w:val="en-US" w:eastAsia="zh-CN"/>
                    </w:rPr>
                  </w:pPr>
                  <w:r>
                    <w:rPr>
                      <w:rFonts w:hint="eastAsia"/>
                      <w:color w:val="auto"/>
                      <w:lang w:val="en-US" w:eastAsia="zh-CN"/>
                    </w:rPr>
                    <w:t>检验过程</w:t>
                  </w:r>
                </w:p>
              </w:tc>
              <w:tc>
                <w:tcPr>
                  <w:tcW w:w="2265" w:type="dxa"/>
                  <w:tcBorders>
                    <w:tl2br w:val="nil"/>
                    <w:tr2bl w:val="nil"/>
                  </w:tcBorders>
                  <w:vAlign w:val="center"/>
                </w:tcPr>
                <w:p>
                  <w:pPr>
                    <w:pStyle w:val="154"/>
                    <w:rPr>
                      <w:rFonts w:hint="eastAsia" w:eastAsia="宋体"/>
                      <w:color w:val="auto"/>
                      <w:lang w:val="en-US" w:eastAsia="zh-CN"/>
                    </w:rPr>
                  </w:pPr>
                  <w:r>
                    <w:rPr>
                      <w:rFonts w:hint="eastAsia"/>
                      <w:color w:val="auto"/>
                      <w:lang w:val="en-US" w:eastAsia="zh-CN"/>
                    </w:rPr>
                    <w:t>不合格品</w:t>
                  </w:r>
                </w:p>
              </w:tc>
              <w:tc>
                <w:tcPr>
                  <w:tcW w:w="3523"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continue"/>
                  <w:tcBorders>
                    <w:tl2br w:val="nil"/>
                    <w:tr2bl w:val="nil"/>
                  </w:tcBorders>
                  <w:vAlign w:val="center"/>
                </w:tcPr>
                <w:p>
                  <w:pPr>
                    <w:pStyle w:val="154"/>
                    <w:rPr>
                      <w:color w:val="auto"/>
                      <w:szCs w:val="21"/>
                    </w:rPr>
                  </w:pPr>
                </w:p>
              </w:tc>
              <w:tc>
                <w:tcPr>
                  <w:tcW w:w="2040" w:type="dxa"/>
                  <w:vMerge w:val="restart"/>
                  <w:tcBorders>
                    <w:tl2br w:val="nil"/>
                    <w:tr2bl w:val="nil"/>
                  </w:tcBorders>
                  <w:vAlign w:val="center"/>
                </w:tcPr>
                <w:p>
                  <w:pPr>
                    <w:pStyle w:val="154"/>
                    <w:rPr>
                      <w:color w:val="auto"/>
                      <w:highlight w:val="none"/>
                    </w:rPr>
                  </w:pPr>
                  <w:r>
                    <w:rPr>
                      <w:rFonts w:hint="eastAsia"/>
                      <w:color w:val="auto"/>
                      <w:highlight w:val="none"/>
                    </w:rPr>
                    <w:t>印刷过程</w:t>
                  </w:r>
                </w:p>
              </w:tc>
              <w:tc>
                <w:tcPr>
                  <w:tcW w:w="2265" w:type="dxa"/>
                  <w:tcBorders>
                    <w:tl2br w:val="nil"/>
                    <w:tr2bl w:val="nil"/>
                  </w:tcBorders>
                  <w:vAlign w:val="center"/>
                </w:tcPr>
                <w:p>
                  <w:pPr>
                    <w:pStyle w:val="154"/>
                    <w:rPr>
                      <w:rFonts w:hint="eastAsia"/>
                      <w:color w:val="auto"/>
                      <w:highlight w:val="none"/>
                    </w:rPr>
                  </w:pPr>
                  <w:r>
                    <w:rPr>
                      <w:rFonts w:hint="eastAsia"/>
                      <w:color w:val="auto"/>
                      <w:highlight w:val="none"/>
                    </w:rPr>
                    <w:t>废溶剂桶</w:t>
                  </w:r>
                </w:p>
              </w:tc>
              <w:tc>
                <w:tcPr>
                  <w:tcW w:w="3523" w:type="dxa"/>
                  <w:tcBorders>
                    <w:tl2br w:val="nil"/>
                    <w:tr2bl w:val="nil"/>
                  </w:tcBorders>
                  <w:vAlign w:val="center"/>
                </w:tcPr>
                <w:p>
                  <w:pPr>
                    <w:pStyle w:val="154"/>
                    <w:rPr>
                      <w:color w:val="auto"/>
                      <w:szCs w:val="21"/>
                      <w:highlight w:val="none"/>
                    </w:rPr>
                  </w:pPr>
                  <w:r>
                    <w:rPr>
                      <w:rFonts w:hint="eastAsia"/>
                      <w:color w:val="auto"/>
                      <w:szCs w:val="21"/>
                      <w:highlight w:val="none"/>
                    </w:rPr>
                    <w:t>根据《固体废物鉴别标准 通则》（GB34330-2017），任何不需要修复和加工即可用于其原始用途的物质，可不作为固体废物管理，废溶剂桶由供应商回收重复利用，可不按照固体废物管理。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continue"/>
                  <w:tcBorders>
                    <w:tl2br w:val="nil"/>
                    <w:tr2bl w:val="nil"/>
                  </w:tcBorders>
                  <w:vAlign w:val="center"/>
                </w:tcPr>
                <w:p>
                  <w:pPr>
                    <w:pStyle w:val="154"/>
                    <w:rPr>
                      <w:color w:val="auto"/>
                      <w:szCs w:val="21"/>
                    </w:rPr>
                  </w:pPr>
                </w:p>
              </w:tc>
              <w:tc>
                <w:tcPr>
                  <w:tcW w:w="2040" w:type="dxa"/>
                  <w:vMerge w:val="continue"/>
                  <w:tcBorders>
                    <w:tl2br w:val="nil"/>
                    <w:tr2bl w:val="nil"/>
                  </w:tcBorders>
                  <w:vAlign w:val="center"/>
                </w:tcPr>
                <w:p>
                  <w:pPr>
                    <w:pStyle w:val="154"/>
                    <w:rPr>
                      <w:color w:val="auto"/>
                    </w:rPr>
                  </w:pPr>
                </w:p>
              </w:tc>
              <w:tc>
                <w:tcPr>
                  <w:tcW w:w="2265" w:type="dxa"/>
                  <w:tcBorders>
                    <w:tl2br w:val="nil"/>
                    <w:tr2bl w:val="nil"/>
                  </w:tcBorders>
                  <w:vAlign w:val="center"/>
                </w:tcPr>
                <w:p>
                  <w:pPr>
                    <w:pStyle w:val="154"/>
                    <w:rPr>
                      <w:rFonts w:hint="eastAsia" w:eastAsia="宋体"/>
                      <w:color w:val="auto"/>
                      <w:lang w:val="en-US" w:eastAsia="zh-CN"/>
                    </w:rPr>
                  </w:pPr>
                  <w:r>
                    <w:rPr>
                      <w:rFonts w:hint="eastAsia"/>
                      <w:color w:val="auto"/>
                    </w:rPr>
                    <w:t>废油墨桶、印刷辊筒擦拭废布</w:t>
                  </w:r>
                  <w:r>
                    <w:rPr>
                      <w:rFonts w:hint="eastAsia"/>
                      <w:color w:val="auto"/>
                      <w:lang w:val="en-US" w:eastAsia="zh-CN"/>
                    </w:rPr>
                    <w:t>、</w:t>
                  </w:r>
                  <w:r>
                    <w:rPr>
                      <w:rFonts w:hint="eastAsia"/>
                      <w:color w:val="auto"/>
                    </w:rPr>
                    <w:t>废油墨（油墨残渣）</w:t>
                  </w:r>
                </w:p>
              </w:tc>
              <w:tc>
                <w:tcPr>
                  <w:tcW w:w="3523" w:type="dxa"/>
                  <w:vMerge w:val="restart"/>
                  <w:tcBorders>
                    <w:tl2br w:val="nil"/>
                    <w:tr2bl w:val="nil"/>
                  </w:tcBorders>
                  <w:vAlign w:val="center"/>
                </w:tcPr>
                <w:p>
                  <w:pPr>
                    <w:pStyle w:val="154"/>
                    <w:rPr>
                      <w:color w:val="auto"/>
                      <w:szCs w:val="21"/>
                    </w:rPr>
                  </w:pPr>
                  <w:r>
                    <w:rPr>
                      <w:color w:val="auto"/>
                      <w:szCs w:val="21"/>
                    </w:rPr>
                    <w:t>分类收集、暂存</w:t>
                  </w:r>
                  <w:r>
                    <w:rPr>
                      <w:rFonts w:hint="eastAsia"/>
                      <w:color w:val="auto"/>
                      <w:szCs w:val="21"/>
                    </w:rPr>
                    <w:t>于</w:t>
                  </w:r>
                  <w:r>
                    <w:rPr>
                      <w:color w:val="auto"/>
                      <w:szCs w:val="21"/>
                    </w:rPr>
                    <w:t>危废</w:t>
                  </w:r>
                  <w:r>
                    <w:rPr>
                      <w:rFonts w:hint="eastAsia"/>
                      <w:color w:val="auto"/>
                      <w:szCs w:val="21"/>
                    </w:rPr>
                    <w:t>仓库，定期</w:t>
                  </w:r>
                  <w:r>
                    <w:rPr>
                      <w:color w:val="auto"/>
                      <w:szCs w:val="21"/>
                    </w:rPr>
                    <w:t>委托有</w:t>
                  </w:r>
                  <w:r>
                    <w:rPr>
                      <w:rFonts w:hint="eastAsia"/>
                      <w:color w:val="auto"/>
                      <w:szCs w:val="21"/>
                    </w:rPr>
                    <w:t>危废</w:t>
                  </w:r>
                  <w:r>
                    <w:rPr>
                      <w:color w:val="auto"/>
                      <w:szCs w:val="21"/>
                    </w:rPr>
                    <w:t>资质单位</w:t>
                  </w:r>
                  <w:r>
                    <w:rPr>
                      <w:rFonts w:hint="eastAsia"/>
                      <w:color w:val="auto"/>
                      <w:szCs w:val="21"/>
                    </w:rPr>
                    <w:t>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continue"/>
                  <w:tcBorders>
                    <w:tl2br w:val="nil"/>
                    <w:tr2bl w:val="nil"/>
                  </w:tcBorders>
                  <w:vAlign w:val="center"/>
                </w:tcPr>
                <w:p>
                  <w:pPr>
                    <w:pStyle w:val="154"/>
                    <w:rPr>
                      <w:color w:val="auto"/>
                      <w:szCs w:val="21"/>
                    </w:rPr>
                  </w:pPr>
                </w:p>
              </w:tc>
              <w:tc>
                <w:tcPr>
                  <w:tcW w:w="2040" w:type="dxa"/>
                  <w:tcBorders>
                    <w:tl2br w:val="nil"/>
                    <w:tr2bl w:val="nil"/>
                  </w:tcBorders>
                  <w:vAlign w:val="center"/>
                </w:tcPr>
                <w:p>
                  <w:pPr>
                    <w:pStyle w:val="154"/>
                    <w:rPr>
                      <w:color w:val="auto"/>
                    </w:rPr>
                  </w:pPr>
                  <w:r>
                    <w:rPr>
                      <w:rFonts w:hint="eastAsia"/>
                      <w:color w:val="auto"/>
                    </w:rPr>
                    <w:t>复合过程</w:t>
                  </w:r>
                </w:p>
              </w:tc>
              <w:tc>
                <w:tcPr>
                  <w:tcW w:w="2265" w:type="dxa"/>
                  <w:tcBorders>
                    <w:tl2br w:val="nil"/>
                    <w:tr2bl w:val="nil"/>
                  </w:tcBorders>
                  <w:vAlign w:val="center"/>
                </w:tcPr>
                <w:p>
                  <w:pPr>
                    <w:pStyle w:val="154"/>
                    <w:rPr>
                      <w:color w:val="auto"/>
                    </w:rPr>
                  </w:pPr>
                  <w:r>
                    <w:rPr>
                      <w:rFonts w:hint="eastAsia"/>
                      <w:color w:val="auto"/>
                    </w:rPr>
                    <w:t>废粘合剂桶、废粘合剂</w:t>
                  </w:r>
                </w:p>
              </w:tc>
              <w:tc>
                <w:tcPr>
                  <w:tcW w:w="3523"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continue"/>
                  <w:tcBorders>
                    <w:tl2br w:val="nil"/>
                    <w:tr2bl w:val="nil"/>
                  </w:tcBorders>
                  <w:vAlign w:val="center"/>
                </w:tcPr>
                <w:p>
                  <w:pPr>
                    <w:pStyle w:val="154"/>
                    <w:rPr>
                      <w:color w:val="auto"/>
                      <w:szCs w:val="21"/>
                    </w:rPr>
                  </w:pPr>
                </w:p>
              </w:tc>
              <w:tc>
                <w:tcPr>
                  <w:tcW w:w="2040" w:type="dxa"/>
                  <w:vMerge w:val="restart"/>
                  <w:tcBorders>
                    <w:tl2br w:val="nil"/>
                    <w:tr2bl w:val="nil"/>
                  </w:tcBorders>
                  <w:vAlign w:val="center"/>
                </w:tcPr>
                <w:p>
                  <w:pPr>
                    <w:pStyle w:val="154"/>
                    <w:rPr>
                      <w:color w:val="auto"/>
                    </w:rPr>
                  </w:pPr>
                  <w:r>
                    <w:rPr>
                      <w:rFonts w:hint="eastAsia"/>
                      <w:color w:val="auto"/>
                    </w:rPr>
                    <w:t>有机废气处理设施</w:t>
                  </w:r>
                </w:p>
              </w:tc>
              <w:tc>
                <w:tcPr>
                  <w:tcW w:w="2265" w:type="dxa"/>
                  <w:tcBorders>
                    <w:tl2br w:val="nil"/>
                    <w:tr2bl w:val="nil"/>
                  </w:tcBorders>
                  <w:vAlign w:val="center"/>
                </w:tcPr>
                <w:p>
                  <w:pPr>
                    <w:pStyle w:val="154"/>
                    <w:rPr>
                      <w:color w:val="auto"/>
                    </w:rPr>
                  </w:pPr>
                  <w:r>
                    <w:rPr>
                      <w:rFonts w:hint="eastAsia"/>
                      <w:color w:val="auto"/>
                    </w:rPr>
                    <w:t>废活性炭</w:t>
                  </w:r>
                </w:p>
              </w:tc>
              <w:tc>
                <w:tcPr>
                  <w:tcW w:w="3523"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continue"/>
                  <w:tcBorders>
                    <w:tl2br w:val="nil"/>
                    <w:tr2bl w:val="nil"/>
                  </w:tcBorders>
                  <w:vAlign w:val="center"/>
                </w:tcPr>
                <w:p>
                  <w:pPr>
                    <w:pStyle w:val="154"/>
                    <w:rPr>
                      <w:color w:val="auto"/>
                      <w:szCs w:val="21"/>
                    </w:rPr>
                  </w:pPr>
                </w:p>
              </w:tc>
              <w:tc>
                <w:tcPr>
                  <w:tcW w:w="2040" w:type="dxa"/>
                  <w:vMerge w:val="continue"/>
                  <w:tcBorders>
                    <w:tl2br w:val="nil"/>
                    <w:tr2bl w:val="nil"/>
                  </w:tcBorders>
                  <w:vAlign w:val="center"/>
                </w:tcPr>
                <w:p>
                  <w:pPr>
                    <w:pStyle w:val="154"/>
                    <w:rPr>
                      <w:rFonts w:hint="eastAsia"/>
                      <w:color w:val="auto"/>
                    </w:rPr>
                  </w:pPr>
                </w:p>
              </w:tc>
              <w:tc>
                <w:tcPr>
                  <w:tcW w:w="2265" w:type="dxa"/>
                  <w:tcBorders>
                    <w:tl2br w:val="nil"/>
                    <w:tr2bl w:val="nil"/>
                  </w:tcBorders>
                  <w:vAlign w:val="center"/>
                </w:tcPr>
                <w:p>
                  <w:pPr>
                    <w:pStyle w:val="154"/>
                    <w:rPr>
                      <w:rFonts w:hint="default" w:eastAsia="宋体"/>
                      <w:color w:val="auto"/>
                      <w:lang w:val="en-US" w:eastAsia="zh-CN"/>
                    </w:rPr>
                  </w:pPr>
                  <w:r>
                    <w:rPr>
                      <w:rFonts w:hint="eastAsia"/>
                      <w:color w:val="auto"/>
                      <w:lang w:val="en-US" w:eastAsia="zh-CN"/>
                    </w:rPr>
                    <w:t>喷淋废液</w:t>
                  </w:r>
                </w:p>
              </w:tc>
              <w:tc>
                <w:tcPr>
                  <w:tcW w:w="3523"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97" w:hRule="atLeast"/>
                <w:jc w:val="center"/>
              </w:trPr>
              <w:tc>
                <w:tcPr>
                  <w:tcW w:w="676" w:type="dxa"/>
                  <w:vMerge w:val="continue"/>
                  <w:tcBorders>
                    <w:tl2br w:val="nil"/>
                    <w:tr2bl w:val="nil"/>
                  </w:tcBorders>
                  <w:vAlign w:val="center"/>
                </w:tcPr>
                <w:p>
                  <w:pPr>
                    <w:pStyle w:val="154"/>
                    <w:rPr>
                      <w:color w:val="auto"/>
                      <w:szCs w:val="21"/>
                    </w:rPr>
                  </w:pPr>
                </w:p>
              </w:tc>
              <w:tc>
                <w:tcPr>
                  <w:tcW w:w="2040" w:type="dxa"/>
                  <w:tcBorders>
                    <w:tl2br w:val="nil"/>
                    <w:tr2bl w:val="nil"/>
                  </w:tcBorders>
                  <w:vAlign w:val="center"/>
                </w:tcPr>
                <w:p>
                  <w:pPr>
                    <w:pStyle w:val="154"/>
                    <w:rPr>
                      <w:color w:val="auto"/>
                      <w:szCs w:val="21"/>
                    </w:rPr>
                  </w:pPr>
                  <w:r>
                    <w:rPr>
                      <w:color w:val="auto"/>
                      <w:szCs w:val="21"/>
                    </w:rPr>
                    <w:t>职工</w:t>
                  </w:r>
                  <w:r>
                    <w:rPr>
                      <w:rFonts w:hint="eastAsia"/>
                      <w:color w:val="auto"/>
                      <w:szCs w:val="21"/>
                    </w:rPr>
                    <w:t>生活</w:t>
                  </w:r>
                </w:p>
              </w:tc>
              <w:tc>
                <w:tcPr>
                  <w:tcW w:w="2265" w:type="dxa"/>
                  <w:tcBorders>
                    <w:tl2br w:val="nil"/>
                    <w:tr2bl w:val="nil"/>
                  </w:tcBorders>
                  <w:vAlign w:val="center"/>
                </w:tcPr>
                <w:p>
                  <w:pPr>
                    <w:pStyle w:val="154"/>
                    <w:rPr>
                      <w:color w:val="auto"/>
                      <w:szCs w:val="21"/>
                    </w:rPr>
                  </w:pPr>
                  <w:r>
                    <w:rPr>
                      <w:rFonts w:hint="eastAsia"/>
                      <w:color w:val="auto"/>
                      <w:szCs w:val="21"/>
                    </w:rPr>
                    <w:t>生活垃圾</w:t>
                  </w:r>
                </w:p>
              </w:tc>
              <w:tc>
                <w:tcPr>
                  <w:tcW w:w="3523" w:type="dxa"/>
                  <w:tcBorders>
                    <w:tl2br w:val="nil"/>
                    <w:tr2bl w:val="nil"/>
                  </w:tcBorders>
                  <w:vAlign w:val="center"/>
                </w:tcPr>
                <w:p>
                  <w:pPr>
                    <w:pStyle w:val="154"/>
                    <w:rPr>
                      <w:color w:val="auto"/>
                      <w:szCs w:val="21"/>
                    </w:rPr>
                  </w:pPr>
                  <w:r>
                    <w:rPr>
                      <w:color w:val="auto"/>
                      <w:szCs w:val="21"/>
                    </w:rPr>
                    <w:t>委托</w:t>
                  </w:r>
                  <w:r>
                    <w:rPr>
                      <w:rFonts w:hint="eastAsia"/>
                      <w:color w:val="auto"/>
                      <w:szCs w:val="21"/>
                    </w:rPr>
                    <w:t>当地</w:t>
                  </w:r>
                  <w:r>
                    <w:rPr>
                      <w:color w:val="auto"/>
                      <w:szCs w:val="21"/>
                    </w:rPr>
                    <w:t>环卫部门清运处置</w:t>
                  </w:r>
                </w:p>
              </w:tc>
            </w:tr>
          </w:tbl>
          <w:p>
            <w:pPr>
              <w:pStyle w:val="48"/>
              <w:ind w:firstLine="0" w:firstLineChars="0"/>
              <w:jc w:val="both"/>
              <w:rPr>
                <w:color w:val="auto"/>
                <w:highlight w:val="yellow"/>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452" w:type="dxa"/>
            <w:vAlign w:val="center"/>
          </w:tcPr>
          <w:p>
            <w:pPr>
              <w:pStyle w:val="33"/>
              <w:spacing w:before="0" w:beforeAutospacing="0" w:after="0" w:afterAutospacing="0" w:line="360" w:lineRule="auto"/>
              <w:jc w:val="center"/>
              <w:rPr>
                <w:rFonts w:ascii="Times New Roman" w:hAnsi="Times New Roman"/>
                <w:b/>
                <w:color w:val="auto"/>
                <w:szCs w:val="21"/>
              </w:rPr>
            </w:pPr>
            <w:r>
              <w:rPr>
                <w:rFonts w:ascii="Times New Roman" w:hAnsi="Times New Roman"/>
                <w:b/>
                <w:color w:val="auto"/>
                <w:szCs w:val="21"/>
              </w:rPr>
              <w:t>与项目有关的原有环境污染问题</w:t>
            </w:r>
          </w:p>
        </w:tc>
        <w:tc>
          <w:tcPr>
            <w:tcW w:w="8608" w:type="dxa"/>
          </w:tcPr>
          <w:p>
            <w:pPr>
              <w:pStyle w:val="97"/>
              <w:ind w:firstLine="0" w:firstLineChars="0"/>
              <w:rPr>
                <w:b/>
                <w:bCs/>
                <w:color w:val="auto"/>
                <w:sz w:val="30"/>
                <w:szCs w:val="30"/>
              </w:rPr>
            </w:pPr>
            <w:r>
              <w:rPr>
                <w:rFonts w:hint="eastAsia"/>
                <w:b/>
                <w:bCs/>
                <w:color w:val="auto"/>
                <w:sz w:val="30"/>
                <w:szCs w:val="30"/>
              </w:rPr>
              <w:t>2.11现有项目概况</w:t>
            </w:r>
          </w:p>
          <w:p>
            <w:pPr>
              <w:pStyle w:val="97"/>
              <w:ind w:firstLine="0" w:firstLineChars="0"/>
              <w:rPr>
                <w:b/>
                <w:bCs/>
                <w:color w:val="auto"/>
                <w:sz w:val="28"/>
                <w:szCs w:val="28"/>
              </w:rPr>
            </w:pPr>
            <w:r>
              <w:rPr>
                <w:rFonts w:hint="eastAsia"/>
                <w:b/>
                <w:bCs/>
                <w:color w:val="auto"/>
                <w:sz w:val="28"/>
                <w:szCs w:val="28"/>
              </w:rPr>
              <w:t>2.11.1</w:t>
            </w:r>
            <w:r>
              <w:rPr>
                <w:rFonts w:hint="eastAsia"/>
                <w:b/>
                <w:bCs/>
                <w:color w:val="auto"/>
                <w:sz w:val="30"/>
                <w:szCs w:val="30"/>
              </w:rPr>
              <w:t>现有</w:t>
            </w:r>
            <w:r>
              <w:rPr>
                <w:rFonts w:hint="eastAsia"/>
                <w:b/>
                <w:bCs/>
                <w:color w:val="auto"/>
                <w:sz w:val="28"/>
                <w:szCs w:val="28"/>
              </w:rPr>
              <w:t>项目基本情况</w:t>
            </w:r>
          </w:p>
          <w:p>
            <w:pPr>
              <w:pStyle w:val="122"/>
              <w:ind w:firstLine="480"/>
              <w:rPr>
                <w:color w:val="auto"/>
              </w:rPr>
            </w:pPr>
            <w:r>
              <w:rPr>
                <w:color w:val="auto"/>
              </w:rPr>
              <w:t>福建汇邦包装有限公司于2016年11月委托福建省化学工业科学技术研究所编制完成了《福建汇邦包装有限公司年产复合膜150吨、复合袋150吨项目环境影响评价报告表》，并于2017年2月7日</w:t>
            </w:r>
            <w:r>
              <w:rPr>
                <w:rFonts w:hint="eastAsia"/>
                <w:color w:val="auto"/>
              </w:rPr>
              <w:t>通过</w:t>
            </w:r>
            <w:r>
              <w:rPr>
                <w:color w:val="auto"/>
              </w:rPr>
              <w:t>福州市长乐生态环境局（原长乐市环境保护局）</w:t>
            </w:r>
            <w:r>
              <w:rPr>
                <w:rFonts w:hint="eastAsia"/>
                <w:color w:val="auto"/>
              </w:rPr>
              <w:t>审批</w:t>
            </w:r>
            <w:r>
              <w:rPr>
                <w:color w:val="auto"/>
              </w:rPr>
              <w:t>（长环评</w:t>
            </w:r>
            <w:r>
              <w:rPr>
                <w:rFonts w:hint="eastAsia"/>
                <w:color w:val="auto"/>
                <w:lang w:eastAsia="zh-CN"/>
              </w:rPr>
              <w:t>〔2017〕4号</w:t>
            </w:r>
            <w:r>
              <w:rPr>
                <w:color w:val="auto"/>
              </w:rPr>
              <w:t>）。</w:t>
            </w:r>
            <w:r>
              <w:rPr>
                <w:rFonts w:hint="eastAsia"/>
                <w:color w:val="auto"/>
              </w:rPr>
              <w:t>其</w:t>
            </w:r>
            <w:r>
              <w:rPr>
                <w:color w:val="auto"/>
              </w:rPr>
              <w:t>选址于福建省福州市长乐区航城街道霞洲村湖边溪工业区1号（租用福建省建乐鞋有限公司内的E栋厂房东侧1-4层楼及配套设施）</w:t>
            </w:r>
            <w:r>
              <w:rPr>
                <w:rFonts w:hint="eastAsia"/>
                <w:color w:val="auto"/>
              </w:rPr>
              <w:t>，主要生产规模为</w:t>
            </w:r>
            <w:r>
              <w:rPr>
                <w:color w:val="auto"/>
              </w:rPr>
              <w:t>年产复合膜150吨、复合袋150吨</w:t>
            </w:r>
            <w:r>
              <w:rPr>
                <w:rFonts w:hint="eastAsia"/>
                <w:color w:val="auto"/>
              </w:rPr>
              <w:t>。汇邦公司</w:t>
            </w:r>
            <w:r>
              <w:rPr>
                <w:color w:val="auto"/>
              </w:rPr>
              <w:t>于</w:t>
            </w:r>
            <w:r>
              <w:rPr>
                <w:rFonts w:hint="eastAsia"/>
                <w:color w:val="auto"/>
              </w:rPr>
              <w:t>2018年7月开展</w:t>
            </w:r>
            <w:r>
              <w:rPr>
                <w:color w:val="auto"/>
              </w:rPr>
              <w:t>年产复合膜150吨、复合袋150吨项目</w:t>
            </w:r>
            <w:r>
              <w:rPr>
                <w:rFonts w:hint="eastAsia"/>
                <w:color w:val="auto"/>
              </w:rPr>
              <w:t>竣工环保验收工作，并于2018年8月通过自主验收。</w:t>
            </w:r>
          </w:p>
          <w:p>
            <w:pPr>
              <w:pStyle w:val="122"/>
              <w:ind w:firstLine="480"/>
              <w:rPr>
                <w:color w:val="auto"/>
              </w:rPr>
            </w:pPr>
            <w:r>
              <w:rPr>
                <w:color w:val="auto"/>
              </w:rPr>
              <w:t>现有</w:t>
            </w:r>
            <w:r>
              <w:rPr>
                <w:rFonts w:hint="eastAsia"/>
                <w:color w:val="auto"/>
              </w:rPr>
              <w:t>项目</w:t>
            </w:r>
            <w:r>
              <w:rPr>
                <w:color w:val="auto"/>
              </w:rPr>
              <w:t>环评执行情况及竣工验收情况一览表见</w:t>
            </w:r>
            <w:r>
              <w:rPr>
                <w:b/>
                <w:bCs w:val="0"/>
                <w:color w:val="auto"/>
              </w:rPr>
              <w:t>表</w:t>
            </w:r>
            <w:r>
              <w:rPr>
                <w:rFonts w:hint="eastAsia"/>
                <w:b/>
                <w:bCs w:val="0"/>
                <w:color w:val="auto"/>
              </w:rPr>
              <w:t>2.11-1</w:t>
            </w:r>
            <w:r>
              <w:rPr>
                <w:color w:val="auto"/>
              </w:rPr>
              <w:t>。</w:t>
            </w:r>
          </w:p>
          <w:p>
            <w:pPr>
              <w:pStyle w:val="47"/>
              <w:rPr>
                <w:bCs/>
                <w:color w:val="auto"/>
              </w:rPr>
            </w:pPr>
            <w:r>
              <w:rPr>
                <w:bCs/>
                <w:color w:val="auto"/>
              </w:rPr>
              <w:t>表</w:t>
            </w:r>
            <w:r>
              <w:rPr>
                <w:rFonts w:hint="eastAsia"/>
                <w:bCs/>
                <w:color w:val="auto"/>
              </w:rPr>
              <w:t>2.11-1</w:t>
            </w:r>
            <w:r>
              <w:rPr>
                <w:bCs/>
                <w:color w:val="auto"/>
              </w:rPr>
              <w:t xml:space="preserve"> </w:t>
            </w:r>
            <w:r>
              <w:rPr>
                <w:rFonts w:hint="eastAsia"/>
                <w:bCs/>
                <w:color w:val="auto"/>
              </w:rPr>
              <w:t xml:space="preserve"> 现有项目环评执行情况及竣工验收情况一览表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74"/>
              <w:gridCol w:w="1248"/>
              <w:gridCol w:w="1383"/>
              <w:gridCol w:w="900"/>
              <w:gridCol w:w="30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4" w:type="dxa"/>
                  <w:tcBorders>
                    <w:tl2br w:val="nil"/>
                    <w:tr2bl w:val="nil"/>
                  </w:tcBorders>
                  <w:vAlign w:val="center"/>
                </w:tcPr>
                <w:p>
                  <w:pPr>
                    <w:pStyle w:val="154"/>
                    <w:rPr>
                      <w:color w:val="auto"/>
                      <w:szCs w:val="21"/>
                    </w:rPr>
                  </w:pPr>
                  <w:r>
                    <w:rPr>
                      <w:rFonts w:hint="eastAsia"/>
                      <w:color w:val="auto"/>
                      <w:szCs w:val="21"/>
                    </w:rPr>
                    <w:t>项目名称</w:t>
                  </w:r>
                </w:p>
              </w:tc>
              <w:tc>
                <w:tcPr>
                  <w:tcW w:w="1248" w:type="dxa"/>
                  <w:tcBorders>
                    <w:tl2br w:val="nil"/>
                    <w:tr2bl w:val="nil"/>
                  </w:tcBorders>
                  <w:vAlign w:val="center"/>
                </w:tcPr>
                <w:p>
                  <w:pPr>
                    <w:pStyle w:val="154"/>
                    <w:rPr>
                      <w:color w:val="auto"/>
                      <w:szCs w:val="21"/>
                    </w:rPr>
                  </w:pPr>
                  <w:r>
                    <w:rPr>
                      <w:rFonts w:hint="eastAsia"/>
                      <w:color w:val="auto"/>
                      <w:szCs w:val="21"/>
                    </w:rPr>
                    <w:t>环评审批单位</w:t>
                  </w:r>
                </w:p>
              </w:tc>
              <w:tc>
                <w:tcPr>
                  <w:tcW w:w="1383" w:type="dxa"/>
                  <w:tcBorders>
                    <w:tl2br w:val="nil"/>
                    <w:tr2bl w:val="nil"/>
                  </w:tcBorders>
                  <w:vAlign w:val="center"/>
                </w:tcPr>
                <w:p>
                  <w:pPr>
                    <w:pStyle w:val="154"/>
                    <w:rPr>
                      <w:color w:val="auto"/>
                      <w:szCs w:val="21"/>
                    </w:rPr>
                  </w:pPr>
                  <w:r>
                    <w:rPr>
                      <w:rFonts w:hint="eastAsia"/>
                      <w:color w:val="auto"/>
                      <w:szCs w:val="21"/>
                    </w:rPr>
                    <w:t>环评批复文号及时间</w:t>
                  </w:r>
                </w:p>
              </w:tc>
              <w:tc>
                <w:tcPr>
                  <w:tcW w:w="900" w:type="dxa"/>
                  <w:tcBorders>
                    <w:tl2br w:val="nil"/>
                    <w:tr2bl w:val="nil"/>
                  </w:tcBorders>
                  <w:vAlign w:val="center"/>
                </w:tcPr>
                <w:p>
                  <w:pPr>
                    <w:pStyle w:val="154"/>
                    <w:rPr>
                      <w:color w:val="auto"/>
                      <w:szCs w:val="21"/>
                    </w:rPr>
                  </w:pPr>
                  <w:r>
                    <w:rPr>
                      <w:rFonts w:hint="eastAsia"/>
                      <w:color w:val="auto"/>
                      <w:szCs w:val="21"/>
                    </w:rPr>
                    <w:t>验收时间</w:t>
                  </w:r>
                </w:p>
              </w:tc>
              <w:tc>
                <w:tcPr>
                  <w:tcW w:w="3099" w:type="dxa"/>
                  <w:tcBorders>
                    <w:tl2br w:val="nil"/>
                    <w:tr2bl w:val="nil"/>
                  </w:tcBorders>
                  <w:vAlign w:val="center"/>
                </w:tcPr>
                <w:p>
                  <w:pPr>
                    <w:pStyle w:val="154"/>
                    <w:rPr>
                      <w:color w:val="auto"/>
                      <w:szCs w:val="21"/>
                      <w:highlight w:val="none"/>
                    </w:rPr>
                  </w:pPr>
                  <w:r>
                    <w:rPr>
                      <w:rFonts w:hint="eastAsia"/>
                      <w:color w:val="auto"/>
                      <w:szCs w:val="21"/>
                      <w:highlight w:val="none"/>
                    </w:rPr>
                    <w:t>排污许可证申领情况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874" w:type="dxa"/>
                  <w:tcBorders>
                    <w:tl2br w:val="nil"/>
                    <w:tr2bl w:val="nil"/>
                  </w:tcBorders>
                  <w:vAlign w:val="center"/>
                </w:tcPr>
                <w:p>
                  <w:pPr>
                    <w:pStyle w:val="154"/>
                    <w:rPr>
                      <w:color w:val="auto"/>
                      <w:szCs w:val="21"/>
                    </w:rPr>
                  </w:pPr>
                  <w:r>
                    <w:rPr>
                      <w:color w:val="auto"/>
                      <w:szCs w:val="21"/>
                    </w:rPr>
                    <w:t>福建汇邦包装有限公司年产复合膜150吨、复合袋150吨项目</w:t>
                  </w:r>
                </w:p>
              </w:tc>
              <w:tc>
                <w:tcPr>
                  <w:tcW w:w="1248" w:type="dxa"/>
                  <w:tcBorders>
                    <w:tl2br w:val="nil"/>
                    <w:tr2bl w:val="nil"/>
                  </w:tcBorders>
                  <w:vAlign w:val="center"/>
                </w:tcPr>
                <w:p>
                  <w:pPr>
                    <w:pStyle w:val="154"/>
                    <w:rPr>
                      <w:color w:val="auto"/>
                      <w:szCs w:val="21"/>
                    </w:rPr>
                  </w:pPr>
                  <w:r>
                    <w:rPr>
                      <w:rFonts w:hint="eastAsia"/>
                      <w:color w:val="auto"/>
                      <w:szCs w:val="21"/>
                    </w:rPr>
                    <w:t>福州市长乐生态环境局（原长乐市环境保护局）</w:t>
                  </w:r>
                </w:p>
              </w:tc>
              <w:tc>
                <w:tcPr>
                  <w:tcW w:w="1383" w:type="dxa"/>
                  <w:tcBorders>
                    <w:tl2br w:val="nil"/>
                    <w:tr2bl w:val="nil"/>
                  </w:tcBorders>
                  <w:vAlign w:val="center"/>
                </w:tcPr>
                <w:p>
                  <w:pPr>
                    <w:pStyle w:val="154"/>
                    <w:rPr>
                      <w:color w:val="auto"/>
                      <w:szCs w:val="21"/>
                    </w:rPr>
                  </w:pPr>
                  <w:r>
                    <w:rPr>
                      <w:rFonts w:hint="eastAsia"/>
                      <w:color w:val="auto"/>
                      <w:szCs w:val="21"/>
                    </w:rPr>
                    <w:t>长环评</w:t>
                  </w:r>
                  <w:r>
                    <w:rPr>
                      <w:rFonts w:hint="eastAsia"/>
                      <w:color w:val="auto"/>
                      <w:szCs w:val="21"/>
                      <w:lang w:eastAsia="zh-CN"/>
                    </w:rPr>
                    <w:t>〔2017〕4号</w:t>
                  </w:r>
                  <w:r>
                    <w:rPr>
                      <w:rFonts w:hint="eastAsia"/>
                      <w:color w:val="auto"/>
                      <w:szCs w:val="21"/>
                    </w:rPr>
                    <w:t>、2017年2月7日</w:t>
                  </w:r>
                </w:p>
              </w:tc>
              <w:tc>
                <w:tcPr>
                  <w:tcW w:w="900" w:type="dxa"/>
                  <w:tcBorders>
                    <w:tl2br w:val="nil"/>
                    <w:tr2bl w:val="nil"/>
                  </w:tcBorders>
                  <w:vAlign w:val="center"/>
                </w:tcPr>
                <w:p>
                  <w:pPr>
                    <w:pStyle w:val="154"/>
                    <w:rPr>
                      <w:color w:val="auto"/>
                      <w:szCs w:val="21"/>
                    </w:rPr>
                  </w:pPr>
                  <w:r>
                    <w:rPr>
                      <w:rFonts w:hint="eastAsia"/>
                      <w:color w:val="auto"/>
                      <w:szCs w:val="21"/>
                    </w:rPr>
                    <w:t>2018年8月</w:t>
                  </w:r>
                </w:p>
              </w:tc>
              <w:tc>
                <w:tcPr>
                  <w:tcW w:w="3099" w:type="dxa"/>
                  <w:tcBorders>
                    <w:tl2br w:val="nil"/>
                    <w:tr2bl w:val="nil"/>
                  </w:tcBorders>
                  <w:vAlign w:val="center"/>
                </w:tcPr>
                <w:p>
                  <w:pPr>
                    <w:pStyle w:val="154"/>
                    <w:rPr>
                      <w:rFonts w:hint="default" w:eastAsia="宋体"/>
                      <w:color w:val="auto"/>
                      <w:szCs w:val="21"/>
                      <w:highlight w:val="none"/>
                      <w:lang w:val="en-US" w:eastAsia="zh-CN"/>
                    </w:rPr>
                  </w:pPr>
                  <w:r>
                    <w:rPr>
                      <w:rFonts w:hint="eastAsia"/>
                      <w:color w:val="auto"/>
                      <w:szCs w:val="21"/>
                      <w:highlight w:val="none"/>
                      <w:lang w:val="en-US" w:eastAsia="zh-CN"/>
                    </w:rPr>
                    <w:t>已于2025年7月22日取得排污登记回执，登记编号91350182337472476D001Y（见附件11）</w:t>
                  </w:r>
                </w:p>
              </w:tc>
            </w:tr>
          </w:tbl>
          <w:p>
            <w:pPr>
              <w:widowControl/>
              <w:spacing w:line="360" w:lineRule="auto"/>
              <w:ind w:firstLine="482" w:firstLineChars="200"/>
              <w:rPr>
                <w:b/>
                <w:color w:val="auto"/>
                <w:sz w:val="24"/>
              </w:rPr>
            </w:pPr>
            <w:r>
              <w:rPr>
                <w:rFonts w:hint="eastAsia"/>
                <w:b/>
                <w:color w:val="auto"/>
                <w:sz w:val="24"/>
              </w:rPr>
              <w:t>现对现有项目进行回顾性分析。</w:t>
            </w:r>
          </w:p>
          <w:p>
            <w:pPr>
              <w:pStyle w:val="97"/>
              <w:ind w:firstLine="0" w:firstLineChars="0"/>
              <w:rPr>
                <w:b/>
                <w:bCs/>
                <w:color w:val="auto"/>
                <w:sz w:val="28"/>
                <w:szCs w:val="28"/>
              </w:rPr>
            </w:pPr>
            <w:r>
              <w:rPr>
                <w:rFonts w:hint="eastAsia"/>
                <w:b/>
                <w:bCs/>
                <w:color w:val="auto"/>
                <w:sz w:val="28"/>
                <w:szCs w:val="28"/>
              </w:rPr>
              <w:t>2.11.2现有项目生产设备</w:t>
            </w:r>
          </w:p>
          <w:p>
            <w:pPr>
              <w:pStyle w:val="48"/>
              <w:ind w:firstLine="480"/>
              <w:rPr>
                <w:color w:val="auto"/>
              </w:rPr>
            </w:pPr>
            <w:r>
              <w:rPr>
                <w:rFonts w:hint="eastAsia"/>
                <w:color w:val="auto"/>
              </w:rPr>
              <w:t>现有</w:t>
            </w:r>
            <w:r>
              <w:rPr>
                <w:color w:val="auto"/>
              </w:rPr>
              <w:t>项目主要生产设备见</w:t>
            </w:r>
            <w:r>
              <w:rPr>
                <w:b/>
                <w:bCs/>
                <w:color w:val="auto"/>
              </w:rPr>
              <w:t>表2.</w:t>
            </w:r>
            <w:r>
              <w:rPr>
                <w:rFonts w:hint="eastAsia"/>
                <w:b/>
                <w:bCs/>
                <w:color w:val="auto"/>
              </w:rPr>
              <w:t>11</w:t>
            </w:r>
            <w:r>
              <w:rPr>
                <w:b/>
                <w:bCs/>
                <w:color w:val="auto"/>
              </w:rPr>
              <w:t>-</w:t>
            </w:r>
            <w:r>
              <w:rPr>
                <w:rFonts w:hint="eastAsia"/>
                <w:b/>
                <w:bCs/>
                <w:color w:val="auto"/>
              </w:rPr>
              <w:t>2</w:t>
            </w:r>
            <w:r>
              <w:rPr>
                <w:color w:val="auto"/>
              </w:rPr>
              <w:t>。</w:t>
            </w:r>
          </w:p>
          <w:p>
            <w:pPr>
              <w:pStyle w:val="13"/>
              <w:spacing w:line="240" w:lineRule="auto"/>
              <w:ind w:firstLine="0"/>
              <w:jc w:val="center"/>
              <w:rPr>
                <w:rFonts w:eastAsia="宋体"/>
                <w:b/>
                <w:color w:val="auto"/>
                <w:sz w:val="24"/>
                <w:szCs w:val="24"/>
              </w:rPr>
            </w:pPr>
            <w:r>
              <w:rPr>
                <w:rFonts w:eastAsia="宋体"/>
                <w:b/>
                <w:color w:val="auto"/>
                <w:sz w:val="24"/>
                <w:szCs w:val="24"/>
              </w:rPr>
              <w:t>表2</w:t>
            </w:r>
            <w:r>
              <w:rPr>
                <w:rFonts w:hint="eastAsia" w:eastAsia="宋体"/>
                <w:b/>
                <w:color w:val="auto"/>
                <w:sz w:val="24"/>
                <w:szCs w:val="24"/>
              </w:rPr>
              <w:t>.11-2</w:t>
            </w:r>
            <w:r>
              <w:rPr>
                <w:rFonts w:eastAsia="宋体"/>
                <w:b/>
                <w:color w:val="auto"/>
                <w:sz w:val="24"/>
                <w:szCs w:val="24"/>
              </w:rPr>
              <w:t xml:space="preserve">  </w:t>
            </w:r>
            <w:r>
              <w:rPr>
                <w:rFonts w:hint="eastAsia" w:eastAsia="宋体"/>
                <w:b/>
                <w:color w:val="auto"/>
                <w:sz w:val="24"/>
                <w:szCs w:val="24"/>
              </w:rPr>
              <w:t>现有项目</w:t>
            </w:r>
            <w:r>
              <w:rPr>
                <w:rFonts w:eastAsia="宋体"/>
                <w:b/>
                <w:color w:val="auto"/>
                <w:sz w:val="24"/>
                <w:szCs w:val="24"/>
              </w:rPr>
              <w:t>主要</w:t>
            </w:r>
            <w:r>
              <w:rPr>
                <w:rFonts w:hint="eastAsia" w:eastAsia="宋体"/>
                <w:b/>
                <w:color w:val="auto"/>
                <w:sz w:val="24"/>
                <w:szCs w:val="24"/>
              </w:rPr>
              <w:t>生产</w:t>
            </w:r>
            <w:r>
              <w:rPr>
                <w:rFonts w:eastAsia="宋体"/>
                <w:b/>
                <w:color w:val="auto"/>
                <w:sz w:val="24"/>
                <w:szCs w:val="24"/>
              </w:rPr>
              <w:t>设备一览表</w:t>
            </w:r>
          </w:p>
          <w:p>
            <w:pPr>
              <w:pStyle w:val="27"/>
            </w:pP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695"/>
              <w:gridCol w:w="2637"/>
              <w:gridCol w:w="885"/>
              <w:gridCol w:w="26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r>
                    <w:rPr>
                      <w:bCs/>
                      <w:color w:val="auto"/>
                      <w:szCs w:val="21"/>
                    </w:rPr>
                    <w:t>序号</w:t>
                  </w:r>
                </w:p>
              </w:tc>
              <w:tc>
                <w:tcPr>
                  <w:tcW w:w="1695" w:type="dxa"/>
                  <w:tcBorders>
                    <w:tl2br w:val="nil"/>
                    <w:tr2bl w:val="nil"/>
                  </w:tcBorders>
                  <w:vAlign w:val="center"/>
                </w:tcPr>
                <w:p>
                  <w:pPr>
                    <w:jc w:val="center"/>
                    <w:rPr>
                      <w:bCs/>
                      <w:color w:val="auto"/>
                      <w:szCs w:val="21"/>
                    </w:rPr>
                  </w:pPr>
                  <w:r>
                    <w:rPr>
                      <w:bCs/>
                      <w:color w:val="auto"/>
                      <w:szCs w:val="21"/>
                    </w:rPr>
                    <w:t>设备名称</w:t>
                  </w:r>
                </w:p>
              </w:tc>
              <w:tc>
                <w:tcPr>
                  <w:tcW w:w="2637" w:type="dxa"/>
                  <w:tcBorders>
                    <w:tl2br w:val="nil"/>
                    <w:tr2bl w:val="nil"/>
                  </w:tcBorders>
                  <w:vAlign w:val="center"/>
                </w:tcPr>
                <w:p>
                  <w:pPr>
                    <w:jc w:val="center"/>
                    <w:rPr>
                      <w:bCs/>
                      <w:color w:val="auto"/>
                      <w:szCs w:val="21"/>
                    </w:rPr>
                  </w:pPr>
                  <w:r>
                    <w:rPr>
                      <w:rFonts w:hint="eastAsia"/>
                      <w:bCs/>
                      <w:color w:val="auto"/>
                      <w:szCs w:val="21"/>
                    </w:rPr>
                    <w:t>规格/</w:t>
                  </w:r>
                  <w:r>
                    <w:rPr>
                      <w:bCs/>
                      <w:color w:val="auto"/>
                      <w:szCs w:val="21"/>
                    </w:rPr>
                    <w:t>型号</w:t>
                  </w:r>
                </w:p>
              </w:tc>
              <w:tc>
                <w:tcPr>
                  <w:tcW w:w="885" w:type="dxa"/>
                  <w:tcBorders>
                    <w:tl2br w:val="nil"/>
                    <w:tr2bl w:val="nil"/>
                  </w:tcBorders>
                  <w:vAlign w:val="center"/>
                </w:tcPr>
                <w:p>
                  <w:pPr>
                    <w:jc w:val="center"/>
                    <w:rPr>
                      <w:bCs/>
                      <w:color w:val="auto"/>
                      <w:szCs w:val="21"/>
                    </w:rPr>
                  </w:pPr>
                  <w:r>
                    <w:rPr>
                      <w:bCs/>
                      <w:color w:val="auto"/>
                      <w:szCs w:val="21"/>
                    </w:rPr>
                    <w:t>数量</w:t>
                  </w:r>
                </w:p>
              </w:tc>
              <w:tc>
                <w:tcPr>
                  <w:tcW w:w="2628" w:type="dxa"/>
                  <w:tcBorders>
                    <w:tl2br w:val="nil"/>
                    <w:tr2bl w:val="nil"/>
                  </w:tcBorders>
                  <w:vAlign w:val="center"/>
                </w:tcPr>
                <w:p>
                  <w:pPr>
                    <w:jc w:val="center"/>
                    <w:rPr>
                      <w:bCs/>
                      <w:color w:val="auto"/>
                      <w:szCs w:val="21"/>
                    </w:rPr>
                  </w:pPr>
                  <w:r>
                    <w:rPr>
                      <w:rFonts w:hint="eastAsia"/>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bCs/>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rFonts w:hint="eastAsia" w:hAnsi="宋体"/>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bCs/>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rFonts w:hint="eastAsia" w:hAnsi="宋体" w:asciiTheme="minorHAnsi" w:eastAsiaTheme="minorEastAsia" w:cstheme="minorBidi"/>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bCs/>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bCs/>
                      <w:color w:val="auto"/>
                      <w:szCs w:val="21"/>
                    </w:rPr>
                  </w:pPr>
                </w:p>
              </w:tc>
              <w:tc>
                <w:tcPr>
                  <w:tcW w:w="2637" w:type="dxa"/>
                  <w:tcBorders>
                    <w:tl2br w:val="nil"/>
                    <w:tr2bl w:val="nil"/>
                  </w:tcBorders>
                  <w:vAlign w:val="center"/>
                </w:tcPr>
                <w:p>
                  <w:pPr>
                    <w:jc w:val="center"/>
                    <w:rPr>
                      <w:bCs/>
                      <w:color w:val="auto"/>
                      <w:szCs w:val="21"/>
                    </w:rPr>
                  </w:pPr>
                </w:p>
              </w:tc>
              <w:tc>
                <w:tcPr>
                  <w:tcW w:w="885" w:type="dxa"/>
                  <w:tcBorders>
                    <w:tl2br w:val="nil"/>
                    <w:tr2bl w:val="nil"/>
                  </w:tcBorders>
                  <w:vAlign w:val="center"/>
                </w:tcPr>
                <w:p>
                  <w:pPr>
                    <w:jc w:val="center"/>
                    <w:rPr>
                      <w:bCs/>
                      <w:color w:val="auto"/>
                      <w:szCs w:val="21"/>
                    </w:rPr>
                  </w:pPr>
                </w:p>
              </w:tc>
              <w:tc>
                <w:tcPr>
                  <w:tcW w:w="2628"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tcBorders>
                    <w:tl2br w:val="nil"/>
                    <w:tr2bl w:val="nil"/>
                  </w:tcBorders>
                  <w:vAlign w:val="center"/>
                </w:tcPr>
                <w:p>
                  <w:pPr>
                    <w:jc w:val="center"/>
                    <w:rPr>
                      <w:bCs/>
                      <w:color w:val="auto"/>
                      <w:szCs w:val="21"/>
                    </w:rPr>
                  </w:pPr>
                </w:p>
              </w:tc>
              <w:tc>
                <w:tcPr>
                  <w:tcW w:w="1695" w:type="dxa"/>
                  <w:tcBorders>
                    <w:tl2br w:val="nil"/>
                    <w:tr2bl w:val="nil"/>
                  </w:tcBorders>
                  <w:vAlign w:val="center"/>
                </w:tcPr>
                <w:p>
                  <w:pPr>
                    <w:jc w:val="center"/>
                    <w:rPr>
                      <w:rFonts w:hint="eastAsia" w:hAnsi="宋体"/>
                      <w:color w:val="auto"/>
                      <w:szCs w:val="21"/>
                    </w:rPr>
                  </w:pPr>
                </w:p>
              </w:tc>
              <w:tc>
                <w:tcPr>
                  <w:tcW w:w="2637" w:type="dxa"/>
                  <w:tcBorders>
                    <w:tl2br w:val="nil"/>
                    <w:tr2bl w:val="nil"/>
                  </w:tcBorders>
                  <w:vAlign w:val="center"/>
                </w:tcPr>
                <w:p>
                  <w:pPr>
                    <w:jc w:val="center"/>
                    <w:rPr>
                      <w:rFonts w:hint="eastAsia" w:hAnsi="宋体"/>
                      <w:color w:val="auto"/>
                      <w:szCs w:val="21"/>
                    </w:rPr>
                  </w:pPr>
                </w:p>
              </w:tc>
              <w:tc>
                <w:tcPr>
                  <w:tcW w:w="885" w:type="dxa"/>
                  <w:tcBorders>
                    <w:tl2br w:val="nil"/>
                    <w:tr2bl w:val="nil"/>
                  </w:tcBorders>
                  <w:vAlign w:val="center"/>
                </w:tcPr>
                <w:p>
                  <w:pPr>
                    <w:jc w:val="center"/>
                    <w:rPr>
                      <w:rFonts w:hint="eastAsia" w:hAnsi="宋体"/>
                      <w:color w:val="auto"/>
                      <w:szCs w:val="21"/>
                    </w:rPr>
                  </w:pPr>
                </w:p>
              </w:tc>
              <w:tc>
                <w:tcPr>
                  <w:tcW w:w="2628" w:type="dxa"/>
                  <w:tcBorders>
                    <w:tl2br w:val="nil"/>
                    <w:tr2bl w:val="nil"/>
                  </w:tcBorders>
                  <w:vAlign w:val="center"/>
                </w:tcPr>
                <w:p>
                  <w:pPr>
                    <w:jc w:val="center"/>
                    <w:rPr>
                      <w:bCs/>
                      <w:color w:val="auto"/>
                      <w:szCs w:val="21"/>
                    </w:rPr>
                  </w:pPr>
                </w:p>
              </w:tc>
            </w:tr>
          </w:tbl>
          <w:p>
            <w:pPr>
              <w:pStyle w:val="97"/>
              <w:ind w:firstLine="0" w:firstLineChars="0"/>
              <w:rPr>
                <w:b/>
                <w:bCs/>
                <w:color w:val="auto"/>
                <w:sz w:val="28"/>
                <w:szCs w:val="28"/>
              </w:rPr>
            </w:pPr>
            <w:r>
              <w:rPr>
                <w:rFonts w:hint="eastAsia"/>
                <w:b/>
                <w:bCs/>
                <w:color w:val="auto"/>
                <w:sz w:val="28"/>
                <w:szCs w:val="28"/>
              </w:rPr>
              <w:t>2.11.3现有项目主要原辅材料及能源消耗</w:t>
            </w:r>
          </w:p>
          <w:p>
            <w:pPr>
              <w:pStyle w:val="48"/>
              <w:ind w:firstLine="480"/>
              <w:rPr>
                <w:color w:val="auto"/>
              </w:rPr>
            </w:pPr>
            <w:r>
              <w:rPr>
                <w:rFonts w:hint="eastAsia"/>
                <w:color w:val="auto"/>
              </w:rPr>
              <w:t>现有</w:t>
            </w:r>
            <w:r>
              <w:rPr>
                <w:color w:val="auto"/>
              </w:rPr>
              <w:t>项目</w:t>
            </w:r>
            <w:r>
              <w:rPr>
                <w:rFonts w:hint="eastAsia"/>
                <w:color w:val="auto"/>
              </w:rPr>
              <w:t>主要原辅材料及能源消耗</w:t>
            </w:r>
            <w:r>
              <w:rPr>
                <w:color w:val="auto"/>
              </w:rPr>
              <w:t>见</w:t>
            </w:r>
            <w:r>
              <w:rPr>
                <w:b/>
                <w:bCs/>
                <w:color w:val="auto"/>
              </w:rPr>
              <w:t>表2.</w:t>
            </w:r>
            <w:r>
              <w:rPr>
                <w:rFonts w:hint="eastAsia"/>
                <w:b/>
                <w:bCs/>
                <w:color w:val="auto"/>
              </w:rPr>
              <w:t>11</w:t>
            </w:r>
            <w:r>
              <w:rPr>
                <w:b/>
                <w:bCs/>
                <w:color w:val="auto"/>
              </w:rPr>
              <w:t>-</w:t>
            </w:r>
            <w:r>
              <w:rPr>
                <w:rFonts w:hint="eastAsia"/>
                <w:b/>
                <w:bCs/>
                <w:color w:val="auto"/>
              </w:rPr>
              <w:t>3</w:t>
            </w:r>
            <w:r>
              <w:rPr>
                <w:color w:val="auto"/>
              </w:rPr>
              <w:t>。</w:t>
            </w:r>
          </w:p>
          <w:p>
            <w:pPr>
              <w:pStyle w:val="47"/>
              <w:rPr>
                <w:color w:val="auto"/>
              </w:rPr>
            </w:pPr>
            <w:r>
              <w:rPr>
                <w:color w:val="auto"/>
              </w:rPr>
              <w:t>表2</w:t>
            </w:r>
            <w:r>
              <w:rPr>
                <w:rFonts w:hint="eastAsia"/>
                <w:color w:val="auto"/>
              </w:rPr>
              <w:t>.11-3</w:t>
            </w:r>
            <w:r>
              <w:rPr>
                <w:color w:val="auto"/>
              </w:rPr>
              <w:t xml:space="preserve">  </w:t>
            </w:r>
            <w:r>
              <w:rPr>
                <w:rFonts w:hint="eastAsia"/>
                <w:color w:val="auto"/>
              </w:rPr>
              <w:t>现有项目</w:t>
            </w:r>
            <w:r>
              <w:rPr>
                <w:color w:val="auto"/>
              </w:rPr>
              <w:t>主要原辅材料</w:t>
            </w:r>
            <w:r>
              <w:rPr>
                <w:rFonts w:hint="eastAsia"/>
                <w:color w:val="auto"/>
              </w:rPr>
              <w:t>及能源消耗</w:t>
            </w:r>
            <w:r>
              <w:rPr>
                <w:color w:val="auto"/>
              </w:rPr>
              <w:t>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655"/>
              <w:gridCol w:w="1186"/>
              <w:gridCol w:w="2580"/>
              <w:gridCol w:w="1424"/>
              <w:gridCol w:w="165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41" w:type="dxa"/>
                  <w:gridSpan w:val="2"/>
                  <w:tcBorders>
                    <w:tl2br w:val="nil"/>
                    <w:tr2bl w:val="nil"/>
                  </w:tcBorders>
                  <w:vAlign w:val="center"/>
                </w:tcPr>
                <w:p>
                  <w:pPr>
                    <w:jc w:val="center"/>
                    <w:rPr>
                      <w:bCs/>
                      <w:color w:val="auto"/>
                      <w:szCs w:val="21"/>
                    </w:rPr>
                  </w:pPr>
                  <w:r>
                    <w:rPr>
                      <w:bCs/>
                      <w:color w:val="auto"/>
                      <w:szCs w:val="21"/>
                    </w:rPr>
                    <w:t>原辅材料名称</w:t>
                  </w:r>
                </w:p>
              </w:tc>
              <w:tc>
                <w:tcPr>
                  <w:tcW w:w="2580" w:type="dxa"/>
                  <w:tcBorders>
                    <w:tl2br w:val="nil"/>
                    <w:tr2bl w:val="nil"/>
                  </w:tcBorders>
                  <w:vAlign w:val="center"/>
                </w:tcPr>
                <w:p>
                  <w:pPr>
                    <w:jc w:val="center"/>
                    <w:rPr>
                      <w:bCs/>
                      <w:color w:val="auto"/>
                      <w:szCs w:val="21"/>
                    </w:rPr>
                  </w:pPr>
                  <w:r>
                    <w:rPr>
                      <w:rFonts w:hint="eastAsia"/>
                      <w:bCs/>
                      <w:color w:val="auto"/>
                      <w:szCs w:val="21"/>
                    </w:rPr>
                    <w:t>设计年耗量</w:t>
                  </w:r>
                </w:p>
              </w:tc>
              <w:tc>
                <w:tcPr>
                  <w:tcW w:w="1424" w:type="dxa"/>
                  <w:tcBorders>
                    <w:tl2br w:val="nil"/>
                    <w:tr2bl w:val="nil"/>
                  </w:tcBorders>
                  <w:vAlign w:val="center"/>
                </w:tcPr>
                <w:p>
                  <w:pPr>
                    <w:jc w:val="center"/>
                    <w:rPr>
                      <w:bCs/>
                      <w:color w:val="auto"/>
                      <w:szCs w:val="21"/>
                    </w:rPr>
                  </w:pPr>
                  <w:r>
                    <w:rPr>
                      <w:rFonts w:hint="eastAsia"/>
                      <w:bCs/>
                      <w:color w:val="auto"/>
                      <w:szCs w:val="21"/>
                    </w:rPr>
                    <w:t>状态</w:t>
                  </w:r>
                </w:p>
              </w:tc>
              <w:tc>
                <w:tcPr>
                  <w:tcW w:w="1659" w:type="dxa"/>
                  <w:tcBorders>
                    <w:tl2br w:val="nil"/>
                    <w:tr2bl w:val="nil"/>
                  </w:tcBorders>
                  <w:vAlign w:val="center"/>
                </w:tcPr>
                <w:p>
                  <w:pPr>
                    <w:jc w:val="center"/>
                    <w:rPr>
                      <w:bCs/>
                      <w:color w:val="auto"/>
                      <w:szCs w:val="21"/>
                    </w:rPr>
                  </w:pPr>
                  <w:r>
                    <w:rPr>
                      <w:rFonts w:hint="eastAsia"/>
                      <w:bCs/>
                      <w:color w:val="auto"/>
                      <w:szCs w:val="21"/>
                    </w:rPr>
                    <w:t>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41" w:type="dxa"/>
                  <w:gridSpan w:val="2"/>
                  <w:tcBorders>
                    <w:tl2br w:val="nil"/>
                    <w:tr2bl w:val="nil"/>
                  </w:tcBorders>
                  <w:vAlign w:val="center"/>
                </w:tcPr>
                <w:p>
                  <w:pPr>
                    <w:widowControl/>
                    <w:jc w:val="center"/>
                    <w:textAlignment w:val="center"/>
                    <w:rPr>
                      <w:bCs/>
                      <w:color w:val="auto"/>
                      <w:szCs w:val="21"/>
                    </w:rPr>
                  </w:pPr>
                </w:p>
              </w:tc>
              <w:tc>
                <w:tcPr>
                  <w:tcW w:w="2580" w:type="dxa"/>
                  <w:tcBorders>
                    <w:tl2br w:val="nil"/>
                    <w:tr2bl w:val="nil"/>
                  </w:tcBorders>
                  <w:vAlign w:val="center"/>
                </w:tcPr>
                <w:p>
                  <w:pPr>
                    <w:jc w:val="center"/>
                    <w:rPr>
                      <w:bCs/>
                      <w:color w:val="auto"/>
                      <w:szCs w:val="21"/>
                    </w:rPr>
                  </w:pPr>
                </w:p>
              </w:tc>
              <w:tc>
                <w:tcPr>
                  <w:tcW w:w="1424" w:type="dxa"/>
                  <w:tcBorders>
                    <w:tl2br w:val="nil"/>
                    <w:tr2bl w:val="nil"/>
                  </w:tcBorders>
                  <w:vAlign w:val="center"/>
                </w:tcPr>
                <w:p>
                  <w:pPr>
                    <w:jc w:val="center"/>
                    <w:rPr>
                      <w:bCs/>
                      <w:color w:val="auto"/>
                      <w:szCs w:val="21"/>
                    </w:rPr>
                  </w:pPr>
                </w:p>
              </w:tc>
              <w:tc>
                <w:tcPr>
                  <w:tcW w:w="165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41" w:type="dxa"/>
                  <w:gridSpan w:val="2"/>
                  <w:tcBorders>
                    <w:tl2br w:val="nil"/>
                    <w:tr2bl w:val="nil"/>
                  </w:tcBorders>
                  <w:vAlign w:val="center"/>
                </w:tcPr>
                <w:p>
                  <w:pPr>
                    <w:widowControl/>
                    <w:jc w:val="center"/>
                    <w:textAlignment w:val="center"/>
                    <w:rPr>
                      <w:bCs/>
                      <w:color w:val="auto"/>
                      <w:szCs w:val="21"/>
                    </w:rPr>
                  </w:pPr>
                </w:p>
              </w:tc>
              <w:tc>
                <w:tcPr>
                  <w:tcW w:w="2580" w:type="dxa"/>
                  <w:tcBorders>
                    <w:tl2br w:val="nil"/>
                    <w:tr2bl w:val="nil"/>
                  </w:tcBorders>
                  <w:vAlign w:val="center"/>
                </w:tcPr>
                <w:p>
                  <w:pPr>
                    <w:tabs>
                      <w:tab w:val="left" w:pos="5680"/>
                    </w:tabs>
                    <w:jc w:val="center"/>
                    <w:rPr>
                      <w:bCs/>
                      <w:color w:val="auto"/>
                      <w:szCs w:val="21"/>
                    </w:rPr>
                  </w:pPr>
                </w:p>
              </w:tc>
              <w:tc>
                <w:tcPr>
                  <w:tcW w:w="1424" w:type="dxa"/>
                  <w:tcBorders>
                    <w:tl2br w:val="nil"/>
                    <w:tr2bl w:val="nil"/>
                  </w:tcBorders>
                  <w:vAlign w:val="center"/>
                </w:tcPr>
                <w:p>
                  <w:pPr>
                    <w:jc w:val="center"/>
                    <w:rPr>
                      <w:bCs/>
                      <w:color w:val="auto"/>
                      <w:szCs w:val="21"/>
                    </w:rPr>
                  </w:pPr>
                </w:p>
              </w:tc>
              <w:tc>
                <w:tcPr>
                  <w:tcW w:w="165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41" w:type="dxa"/>
                  <w:gridSpan w:val="2"/>
                  <w:tcBorders>
                    <w:tl2br w:val="nil"/>
                    <w:tr2bl w:val="nil"/>
                  </w:tcBorders>
                  <w:vAlign w:val="center"/>
                </w:tcPr>
                <w:p>
                  <w:pPr>
                    <w:widowControl/>
                    <w:jc w:val="center"/>
                    <w:textAlignment w:val="center"/>
                    <w:rPr>
                      <w:bCs/>
                      <w:color w:val="auto"/>
                      <w:szCs w:val="21"/>
                    </w:rPr>
                  </w:pPr>
                </w:p>
              </w:tc>
              <w:tc>
                <w:tcPr>
                  <w:tcW w:w="2580" w:type="dxa"/>
                  <w:tcBorders>
                    <w:tl2br w:val="nil"/>
                    <w:tr2bl w:val="nil"/>
                  </w:tcBorders>
                  <w:vAlign w:val="center"/>
                </w:tcPr>
                <w:p>
                  <w:pPr>
                    <w:tabs>
                      <w:tab w:val="left" w:pos="5680"/>
                    </w:tabs>
                    <w:jc w:val="center"/>
                    <w:rPr>
                      <w:bCs/>
                      <w:color w:val="auto"/>
                      <w:szCs w:val="21"/>
                    </w:rPr>
                  </w:pPr>
                </w:p>
              </w:tc>
              <w:tc>
                <w:tcPr>
                  <w:tcW w:w="1424" w:type="dxa"/>
                  <w:tcBorders>
                    <w:tl2br w:val="nil"/>
                    <w:tr2bl w:val="nil"/>
                  </w:tcBorders>
                  <w:vAlign w:val="center"/>
                </w:tcPr>
                <w:p>
                  <w:pPr>
                    <w:jc w:val="center"/>
                    <w:rPr>
                      <w:bCs/>
                      <w:color w:val="auto"/>
                      <w:szCs w:val="21"/>
                    </w:rPr>
                  </w:pPr>
                </w:p>
              </w:tc>
              <w:tc>
                <w:tcPr>
                  <w:tcW w:w="165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41" w:type="dxa"/>
                  <w:gridSpan w:val="2"/>
                  <w:tcBorders>
                    <w:tl2br w:val="nil"/>
                    <w:tr2bl w:val="nil"/>
                  </w:tcBorders>
                  <w:vAlign w:val="center"/>
                </w:tcPr>
                <w:p>
                  <w:pPr>
                    <w:widowControl/>
                    <w:jc w:val="center"/>
                    <w:textAlignment w:val="center"/>
                    <w:rPr>
                      <w:bCs/>
                      <w:color w:val="auto"/>
                      <w:szCs w:val="21"/>
                    </w:rPr>
                  </w:pPr>
                </w:p>
              </w:tc>
              <w:tc>
                <w:tcPr>
                  <w:tcW w:w="2580" w:type="dxa"/>
                  <w:tcBorders>
                    <w:tl2br w:val="nil"/>
                    <w:tr2bl w:val="nil"/>
                  </w:tcBorders>
                  <w:vAlign w:val="center"/>
                </w:tcPr>
                <w:p>
                  <w:pPr>
                    <w:jc w:val="center"/>
                    <w:rPr>
                      <w:bCs/>
                      <w:color w:val="auto"/>
                      <w:szCs w:val="21"/>
                    </w:rPr>
                  </w:pPr>
                </w:p>
              </w:tc>
              <w:tc>
                <w:tcPr>
                  <w:tcW w:w="1424" w:type="dxa"/>
                  <w:tcBorders>
                    <w:tl2br w:val="nil"/>
                    <w:tr2bl w:val="nil"/>
                  </w:tcBorders>
                  <w:vAlign w:val="center"/>
                </w:tcPr>
                <w:p>
                  <w:pPr>
                    <w:jc w:val="center"/>
                    <w:rPr>
                      <w:bCs/>
                      <w:color w:val="auto"/>
                      <w:szCs w:val="21"/>
                    </w:rPr>
                  </w:pPr>
                </w:p>
              </w:tc>
              <w:tc>
                <w:tcPr>
                  <w:tcW w:w="165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41" w:type="dxa"/>
                  <w:gridSpan w:val="2"/>
                  <w:tcBorders>
                    <w:tl2br w:val="nil"/>
                    <w:tr2bl w:val="nil"/>
                  </w:tcBorders>
                  <w:vAlign w:val="center"/>
                </w:tcPr>
                <w:p>
                  <w:pPr>
                    <w:widowControl/>
                    <w:jc w:val="center"/>
                    <w:textAlignment w:val="center"/>
                    <w:rPr>
                      <w:bCs/>
                      <w:color w:val="auto"/>
                      <w:szCs w:val="21"/>
                    </w:rPr>
                  </w:pPr>
                </w:p>
              </w:tc>
              <w:tc>
                <w:tcPr>
                  <w:tcW w:w="2580" w:type="dxa"/>
                  <w:tcBorders>
                    <w:tl2br w:val="nil"/>
                    <w:tr2bl w:val="nil"/>
                  </w:tcBorders>
                  <w:vAlign w:val="center"/>
                </w:tcPr>
                <w:p>
                  <w:pPr>
                    <w:jc w:val="center"/>
                    <w:rPr>
                      <w:bCs/>
                      <w:color w:val="auto"/>
                      <w:szCs w:val="21"/>
                    </w:rPr>
                  </w:pPr>
                </w:p>
              </w:tc>
              <w:tc>
                <w:tcPr>
                  <w:tcW w:w="1424" w:type="dxa"/>
                  <w:tcBorders>
                    <w:tl2br w:val="nil"/>
                    <w:tr2bl w:val="nil"/>
                  </w:tcBorders>
                  <w:vAlign w:val="center"/>
                </w:tcPr>
                <w:p>
                  <w:pPr>
                    <w:jc w:val="center"/>
                    <w:rPr>
                      <w:bCs/>
                      <w:color w:val="auto"/>
                      <w:szCs w:val="21"/>
                    </w:rPr>
                  </w:pPr>
                </w:p>
              </w:tc>
              <w:tc>
                <w:tcPr>
                  <w:tcW w:w="165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841" w:type="dxa"/>
                  <w:gridSpan w:val="2"/>
                  <w:tcBorders>
                    <w:tl2br w:val="nil"/>
                    <w:tr2bl w:val="nil"/>
                  </w:tcBorders>
                  <w:vAlign w:val="center"/>
                </w:tcPr>
                <w:p>
                  <w:pPr>
                    <w:widowControl/>
                    <w:jc w:val="center"/>
                    <w:textAlignment w:val="center"/>
                    <w:rPr>
                      <w:bCs/>
                      <w:color w:val="auto"/>
                      <w:szCs w:val="21"/>
                    </w:rPr>
                  </w:pPr>
                </w:p>
              </w:tc>
              <w:tc>
                <w:tcPr>
                  <w:tcW w:w="2580" w:type="dxa"/>
                  <w:tcBorders>
                    <w:tl2br w:val="nil"/>
                    <w:tr2bl w:val="nil"/>
                  </w:tcBorders>
                  <w:vAlign w:val="center"/>
                </w:tcPr>
                <w:p>
                  <w:pPr>
                    <w:jc w:val="center"/>
                    <w:rPr>
                      <w:bCs/>
                      <w:color w:val="auto"/>
                      <w:szCs w:val="21"/>
                    </w:rPr>
                  </w:pPr>
                </w:p>
              </w:tc>
              <w:tc>
                <w:tcPr>
                  <w:tcW w:w="1424" w:type="dxa"/>
                  <w:tcBorders>
                    <w:tl2br w:val="nil"/>
                    <w:tr2bl w:val="nil"/>
                  </w:tcBorders>
                  <w:vAlign w:val="center"/>
                </w:tcPr>
                <w:p>
                  <w:pPr>
                    <w:jc w:val="center"/>
                    <w:rPr>
                      <w:bCs/>
                      <w:color w:val="auto"/>
                      <w:szCs w:val="21"/>
                    </w:rPr>
                  </w:pPr>
                </w:p>
              </w:tc>
              <w:tc>
                <w:tcPr>
                  <w:tcW w:w="1659" w:type="dxa"/>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55" w:type="dxa"/>
                  <w:vMerge w:val="restart"/>
                  <w:tcBorders>
                    <w:tl2br w:val="nil"/>
                    <w:tr2bl w:val="nil"/>
                  </w:tcBorders>
                  <w:vAlign w:val="center"/>
                </w:tcPr>
                <w:p>
                  <w:pPr>
                    <w:jc w:val="center"/>
                    <w:rPr>
                      <w:bCs/>
                      <w:color w:val="auto"/>
                      <w:szCs w:val="21"/>
                    </w:rPr>
                  </w:pPr>
                </w:p>
              </w:tc>
              <w:tc>
                <w:tcPr>
                  <w:tcW w:w="1186" w:type="dxa"/>
                  <w:tcBorders>
                    <w:tl2br w:val="nil"/>
                    <w:tr2bl w:val="nil"/>
                  </w:tcBorders>
                  <w:vAlign w:val="center"/>
                </w:tcPr>
                <w:p>
                  <w:pPr>
                    <w:jc w:val="center"/>
                    <w:rPr>
                      <w:bCs/>
                      <w:color w:val="auto"/>
                      <w:szCs w:val="21"/>
                    </w:rPr>
                  </w:pPr>
                </w:p>
              </w:tc>
              <w:tc>
                <w:tcPr>
                  <w:tcW w:w="2580" w:type="dxa"/>
                  <w:tcBorders>
                    <w:tl2br w:val="nil"/>
                    <w:tr2bl w:val="nil"/>
                  </w:tcBorders>
                  <w:vAlign w:val="center"/>
                </w:tcPr>
                <w:p>
                  <w:pPr>
                    <w:jc w:val="center"/>
                    <w:rPr>
                      <w:bCs/>
                      <w:color w:val="auto"/>
                      <w:szCs w:val="21"/>
                    </w:rPr>
                  </w:pPr>
                </w:p>
              </w:tc>
              <w:tc>
                <w:tcPr>
                  <w:tcW w:w="3083" w:type="dxa"/>
                  <w:gridSpan w:val="2"/>
                  <w:tcBorders>
                    <w:tl2br w:val="nil"/>
                    <w:tr2bl w:val="nil"/>
                  </w:tcBorders>
                  <w:vAlign w:val="center"/>
                </w:tcPr>
                <w:p>
                  <w:pPr>
                    <w:jc w:val="center"/>
                    <w:rPr>
                      <w:bCs/>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655" w:type="dxa"/>
                  <w:vMerge w:val="continue"/>
                  <w:tcBorders>
                    <w:tl2br w:val="nil"/>
                    <w:tr2bl w:val="nil"/>
                  </w:tcBorders>
                  <w:vAlign w:val="center"/>
                </w:tcPr>
                <w:p>
                  <w:pPr>
                    <w:jc w:val="center"/>
                    <w:rPr>
                      <w:bCs/>
                      <w:color w:val="auto"/>
                      <w:szCs w:val="21"/>
                    </w:rPr>
                  </w:pPr>
                </w:p>
              </w:tc>
              <w:tc>
                <w:tcPr>
                  <w:tcW w:w="1186" w:type="dxa"/>
                  <w:tcBorders>
                    <w:tl2br w:val="nil"/>
                    <w:tr2bl w:val="nil"/>
                  </w:tcBorders>
                  <w:vAlign w:val="center"/>
                </w:tcPr>
                <w:p>
                  <w:pPr>
                    <w:jc w:val="center"/>
                    <w:rPr>
                      <w:bCs/>
                      <w:color w:val="auto"/>
                      <w:szCs w:val="21"/>
                    </w:rPr>
                  </w:pPr>
                </w:p>
              </w:tc>
              <w:tc>
                <w:tcPr>
                  <w:tcW w:w="2580" w:type="dxa"/>
                  <w:tcBorders>
                    <w:tl2br w:val="nil"/>
                    <w:tr2bl w:val="nil"/>
                  </w:tcBorders>
                  <w:vAlign w:val="center"/>
                </w:tcPr>
                <w:p>
                  <w:pPr>
                    <w:jc w:val="center"/>
                    <w:rPr>
                      <w:bCs/>
                      <w:color w:val="auto"/>
                      <w:szCs w:val="21"/>
                    </w:rPr>
                  </w:pPr>
                </w:p>
              </w:tc>
              <w:tc>
                <w:tcPr>
                  <w:tcW w:w="3083" w:type="dxa"/>
                  <w:gridSpan w:val="2"/>
                  <w:tcBorders>
                    <w:tl2br w:val="nil"/>
                    <w:tr2bl w:val="nil"/>
                  </w:tcBorders>
                  <w:vAlign w:val="center"/>
                </w:tcPr>
                <w:p>
                  <w:pPr>
                    <w:jc w:val="center"/>
                    <w:rPr>
                      <w:bCs/>
                      <w:color w:val="auto"/>
                      <w:szCs w:val="21"/>
                    </w:rPr>
                  </w:pPr>
                </w:p>
              </w:tc>
            </w:tr>
          </w:tbl>
          <w:p>
            <w:pPr>
              <w:pStyle w:val="47"/>
              <w:spacing w:line="360" w:lineRule="auto"/>
              <w:ind w:firstLine="482" w:firstLineChars="200"/>
              <w:jc w:val="both"/>
              <w:rPr>
                <w:color w:val="auto"/>
              </w:rPr>
            </w:pPr>
            <w:r>
              <w:rPr>
                <w:rFonts w:hint="eastAsia"/>
                <w:color w:val="auto"/>
              </w:rPr>
              <w:t>现有项目油墨、溶剂、复合胶主要成分及理化性质</w:t>
            </w:r>
            <w:r>
              <w:rPr>
                <w:color w:val="auto"/>
              </w:rPr>
              <w:t>如下：</w:t>
            </w:r>
          </w:p>
          <w:p>
            <w:pPr>
              <w:pStyle w:val="47"/>
              <w:numPr>
                <w:ilvl w:val="0"/>
                <w:numId w:val="6"/>
              </w:numPr>
              <w:spacing w:line="360" w:lineRule="auto"/>
              <w:ind w:firstLine="480" w:firstLineChars="200"/>
              <w:jc w:val="both"/>
              <w:rPr>
                <w:b w:val="0"/>
                <w:bCs/>
                <w:color w:val="auto"/>
              </w:rPr>
            </w:pPr>
            <w:r>
              <w:rPr>
                <w:rFonts w:hint="eastAsia"/>
                <w:b w:val="0"/>
                <w:bCs/>
                <w:color w:val="auto"/>
              </w:rPr>
              <w:t>油墨：采用的油墨主要成分为聚氨酯型复合油墨，该油墨为使用酯溶型聚氨酯作为主体结构的通用型油墨，适用于高温蒸煮用途的环保型复合油墨，油墨中无苯无酮，需要使用溶剂进行稀释调配。</w:t>
            </w:r>
          </w:p>
          <w:p>
            <w:pPr>
              <w:pStyle w:val="47"/>
              <w:numPr>
                <w:ilvl w:val="0"/>
                <w:numId w:val="6"/>
              </w:numPr>
              <w:spacing w:line="360" w:lineRule="auto"/>
              <w:ind w:firstLine="480" w:firstLineChars="200"/>
              <w:jc w:val="both"/>
              <w:rPr>
                <w:b w:val="0"/>
                <w:bCs/>
                <w:color w:val="auto"/>
              </w:rPr>
            </w:pPr>
            <w:r>
              <w:rPr>
                <w:rFonts w:hint="eastAsia"/>
                <w:b w:val="0"/>
                <w:bCs/>
                <w:color w:val="auto"/>
              </w:rPr>
              <w:t>溶剂：主要含有醋酸乙酯、正丙酯、异丙醇等，溶剂一般根据产品的需要和油墨按一定的比例进行配比使用。</w:t>
            </w:r>
          </w:p>
          <w:p>
            <w:pPr>
              <w:pStyle w:val="47"/>
              <w:numPr>
                <w:ilvl w:val="0"/>
                <w:numId w:val="6"/>
              </w:numPr>
              <w:spacing w:line="360" w:lineRule="auto"/>
              <w:ind w:firstLine="480" w:firstLineChars="200"/>
              <w:jc w:val="both"/>
              <w:rPr>
                <w:b w:val="0"/>
                <w:bCs/>
                <w:color w:val="auto"/>
              </w:rPr>
            </w:pPr>
            <w:r>
              <w:rPr>
                <w:rFonts w:hint="eastAsia"/>
                <w:b w:val="0"/>
                <w:bCs/>
                <w:color w:val="auto"/>
              </w:rPr>
              <w:t>无溶剂复合胶：无溶剂聚氨酯胶粘剂外观性状在常温是一非常粘稠的液体，在加热的情况下为粘度低的可流动液体，能适合无溶剂复合机的涂布。它不同于通常所见到的热熔胶，热溶胶常温为固体，多数为热塑性高分子合成物或天然物组成，而无溶剂聚氨酯胶粘剂多为反应型成分组成。</w:t>
            </w:r>
          </w:p>
          <w:p>
            <w:pPr>
              <w:pStyle w:val="97"/>
              <w:ind w:firstLine="0" w:firstLineChars="0"/>
              <w:rPr>
                <w:b/>
                <w:bCs/>
                <w:color w:val="auto"/>
                <w:sz w:val="28"/>
                <w:szCs w:val="28"/>
              </w:rPr>
            </w:pPr>
            <w:r>
              <w:rPr>
                <w:rFonts w:hint="eastAsia"/>
                <w:b/>
                <w:bCs/>
                <w:color w:val="auto"/>
                <w:sz w:val="28"/>
                <w:szCs w:val="28"/>
              </w:rPr>
              <w:t>2.11.4现有项目主要产品方案</w:t>
            </w:r>
          </w:p>
          <w:p>
            <w:pPr>
              <w:pStyle w:val="48"/>
              <w:ind w:firstLine="480"/>
              <w:rPr>
                <w:color w:val="auto"/>
              </w:rPr>
            </w:pPr>
            <w:r>
              <w:rPr>
                <w:rFonts w:hint="eastAsia"/>
                <w:color w:val="auto"/>
              </w:rPr>
              <w:t>现有</w:t>
            </w:r>
            <w:r>
              <w:rPr>
                <w:color w:val="auto"/>
              </w:rPr>
              <w:t>项目</w:t>
            </w:r>
            <w:r>
              <w:rPr>
                <w:rFonts w:hint="eastAsia"/>
                <w:color w:val="auto"/>
              </w:rPr>
              <w:t>主要</w:t>
            </w:r>
            <w:r>
              <w:rPr>
                <w:color w:val="auto"/>
              </w:rPr>
              <w:t>产品方案详见表</w:t>
            </w:r>
            <w:r>
              <w:rPr>
                <w:b/>
                <w:bCs/>
                <w:color w:val="auto"/>
              </w:rPr>
              <w:t>2.</w:t>
            </w:r>
            <w:r>
              <w:rPr>
                <w:rFonts w:hint="eastAsia"/>
                <w:b/>
                <w:bCs/>
                <w:color w:val="auto"/>
              </w:rPr>
              <w:t>11</w:t>
            </w:r>
            <w:r>
              <w:rPr>
                <w:b/>
                <w:bCs/>
                <w:color w:val="auto"/>
              </w:rPr>
              <w:t>-</w:t>
            </w:r>
            <w:r>
              <w:rPr>
                <w:rFonts w:hint="eastAsia"/>
                <w:b/>
                <w:bCs/>
                <w:color w:val="auto"/>
              </w:rPr>
              <w:t>4</w:t>
            </w:r>
            <w:r>
              <w:rPr>
                <w:color w:val="auto"/>
              </w:rPr>
              <w:t>。</w:t>
            </w:r>
          </w:p>
          <w:p>
            <w:pPr>
              <w:pStyle w:val="47"/>
              <w:rPr>
                <w:color w:val="auto"/>
              </w:rPr>
            </w:pPr>
            <w:r>
              <w:rPr>
                <w:color w:val="auto"/>
              </w:rPr>
              <w:t>表2.</w:t>
            </w:r>
            <w:r>
              <w:rPr>
                <w:rFonts w:hint="eastAsia"/>
                <w:color w:val="auto"/>
              </w:rPr>
              <w:t>11</w:t>
            </w:r>
            <w:r>
              <w:rPr>
                <w:color w:val="auto"/>
              </w:rPr>
              <w:t>-</w:t>
            </w:r>
            <w:r>
              <w:rPr>
                <w:rFonts w:hint="eastAsia"/>
                <w:color w:val="auto"/>
              </w:rPr>
              <w:t>4  现有项目主要</w:t>
            </w:r>
            <w:r>
              <w:rPr>
                <w:color w:val="auto"/>
              </w:rPr>
              <w:t>产品方案一览表</w:t>
            </w:r>
          </w:p>
          <w:tbl>
            <w:tblPr>
              <w:tblStyle w:val="37"/>
              <w:tblW w:w="850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5"/>
              <w:gridCol w:w="2244"/>
              <w:gridCol w:w="1955"/>
              <w:gridCol w:w="36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dxa"/>
                  <w:tcBorders>
                    <w:tl2br w:val="nil"/>
                    <w:tr2bl w:val="nil"/>
                  </w:tcBorders>
                  <w:vAlign w:val="center"/>
                </w:tcPr>
                <w:p>
                  <w:pPr>
                    <w:jc w:val="center"/>
                    <w:rPr>
                      <w:bCs/>
                      <w:color w:val="auto"/>
                      <w:szCs w:val="21"/>
                    </w:rPr>
                  </w:pPr>
                  <w:r>
                    <w:rPr>
                      <w:rFonts w:hint="eastAsia"/>
                      <w:bCs/>
                      <w:color w:val="auto"/>
                      <w:szCs w:val="21"/>
                    </w:rPr>
                    <w:t>序号</w:t>
                  </w:r>
                </w:p>
              </w:tc>
              <w:tc>
                <w:tcPr>
                  <w:tcW w:w="2244" w:type="dxa"/>
                  <w:tcBorders>
                    <w:tl2br w:val="nil"/>
                    <w:tr2bl w:val="nil"/>
                  </w:tcBorders>
                  <w:vAlign w:val="center"/>
                </w:tcPr>
                <w:p>
                  <w:pPr>
                    <w:jc w:val="center"/>
                    <w:rPr>
                      <w:bCs/>
                      <w:color w:val="auto"/>
                      <w:szCs w:val="21"/>
                    </w:rPr>
                  </w:pPr>
                  <w:r>
                    <w:rPr>
                      <w:rFonts w:hint="eastAsia"/>
                      <w:bCs/>
                      <w:color w:val="auto"/>
                      <w:szCs w:val="21"/>
                    </w:rPr>
                    <w:t>产品名称</w:t>
                  </w:r>
                </w:p>
              </w:tc>
              <w:tc>
                <w:tcPr>
                  <w:tcW w:w="1955" w:type="dxa"/>
                  <w:tcBorders>
                    <w:tl2br w:val="nil"/>
                    <w:tr2bl w:val="nil"/>
                  </w:tcBorders>
                  <w:vAlign w:val="center"/>
                </w:tcPr>
                <w:p>
                  <w:pPr>
                    <w:jc w:val="center"/>
                    <w:rPr>
                      <w:bCs/>
                      <w:color w:val="auto"/>
                      <w:szCs w:val="21"/>
                    </w:rPr>
                  </w:pPr>
                  <w:r>
                    <w:rPr>
                      <w:rFonts w:hint="eastAsia"/>
                      <w:bCs/>
                      <w:color w:val="auto"/>
                      <w:szCs w:val="21"/>
                    </w:rPr>
                    <w:t>年产量</w:t>
                  </w:r>
                </w:p>
              </w:tc>
              <w:tc>
                <w:tcPr>
                  <w:tcW w:w="3639" w:type="dxa"/>
                  <w:tcBorders>
                    <w:tl2br w:val="nil"/>
                    <w:tr2bl w:val="nil"/>
                  </w:tcBorders>
                  <w:vAlign w:val="center"/>
                </w:tcPr>
                <w:p>
                  <w:pPr>
                    <w:jc w:val="center"/>
                    <w:rPr>
                      <w:bCs/>
                      <w:color w:val="auto"/>
                      <w:szCs w:val="21"/>
                    </w:rPr>
                  </w:pPr>
                  <w:r>
                    <w:rPr>
                      <w:rFonts w:hint="eastAsia"/>
                      <w:bCs/>
                      <w:color w:val="auto"/>
                      <w:szCs w:val="21"/>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dxa"/>
                  <w:tcBorders>
                    <w:tl2br w:val="nil"/>
                    <w:tr2bl w:val="nil"/>
                  </w:tcBorders>
                  <w:vAlign w:val="center"/>
                </w:tcPr>
                <w:p>
                  <w:pPr>
                    <w:jc w:val="center"/>
                    <w:rPr>
                      <w:bCs/>
                      <w:color w:val="auto"/>
                      <w:szCs w:val="21"/>
                    </w:rPr>
                  </w:pPr>
                  <w:r>
                    <w:rPr>
                      <w:rFonts w:hint="eastAsia"/>
                      <w:bCs/>
                      <w:color w:val="auto"/>
                      <w:szCs w:val="21"/>
                    </w:rPr>
                    <w:t>1</w:t>
                  </w:r>
                </w:p>
              </w:tc>
              <w:tc>
                <w:tcPr>
                  <w:tcW w:w="2244" w:type="dxa"/>
                  <w:tcBorders>
                    <w:tl2br w:val="nil"/>
                    <w:tr2bl w:val="nil"/>
                  </w:tcBorders>
                  <w:vAlign w:val="center"/>
                </w:tcPr>
                <w:p>
                  <w:pPr>
                    <w:jc w:val="center"/>
                    <w:rPr>
                      <w:bCs/>
                      <w:color w:val="auto"/>
                      <w:szCs w:val="21"/>
                    </w:rPr>
                  </w:pPr>
                  <w:r>
                    <w:rPr>
                      <w:rFonts w:hint="eastAsia"/>
                      <w:bCs/>
                      <w:color w:val="auto"/>
                    </w:rPr>
                    <w:t>复合膜</w:t>
                  </w:r>
                </w:p>
              </w:tc>
              <w:tc>
                <w:tcPr>
                  <w:tcW w:w="1955" w:type="dxa"/>
                  <w:tcBorders>
                    <w:tl2br w:val="nil"/>
                    <w:tr2bl w:val="nil"/>
                  </w:tcBorders>
                  <w:vAlign w:val="center"/>
                </w:tcPr>
                <w:p>
                  <w:pPr>
                    <w:jc w:val="center"/>
                    <w:rPr>
                      <w:bCs/>
                      <w:color w:val="auto"/>
                      <w:szCs w:val="21"/>
                    </w:rPr>
                  </w:pPr>
                  <w:r>
                    <w:rPr>
                      <w:rFonts w:hint="eastAsia"/>
                      <w:bCs/>
                      <w:color w:val="auto"/>
                      <w:szCs w:val="21"/>
                    </w:rPr>
                    <w:t>150t</w:t>
                  </w:r>
                </w:p>
              </w:tc>
              <w:tc>
                <w:tcPr>
                  <w:tcW w:w="3639" w:type="dxa"/>
                  <w:tcBorders>
                    <w:tl2br w:val="nil"/>
                    <w:tr2bl w:val="nil"/>
                  </w:tcBorders>
                  <w:vAlign w:val="center"/>
                </w:tcPr>
                <w:p>
                  <w:pPr>
                    <w:jc w:val="center"/>
                    <w:rPr>
                      <w:bCs/>
                      <w:color w:val="auto"/>
                      <w:szCs w:val="21"/>
                    </w:rPr>
                  </w:pPr>
                  <w:r>
                    <w:rPr>
                      <w:rFonts w:hint="eastAsia"/>
                      <w:color w:val="auto"/>
                    </w:rPr>
                    <w:t>按要求规格不一</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5" w:type="dxa"/>
                  <w:tcBorders>
                    <w:tl2br w:val="nil"/>
                    <w:tr2bl w:val="nil"/>
                  </w:tcBorders>
                  <w:vAlign w:val="center"/>
                </w:tcPr>
                <w:p>
                  <w:pPr>
                    <w:jc w:val="center"/>
                    <w:rPr>
                      <w:bCs/>
                      <w:color w:val="auto"/>
                      <w:szCs w:val="21"/>
                    </w:rPr>
                  </w:pPr>
                  <w:r>
                    <w:rPr>
                      <w:rFonts w:hint="eastAsia"/>
                      <w:bCs/>
                      <w:color w:val="auto"/>
                      <w:szCs w:val="21"/>
                    </w:rPr>
                    <w:t>2</w:t>
                  </w:r>
                </w:p>
              </w:tc>
              <w:tc>
                <w:tcPr>
                  <w:tcW w:w="2244" w:type="dxa"/>
                  <w:tcBorders>
                    <w:tl2br w:val="nil"/>
                    <w:tr2bl w:val="nil"/>
                  </w:tcBorders>
                  <w:vAlign w:val="center"/>
                </w:tcPr>
                <w:p>
                  <w:pPr>
                    <w:jc w:val="center"/>
                    <w:rPr>
                      <w:bCs/>
                      <w:color w:val="auto"/>
                      <w:szCs w:val="21"/>
                    </w:rPr>
                  </w:pPr>
                  <w:r>
                    <w:rPr>
                      <w:rFonts w:hint="eastAsia"/>
                      <w:bCs/>
                      <w:color w:val="auto"/>
                    </w:rPr>
                    <w:t>复合袋</w:t>
                  </w:r>
                </w:p>
              </w:tc>
              <w:tc>
                <w:tcPr>
                  <w:tcW w:w="1955" w:type="dxa"/>
                  <w:tcBorders>
                    <w:tl2br w:val="nil"/>
                    <w:tr2bl w:val="nil"/>
                  </w:tcBorders>
                  <w:vAlign w:val="center"/>
                </w:tcPr>
                <w:p>
                  <w:pPr>
                    <w:jc w:val="center"/>
                    <w:rPr>
                      <w:bCs/>
                      <w:color w:val="auto"/>
                      <w:szCs w:val="21"/>
                    </w:rPr>
                  </w:pPr>
                  <w:r>
                    <w:rPr>
                      <w:rFonts w:hint="eastAsia"/>
                      <w:bCs/>
                      <w:color w:val="auto"/>
                      <w:szCs w:val="21"/>
                    </w:rPr>
                    <w:t>150t</w:t>
                  </w:r>
                </w:p>
              </w:tc>
              <w:tc>
                <w:tcPr>
                  <w:tcW w:w="3639" w:type="dxa"/>
                  <w:tcBorders>
                    <w:tl2br w:val="nil"/>
                    <w:tr2bl w:val="nil"/>
                  </w:tcBorders>
                  <w:vAlign w:val="center"/>
                </w:tcPr>
                <w:p>
                  <w:pPr>
                    <w:jc w:val="center"/>
                    <w:rPr>
                      <w:bCs/>
                      <w:color w:val="auto"/>
                      <w:szCs w:val="21"/>
                    </w:rPr>
                  </w:pPr>
                  <w:r>
                    <w:rPr>
                      <w:rFonts w:hint="eastAsia"/>
                      <w:color w:val="auto"/>
                    </w:rPr>
                    <w:t>按要求规格不一</w:t>
                  </w:r>
                </w:p>
              </w:tc>
            </w:tr>
          </w:tbl>
          <w:p>
            <w:pPr>
              <w:pStyle w:val="97"/>
              <w:ind w:firstLine="0" w:firstLineChars="0"/>
              <w:rPr>
                <w:b/>
                <w:bCs/>
                <w:color w:val="auto"/>
                <w:sz w:val="28"/>
                <w:szCs w:val="28"/>
              </w:rPr>
            </w:pPr>
            <w:r>
              <w:rPr>
                <w:rFonts w:hint="eastAsia"/>
                <w:b/>
                <w:bCs/>
                <w:color w:val="auto"/>
                <w:sz w:val="28"/>
                <w:szCs w:val="28"/>
              </w:rPr>
              <w:t>2.11.5现有项目生产工艺流程</w:t>
            </w:r>
          </w:p>
          <w:p>
            <w:pPr>
              <w:pStyle w:val="48"/>
              <w:ind w:firstLine="480"/>
              <w:rPr>
                <w:color w:val="auto"/>
              </w:rPr>
            </w:pPr>
            <w:r>
              <w:rPr>
                <w:rFonts w:hint="eastAsia"/>
                <w:color w:val="auto"/>
              </w:rPr>
              <w:t>现有工程主要产品为复合膜和复合袋，复合膜生产工艺无分切和制袋过程，其余生产过程均一致。工艺流程及产污环节如下图2.11-1。</w:t>
            </w:r>
          </w:p>
          <w:p>
            <w:pPr>
              <w:pStyle w:val="47"/>
              <w:rPr>
                <w:color w:val="auto"/>
              </w:rPr>
            </w:pPr>
            <w:r>
              <w:rPr>
                <w:color w:val="auto"/>
              </w:rPr>
              <w:drawing>
                <wp:inline distT="0" distB="0" distL="114300" distR="114300">
                  <wp:extent cx="5321300" cy="1830705"/>
                  <wp:effectExtent l="0" t="0" r="12700" b="17145"/>
                  <wp:docPr id="1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pic:cNvPicPr>
                            <a:picLocks noChangeAspect="1"/>
                          </pic:cNvPicPr>
                        </pic:nvPicPr>
                        <pic:blipFill>
                          <a:blip r:embed="rId24"/>
                          <a:stretch>
                            <a:fillRect/>
                          </a:stretch>
                        </pic:blipFill>
                        <pic:spPr>
                          <a:xfrm>
                            <a:off x="0" y="0"/>
                            <a:ext cx="5321300" cy="1830705"/>
                          </a:xfrm>
                          <a:prstGeom prst="rect">
                            <a:avLst/>
                          </a:prstGeom>
                          <a:noFill/>
                          <a:ln>
                            <a:noFill/>
                          </a:ln>
                        </pic:spPr>
                      </pic:pic>
                    </a:graphicData>
                  </a:graphic>
                </wp:inline>
              </w:drawing>
            </w:r>
          </w:p>
          <w:p>
            <w:pPr>
              <w:pStyle w:val="78"/>
              <w:ind w:firstLine="0" w:firstLineChars="0"/>
              <w:jc w:val="center"/>
              <w:rPr>
                <w:color w:val="auto"/>
              </w:rPr>
            </w:pPr>
            <w:r>
              <w:rPr>
                <w:rFonts w:hint="eastAsia"/>
                <w:b/>
                <w:bCs/>
                <w:color w:val="auto"/>
                <w:spacing w:val="-1"/>
              </w:rPr>
              <w:t>图2.11-1  生产工艺流程及主要产污环节</w:t>
            </w:r>
            <w:r>
              <w:rPr>
                <w:rFonts w:hint="eastAsia"/>
                <w:b/>
                <w:bCs/>
                <w:color w:val="auto"/>
              </w:rPr>
              <w:t>图</w:t>
            </w:r>
          </w:p>
          <w:p>
            <w:pPr>
              <w:spacing w:line="360" w:lineRule="auto"/>
              <w:ind w:firstLine="474" w:firstLineChars="200"/>
              <w:rPr>
                <w:b/>
                <w:bCs/>
                <w:color w:val="auto"/>
                <w:spacing w:val="-2"/>
                <w:sz w:val="24"/>
              </w:rPr>
            </w:pPr>
            <w:r>
              <w:rPr>
                <w:b/>
                <w:bCs/>
                <w:color w:val="auto"/>
                <w:spacing w:val="-2"/>
                <w:sz w:val="24"/>
              </w:rPr>
              <w:t>工艺流程说明：</w:t>
            </w:r>
          </w:p>
          <w:p>
            <w:pPr>
              <w:pStyle w:val="78"/>
              <w:ind w:firstLine="476"/>
              <w:rPr>
                <w:color w:val="auto"/>
                <w:spacing w:val="-1"/>
                <w:szCs w:val="24"/>
              </w:rPr>
            </w:pPr>
            <w:r>
              <w:rPr>
                <w:rFonts w:hint="eastAsia"/>
                <w:color w:val="auto"/>
                <w:spacing w:val="-1"/>
                <w:szCs w:val="24"/>
              </w:rPr>
              <w:t>（1）油墨调配、印刷及烘干：</w:t>
            </w:r>
            <w:r>
              <w:rPr>
                <w:rFonts w:hint="eastAsia" w:ascii="宋体" w:hAnsi="宋体"/>
                <w:color w:val="auto"/>
                <w:szCs w:val="24"/>
              </w:rPr>
              <w:t>将油墨和溶剂按比例进行稀释调配混合，</w:t>
            </w:r>
            <w:r>
              <w:rPr>
                <w:rFonts w:hint="eastAsia"/>
                <w:color w:val="auto"/>
                <w:spacing w:val="-1"/>
                <w:szCs w:val="24"/>
              </w:rPr>
              <w:t>通过印刷机将油墨（含溶剂）印刷到原料塑料薄膜上，然后热风干燥机（电加热）烘干。更换油墨过程不涉及清洗，无清洗废水产生；此过程会产生油墨调配废气、印刷及烘干有机废气、废油墨桶、废油墨、</w:t>
            </w:r>
            <w:r>
              <w:rPr>
                <w:rFonts w:hint="eastAsia"/>
                <w:color w:val="auto"/>
              </w:rPr>
              <w:t>印刷辊筒擦拭废布</w:t>
            </w:r>
            <w:r>
              <w:rPr>
                <w:rFonts w:hint="eastAsia"/>
                <w:color w:val="auto"/>
                <w:spacing w:val="-1"/>
                <w:szCs w:val="24"/>
              </w:rPr>
              <w:t>以及噪声。</w:t>
            </w:r>
          </w:p>
          <w:p>
            <w:pPr>
              <w:pStyle w:val="78"/>
              <w:ind w:firstLine="476"/>
              <w:rPr>
                <w:color w:val="auto"/>
                <w:spacing w:val="-1"/>
                <w:szCs w:val="24"/>
              </w:rPr>
            </w:pPr>
            <w:r>
              <w:rPr>
                <w:rFonts w:hint="eastAsia"/>
                <w:color w:val="auto"/>
                <w:spacing w:val="-1"/>
                <w:szCs w:val="24"/>
              </w:rPr>
              <w:t>（2）复合及烘干：通过在复合机中加入酯溶型聚氨酯粘合剂，将印刷后的塑料薄膜粘合在一起，然后热风干燥机（电加热）烘干；此过程会产生复合及烘干有机废气、废粘合剂桶、废粘合剂以及噪声。</w:t>
            </w:r>
          </w:p>
          <w:p>
            <w:pPr>
              <w:pStyle w:val="78"/>
              <w:ind w:firstLine="476"/>
              <w:rPr>
                <w:color w:val="auto"/>
                <w:spacing w:val="-1"/>
                <w:szCs w:val="24"/>
              </w:rPr>
            </w:pPr>
            <w:r>
              <w:rPr>
                <w:rFonts w:hint="eastAsia"/>
                <w:color w:val="auto"/>
                <w:spacing w:val="-1"/>
                <w:szCs w:val="24"/>
              </w:rPr>
              <w:t>（3）熟化、冷却：在塑料薄膜复合后，进入</w:t>
            </w:r>
            <w:r>
              <w:rPr>
                <w:rFonts w:hint="eastAsia"/>
                <w:color w:val="auto"/>
                <w:spacing w:val="-1"/>
                <w:szCs w:val="24"/>
                <w:highlight w:val="none"/>
              </w:rPr>
              <w:t>熟化</w:t>
            </w:r>
            <w:r>
              <w:rPr>
                <w:rFonts w:hint="eastAsia"/>
                <w:color w:val="auto"/>
                <w:spacing w:val="-1"/>
                <w:szCs w:val="24"/>
                <w:highlight w:val="none"/>
                <w:lang w:val="en-US" w:eastAsia="zh-CN"/>
              </w:rPr>
              <w:t>箱</w:t>
            </w:r>
            <w:r>
              <w:rPr>
                <w:rFonts w:hint="eastAsia"/>
                <w:color w:val="auto"/>
                <w:spacing w:val="-1"/>
                <w:szCs w:val="24"/>
              </w:rPr>
              <w:t>将熟化一定的时间，确保复合薄膜干燥，同时确保附着的有机溶剂挥发完全，然后进行冷却；此过程会产生有机废气。</w:t>
            </w:r>
          </w:p>
          <w:p>
            <w:pPr>
              <w:pStyle w:val="78"/>
              <w:ind w:firstLine="476"/>
              <w:rPr>
                <w:color w:val="auto"/>
                <w:spacing w:val="-1"/>
                <w:szCs w:val="24"/>
              </w:rPr>
            </w:pPr>
            <w:r>
              <w:rPr>
                <w:rFonts w:hint="eastAsia"/>
                <w:color w:val="auto"/>
                <w:spacing w:val="-1"/>
                <w:szCs w:val="24"/>
              </w:rPr>
              <w:t>（4）分切、制袋：熟化后的复合薄膜先用分切机进行分条，再采用高速制袋机制袋成型；此过程会产生废边角料、噪声。</w:t>
            </w:r>
          </w:p>
          <w:p>
            <w:pPr>
              <w:pStyle w:val="78"/>
              <w:ind w:firstLine="476"/>
              <w:rPr>
                <w:color w:val="auto"/>
                <w:spacing w:val="-1"/>
                <w:szCs w:val="24"/>
              </w:rPr>
            </w:pPr>
            <w:r>
              <w:rPr>
                <w:rFonts w:hint="eastAsia"/>
                <w:color w:val="auto"/>
                <w:spacing w:val="-1"/>
                <w:szCs w:val="24"/>
              </w:rPr>
              <w:t>（5）检测、包装、成品入库：产品进行检测、包装、入库；此过程会产生不合格品。</w:t>
            </w:r>
          </w:p>
          <w:p>
            <w:pPr>
              <w:pStyle w:val="97"/>
              <w:ind w:firstLine="0" w:firstLineChars="0"/>
              <w:rPr>
                <w:b/>
                <w:bCs/>
                <w:color w:val="auto"/>
                <w:sz w:val="28"/>
                <w:szCs w:val="28"/>
              </w:rPr>
            </w:pPr>
            <w:r>
              <w:rPr>
                <w:rFonts w:hint="eastAsia"/>
                <w:b/>
                <w:bCs/>
                <w:color w:val="auto"/>
                <w:sz w:val="28"/>
                <w:szCs w:val="28"/>
              </w:rPr>
              <w:t>2.11.6现有项目</w:t>
            </w:r>
            <w:r>
              <w:rPr>
                <w:b/>
                <w:bCs/>
                <w:color w:val="auto"/>
                <w:sz w:val="28"/>
                <w:szCs w:val="28"/>
              </w:rPr>
              <w:t>产污环节</w:t>
            </w:r>
            <w:r>
              <w:rPr>
                <w:rFonts w:hint="eastAsia"/>
                <w:b/>
                <w:bCs/>
                <w:color w:val="auto"/>
                <w:sz w:val="28"/>
                <w:szCs w:val="28"/>
              </w:rPr>
              <w:t>及治理措施</w:t>
            </w:r>
          </w:p>
          <w:p>
            <w:pPr>
              <w:pStyle w:val="103"/>
              <w:ind w:left="0" w:leftChars="0" w:firstLineChars="300"/>
              <w:rPr>
                <w:color w:val="auto"/>
              </w:rPr>
            </w:pPr>
            <w:r>
              <w:rPr>
                <w:rFonts w:hint="eastAsia"/>
                <w:color w:val="auto"/>
              </w:rPr>
              <w:t>现有</w:t>
            </w:r>
            <w:r>
              <w:rPr>
                <w:color w:val="auto"/>
              </w:rPr>
              <w:t>项目运营期产污环节</w:t>
            </w:r>
            <w:r>
              <w:rPr>
                <w:rFonts w:hint="eastAsia"/>
                <w:color w:val="auto"/>
              </w:rPr>
              <w:t>及治理措施详见表</w:t>
            </w:r>
            <w:r>
              <w:rPr>
                <w:rFonts w:hint="eastAsia"/>
                <w:b/>
                <w:bCs/>
                <w:color w:val="auto"/>
              </w:rPr>
              <w:t>2.11-5</w:t>
            </w:r>
            <w:r>
              <w:rPr>
                <w:rFonts w:hint="eastAsia"/>
                <w:color w:val="auto"/>
              </w:rPr>
              <w:t>。</w:t>
            </w:r>
          </w:p>
          <w:p>
            <w:pPr>
              <w:pStyle w:val="47"/>
              <w:rPr>
                <w:bCs/>
                <w:color w:val="auto"/>
              </w:rPr>
            </w:pPr>
            <w:r>
              <w:rPr>
                <w:bCs/>
                <w:color w:val="auto"/>
              </w:rPr>
              <w:t>表2.</w:t>
            </w:r>
            <w:r>
              <w:rPr>
                <w:rFonts w:hint="eastAsia"/>
                <w:bCs/>
                <w:color w:val="auto"/>
              </w:rPr>
              <w:t>11</w:t>
            </w:r>
            <w:r>
              <w:rPr>
                <w:bCs/>
                <w:color w:val="auto"/>
              </w:rPr>
              <w:t>-</w:t>
            </w:r>
            <w:r>
              <w:rPr>
                <w:rFonts w:hint="eastAsia"/>
                <w:bCs/>
                <w:color w:val="auto"/>
              </w:rPr>
              <w:t>5  现有</w:t>
            </w:r>
            <w:r>
              <w:rPr>
                <w:bCs/>
                <w:color w:val="auto"/>
              </w:rPr>
              <w:t>项目运营期产污环节及治理措施一览表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465"/>
              <w:gridCol w:w="3225"/>
              <w:gridCol w:w="2115"/>
              <w:gridCol w:w="26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tcBorders>
                    <w:tl2br w:val="nil"/>
                    <w:tr2bl w:val="nil"/>
                  </w:tcBorders>
                  <w:vAlign w:val="center"/>
                </w:tcPr>
                <w:p>
                  <w:pPr>
                    <w:pStyle w:val="154"/>
                    <w:rPr>
                      <w:color w:val="auto"/>
                      <w:szCs w:val="21"/>
                    </w:rPr>
                  </w:pPr>
                  <w:r>
                    <w:rPr>
                      <w:color w:val="auto"/>
                      <w:szCs w:val="21"/>
                    </w:rPr>
                    <w:t>类别</w:t>
                  </w:r>
                </w:p>
              </w:tc>
              <w:tc>
                <w:tcPr>
                  <w:tcW w:w="3225" w:type="dxa"/>
                  <w:tcBorders>
                    <w:tl2br w:val="nil"/>
                    <w:tr2bl w:val="nil"/>
                  </w:tcBorders>
                  <w:vAlign w:val="center"/>
                </w:tcPr>
                <w:p>
                  <w:pPr>
                    <w:pStyle w:val="154"/>
                    <w:rPr>
                      <w:color w:val="auto"/>
                      <w:szCs w:val="21"/>
                    </w:rPr>
                  </w:pPr>
                  <w:r>
                    <w:rPr>
                      <w:color w:val="auto"/>
                      <w:szCs w:val="21"/>
                    </w:rPr>
                    <w:t>污染源</w:t>
                  </w:r>
                </w:p>
              </w:tc>
              <w:tc>
                <w:tcPr>
                  <w:tcW w:w="2115" w:type="dxa"/>
                  <w:tcBorders>
                    <w:tl2br w:val="nil"/>
                    <w:tr2bl w:val="nil"/>
                  </w:tcBorders>
                  <w:vAlign w:val="center"/>
                </w:tcPr>
                <w:p>
                  <w:pPr>
                    <w:pStyle w:val="154"/>
                    <w:rPr>
                      <w:color w:val="auto"/>
                      <w:szCs w:val="21"/>
                    </w:rPr>
                  </w:pPr>
                  <w:r>
                    <w:rPr>
                      <w:color w:val="auto"/>
                      <w:szCs w:val="21"/>
                    </w:rPr>
                    <w:t>污染物</w:t>
                  </w:r>
                </w:p>
              </w:tc>
              <w:tc>
                <w:tcPr>
                  <w:tcW w:w="2699" w:type="dxa"/>
                  <w:tcBorders>
                    <w:tl2br w:val="nil"/>
                    <w:tr2bl w:val="nil"/>
                  </w:tcBorders>
                  <w:vAlign w:val="center"/>
                </w:tcPr>
                <w:p>
                  <w:pPr>
                    <w:pStyle w:val="154"/>
                    <w:rPr>
                      <w:color w:val="auto"/>
                      <w:szCs w:val="21"/>
                    </w:rPr>
                  </w:pPr>
                  <w:r>
                    <w:rPr>
                      <w:color w:val="auto"/>
                      <w:szCs w:val="21"/>
                    </w:rPr>
                    <w:t>治理措施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tcBorders>
                    <w:tl2br w:val="nil"/>
                    <w:tr2bl w:val="nil"/>
                  </w:tcBorders>
                  <w:vAlign w:val="center"/>
                </w:tcPr>
                <w:p>
                  <w:pPr>
                    <w:pStyle w:val="154"/>
                    <w:rPr>
                      <w:color w:val="auto"/>
                      <w:szCs w:val="21"/>
                    </w:rPr>
                  </w:pPr>
                  <w:r>
                    <w:rPr>
                      <w:color w:val="auto"/>
                      <w:szCs w:val="21"/>
                    </w:rPr>
                    <w:t>废水</w:t>
                  </w:r>
                </w:p>
              </w:tc>
              <w:tc>
                <w:tcPr>
                  <w:tcW w:w="3225" w:type="dxa"/>
                  <w:tcBorders>
                    <w:tl2br w:val="nil"/>
                    <w:tr2bl w:val="nil"/>
                  </w:tcBorders>
                  <w:vAlign w:val="center"/>
                </w:tcPr>
                <w:p>
                  <w:pPr>
                    <w:pStyle w:val="154"/>
                    <w:rPr>
                      <w:color w:val="auto"/>
                      <w:szCs w:val="21"/>
                    </w:rPr>
                  </w:pPr>
                  <w:r>
                    <w:rPr>
                      <w:rFonts w:hint="eastAsia"/>
                      <w:color w:val="auto"/>
                      <w:szCs w:val="21"/>
                    </w:rPr>
                    <w:t>生活污水</w:t>
                  </w:r>
                </w:p>
              </w:tc>
              <w:tc>
                <w:tcPr>
                  <w:tcW w:w="2115" w:type="dxa"/>
                  <w:tcBorders>
                    <w:tl2br w:val="nil"/>
                    <w:tr2bl w:val="nil"/>
                  </w:tcBorders>
                  <w:vAlign w:val="center"/>
                </w:tcPr>
                <w:p>
                  <w:pPr>
                    <w:pStyle w:val="154"/>
                    <w:rPr>
                      <w:color w:val="auto"/>
                      <w:szCs w:val="21"/>
                    </w:rPr>
                  </w:pPr>
                  <w:r>
                    <w:rPr>
                      <w:rFonts w:hint="eastAsia"/>
                      <w:color w:val="auto"/>
                      <w:szCs w:val="21"/>
                    </w:rPr>
                    <w:t>pH、CODcr、BOD</w:t>
                  </w:r>
                  <w:r>
                    <w:rPr>
                      <w:rFonts w:hint="eastAsia"/>
                      <w:color w:val="auto"/>
                      <w:szCs w:val="21"/>
                      <w:vertAlign w:val="subscript"/>
                    </w:rPr>
                    <w:t>5</w:t>
                  </w:r>
                  <w:r>
                    <w:rPr>
                      <w:rFonts w:hint="eastAsia"/>
                      <w:color w:val="auto"/>
                      <w:szCs w:val="21"/>
                    </w:rPr>
                    <w:t>、SS、氨氮</w:t>
                  </w:r>
                </w:p>
              </w:tc>
              <w:tc>
                <w:tcPr>
                  <w:tcW w:w="2699" w:type="dxa"/>
                  <w:tcBorders>
                    <w:tl2br w:val="nil"/>
                    <w:tr2bl w:val="nil"/>
                  </w:tcBorders>
                  <w:vAlign w:val="center"/>
                </w:tcPr>
                <w:p>
                  <w:pPr>
                    <w:pStyle w:val="154"/>
                    <w:rPr>
                      <w:color w:val="auto"/>
                      <w:szCs w:val="21"/>
                    </w:rPr>
                  </w:pPr>
                  <w:r>
                    <w:rPr>
                      <w:rFonts w:hint="eastAsia"/>
                      <w:color w:val="auto"/>
                      <w:szCs w:val="21"/>
                    </w:rPr>
                    <w:t>经化粪池处理后通过市政污水管网纳入长乐亚新污水处理厂深度处理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tcBorders>
                    <w:tl2br w:val="nil"/>
                    <w:tr2bl w:val="nil"/>
                  </w:tcBorders>
                  <w:vAlign w:val="center"/>
                </w:tcPr>
                <w:p>
                  <w:pPr>
                    <w:pStyle w:val="154"/>
                    <w:rPr>
                      <w:color w:val="auto"/>
                      <w:szCs w:val="21"/>
                    </w:rPr>
                  </w:pPr>
                  <w:r>
                    <w:rPr>
                      <w:rFonts w:hint="eastAsia"/>
                      <w:color w:val="auto"/>
                      <w:szCs w:val="21"/>
                    </w:rPr>
                    <w:t>废气</w:t>
                  </w:r>
                </w:p>
              </w:tc>
              <w:tc>
                <w:tcPr>
                  <w:tcW w:w="3225" w:type="dxa"/>
                  <w:tcBorders>
                    <w:tl2br w:val="nil"/>
                    <w:tr2bl w:val="nil"/>
                  </w:tcBorders>
                  <w:vAlign w:val="center"/>
                </w:tcPr>
                <w:p>
                  <w:pPr>
                    <w:pStyle w:val="154"/>
                    <w:rPr>
                      <w:rFonts w:hint="eastAsia" w:eastAsia="宋体"/>
                      <w:color w:val="auto"/>
                      <w:szCs w:val="21"/>
                      <w:lang w:val="en-US" w:eastAsia="zh-CN"/>
                    </w:rPr>
                  </w:pPr>
                  <w:r>
                    <w:rPr>
                      <w:rFonts w:hint="eastAsia"/>
                      <w:color w:val="auto"/>
                      <w:szCs w:val="21"/>
                    </w:rPr>
                    <w:t>油墨调配废气、</w:t>
                  </w:r>
                  <w:r>
                    <w:rPr>
                      <w:color w:val="auto"/>
                      <w:szCs w:val="21"/>
                    </w:rPr>
                    <w:t>印刷</w:t>
                  </w:r>
                  <w:r>
                    <w:rPr>
                      <w:rFonts w:hint="eastAsia"/>
                      <w:color w:val="auto"/>
                      <w:szCs w:val="21"/>
                    </w:rPr>
                    <w:t>及烘干</w:t>
                  </w:r>
                  <w:r>
                    <w:rPr>
                      <w:color w:val="auto"/>
                      <w:szCs w:val="21"/>
                    </w:rPr>
                    <w:t>废气</w:t>
                  </w:r>
                  <w:r>
                    <w:rPr>
                      <w:rFonts w:hint="eastAsia"/>
                      <w:color w:val="auto"/>
                      <w:szCs w:val="21"/>
                    </w:rPr>
                    <w:t>、粘合剂调配废气、复合及烘干废气</w:t>
                  </w:r>
                  <w:r>
                    <w:rPr>
                      <w:rFonts w:hint="eastAsia"/>
                      <w:color w:val="auto"/>
                      <w:szCs w:val="21"/>
                      <w:lang w:eastAsia="zh-CN"/>
                    </w:rPr>
                    <w:t>、</w:t>
                  </w:r>
                  <w:r>
                    <w:rPr>
                      <w:rFonts w:hint="eastAsia"/>
                      <w:color w:val="auto"/>
                    </w:rPr>
                    <w:t>熟化废气</w:t>
                  </w:r>
                </w:p>
              </w:tc>
              <w:tc>
                <w:tcPr>
                  <w:tcW w:w="2115" w:type="dxa"/>
                  <w:tcBorders>
                    <w:tl2br w:val="nil"/>
                    <w:tr2bl w:val="nil"/>
                  </w:tcBorders>
                  <w:vAlign w:val="center"/>
                </w:tcPr>
                <w:p>
                  <w:pPr>
                    <w:pStyle w:val="154"/>
                    <w:rPr>
                      <w:color w:val="auto"/>
                      <w:szCs w:val="21"/>
                    </w:rPr>
                  </w:pPr>
                  <w:r>
                    <w:rPr>
                      <w:color w:val="auto"/>
                      <w:szCs w:val="21"/>
                    </w:rPr>
                    <w:t>非甲烷总烃</w:t>
                  </w:r>
                </w:p>
              </w:tc>
              <w:tc>
                <w:tcPr>
                  <w:tcW w:w="2699" w:type="dxa"/>
                  <w:tcBorders>
                    <w:tl2br w:val="nil"/>
                    <w:tr2bl w:val="nil"/>
                  </w:tcBorders>
                  <w:vAlign w:val="center"/>
                </w:tcPr>
                <w:p>
                  <w:pPr>
                    <w:pStyle w:val="154"/>
                    <w:rPr>
                      <w:color w:val="auto"/>
                      <w:szCs w:val="21"/>
                    </w:rPr>
                  </w:pPr>
                  <w:r>
                    <w:rPr>
                      <w:rFonts w:hint="eastAsia"/>
                      <w:color w:val="auto"/>
                      <w:spacing w:val="-2"/>
                      <w:szCs w:val="21"/>
                    </w:rPr>
                    <w:t>收集后采用</w:t>
                  </w:r>
                  <w:r>
                    <w:rPr>
                      <w:rStyle w:val="180"/>
                      <w:rFonts w:hint="default" w:ascii="Times New Roman"/>
                      <w:color w:val="auto"/>
                      <w:sz w:val="21"/>
                      <w:szCs w:val="21"/>
                    </w:rPr>
                    <w:t>活性炭</w:t>
                  </w:r>
                  <w:r>
                    <w:rPr>
                      <w:rFonts w:hint="eastAsia"/>
                      <w:color w:val="auto"/>
                      <w:spacing w:val="-2"/>
                      <w:szCs w:val="21"/>
                    </w:rPr>
                    <w:t>吸附装置处理后通过15m排气筒高空排放</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tcBorders>
                    <w:tl2br w:val="nil"/>
                    <w:tr2bl w:val="nil"/>
                  </w:tcBorders>
                  <w:vAlign w:val="center"/>
                </w:tcPr>
                <w:p>
                  <w:pPr>
                    <w:pStyle w:val="154"/>
                    <w:rPr>
                      <w:color w:val="auto"/>
                      <w:szCs w:val="21"/>
                    </w:rPr>
                  </w:pPr>
                  <w:r>
                    <w:rPr>
                      <w:color w:val="auto"/>
                      <w:szCs w:val="21"/>
                    </w:rPr>
                    <w:t>噪声</w:t>
                  </w:r>
                </w:p>
              </w:tc>
              <w:tc>
                <w:tcPr>
                  <w:tcW w:w="3225" w:type="dxa"/>
                  <w:tcBorders>
                    <w:tl2br w:val="nil"/>
                    <w:tr2bl w:val="nil"/>
                  </w:tcBorders>
                  <w:vAlign w:val="center"/>
                </w:tcPr>
                <w:p>
                  <w:pPr>
                    <w:pStyle w:val="154"/>
                    <w:rPr>
                      <w:color w:val="auto"/>
                      <w:szCs w:val="21"/>
                    </w:rPr>
                  </w:pPr>
                  <w:r>
                    <w:rPr>
                      <w:rFonts w:hint="eastAsia"/>
                      <w:color w:val="auto"/>
                      <w:szCs w:val="21"/>
                    </w:rPr>
                    <w:t>印刷机、复合机、分切机、制袋机等设备</w:t>
                  </w:r>
                </w:p>
              </w:tc>
              <w:tc>
                <w:tcPr>
                  <w:tcW w:w="2115" w:type="dxa"/>
                  <w:tcBorders>
                    <w:tl2br w:val="nil"/>
                    <w:tr2bl w:val="nil"/>
                  </w:tcBorders>
                  <w:vAlign w:val="center"/>
                </w:tcPr>
                <w:p>
                  <w:pPr>
                    <w:pStyle w:val="154"/>
                    <w:rPr>
                      <w:color w:val="auto"/>
                      <w:szCs w:val="21"/>
                    </w:rPr>
                  </w:pPr>
                  <w:r>
                    <w:rPr>
                      <w:color w:val="auto"/>
                      <w:szCs w:val="21"/>
                    </w:rPr>
                    <w:t>Leq</w:t>
                  </w:r>
                </w:p>
              </w:tc>
              <w:tc>
                <w:tcPr>
                  <w:tcW w:w="2699" w:type="dxa"/>
                  <w:tcBorders>
                    <w:tl2br w:val="nil"/>
                    <w:tr2bl w:val="nil"/>
                  </w:tcBorders>
                  <w:vAlign w:val="center"/>
                </w:tcPr>
                <w:p>
                  <w:pPr>
                    <w:pStyle w:val="154"/>
                    <w:rPr>
                      <w:color w:val="auto"/>
                      <w:szCs w:val="21"/>
                    </w:rPr>
                  </w:pPr>
                  <w:r>
                    <w:rPr>
                      <w:rFonts w:hint="eastAsia"/>
                      <w:color w:val="auto"/>
                      <w:szCs w:val="21"/>
                    </w:rPr>
                    <w:t>高噪声</w:t>
                  </w:r>
                  <w:r>
                    <w:rPr>
                      <w:color w:val="auto"/>
                      <w:szCs w:val="21"/>
                    </w:rPr>
                    <w:t>设备基础减振</w:t>
                  </w:r>
                  <w:r>
                    <w:rPr>
                      <w:rFonts w:hint="eastAsia"/>
                      <w:color w:val="auto"/>
                      <w:szCs w:val="21"/>
                    </w:rPr>
                    <w:t>、消声、隔声</w:t>
                  </w:r>
                  <w:r>
                    <w:rPr>
                      <w:color w:val="auto"/>
                      <w:szCs w:val="21"/>
                    </w:rPr>
                    <w:t>等综合降噪措施</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restart"/>
                  <w:tcBorders>
                    <w:tl2br w:val="nil"/>
                    <w:tr2bl w:val="nil"/>
                  </w:tcBorders>
                  <w:vAlign w:val="center"/>
                </w:tcPr>
                <w:p>
                  <w:pPr>
                    <w:pStyle w:val="154"/>
                    <w:rPr>
                      <w:color w:val="auto"/>
                      <w:szCs w:val="21"/>
                    </w:rPr>
                  </w:pPr>
                  <w:r>
                    <w:rPr>
                      <w:color w:val="auto"/>
                      <w:szCs w:val="21"/>
                    </w:rPr>
                    <w:t>固废</w:t>
                  </w:r>
                </w:p>
              </w:tc>
              <w:tc>
                <w:tcPr>
                  <w:tcW w:w="3225" w:type="dxa"/>
                  <w:tcBorders>
                    <w:tl2br w:val="nil"/>
                    <w:tr2bl w:val="nil"/>
                  </w:tcBorders>
                  <w:vAlign w:val="center"/>
                </w:tcPr>
                <w:p>
                  <w:pPr>
                    <w:pStyle w:val="154"/>
                    <w:rPr>
                      <w:color w:val="auto"/>
                    </w:rPr>
                  </w:pPr>
                  <w:r>
                    <w:rPr>
                      <w:rFonts w:hint="eastAsia"/>
                      <w:color w:val="auto"/>
                    </w:rPr>
                    <w:t>外购原料拆包过程</w:t>
                  </w:r>
                </w:p>
              </w:tc>
              <w:tc>
                <w:tcPr>
                  <w:tcW w:w="2115" w:type="dxa"/>
                  <w:tcBorders>
                    <w:tl2br w:val="nil"/>
                    <w:tr2bl w:val="nil"/>
                  </w:tcBorders>
                  <w:vAlign w:val="center"/>
                </w:tcPr>
                <w:p>
                  <w:pPr>
                    <w:pStyle w:val="154"/>
                    <w:rPr>
                      <w:color w:val="auto"/>
                    </w:rPr>
                  </w:pPr>
                  <w:r>
                    <w:rPr>
                      <w:rFonts w:hint="eastAsia"/>
                      <w:color w:val="auto"/>
                    </w:rPr>
                    <w:t>废包装材料</w:t>
                  </w:r>
                </w:p>
              </w:tc>
              <w:tc>
                <w:tcPr>
                  <w:tcW w:w="2699" w:type="dxa"/>
                  <w:vMerge w:val="restart"/>
                  <w:tcBorders>
                    <w:tl2br w:val="nil"/>
                    <w:tr2bl w:val="nil"/>
                  </w:tcBorders>
                  <w:vAlign w:val="center"/>
                </w:tcPr>
                <w:p>
                  <w:pPr>
                    <w:pStyle w:val="154"/>
                    <w:rPr>
                      <w:color w:val="auto"/>
                      <w:szCs w:val="21"/>
                    </w:rPr>
                  </w:pPr>
                  <w:r>
                    <w:rPr>
                      <w:color w:val="auto"/>
                      <w:szCs w:val="21"/>
                    </w:rPr>
                    <w:t>收集后暂存于一般固废</w:t>
                  </w:r>
                  <w:r>
                    <w:rPr>
                      <w:rFonts w:hint="eastAsia"/>
                      <w:color w:val="auto"/>
                      <w:szCs w:val="21"/>
                    </w:rPr>
                    <w:t>仓库</w:t>
                  </w:r>
                  <w:r>
                    <w:rPr>
                      <w:color w:val="auto"/>
                      <w:szCs w:val="21"/>
                    </w:rPr>
                    <w:t>，定期</w:t>
                  </w:r>
                  <w:r>
                    <w:rPr>
                      <w:rFonts w:hint="eastAsia"/>
                      <w:color w:val="auto"/>
                      <w:szCs w:val="21"/>
                    </w:rPr>
                    <w:t>由废品回收公司回收处理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continue"/>
                  <w:tcBorders>
                    <w:tl2br w:val="nil"/>
                    <w:tr2bl w:val="nil"/>
                  </w:tcBorders>
                  <w:vAlign w:val="center"/>
                </w:tcPr>
                <w:p>
                  <w:pPr>
                    <w:pStyle w:val="154"/>
                    <w:rPr>
                      <w:color w:val="auto"/>
                      <w:szCs w:val="21"/>
                    </w:rPr>
                  </w:pPr>
                </w:p>
              </w:tc>
              <w:tc>
                <w:tcPr>
                  <w:tcW w:w="3225" w:type="dxa"/>
                  <w:tcBorders>
                    <w:tl2br w:val="nil"/>
                    <w:tr2bl w:val="nil"/>
                  </w:tcBorders>
                  <w:vAlign w:val="center"/>
                </w:tcPr>
                <w:p>
                  <w:pPr>
                    <w:pStyle w:val="154"/>
                    <w:rPr>
                      <w:color w:val="auto"/>
                    </w:rPr>
                  </w:pPr>
                  <w:r>
                    <w:rPr>
                      <w:rFonts w:hint="eastAsia"/>
                      <w:color w:val="auto"/>
                    </w:rPr>
                    <w:t>分切、制袋过程</w:t>
                  </w:r>
                </w:p>
              </w:tc>
              <w:tc>
                <w:tcPr>
                  <w:tcW w:w="2115" w:type="dxa"/>
                  <w:tcBorders>
                    <w:tl2br w:val="nil"/>
                    <w:tr2bl w:val="nil"/>
                  </w:tcBorders>
                  <w:vAlign w:val="center"/>
                </w:tcPr>
                <w:p>
                  <w:pPr>
                    <w:pStyle w:val="154"/>
                    <w:rPr>
                      <w:color w:val="auto"/>
                    </w:rPr>
                  </w:pPr>
                  <w:r>
                    <w:rPr>
                      <w:rFonts w:hint="eastAsia"/>
                      <w:color w:val="auto"/>
                    </w:rPr>
                    <w:t>废边角料</w:t>
                  </w:r>
                </w:p>
              </w:tc>
              <w:tc>
                <w:tcPr>
                  <w:tcW w:w="2699"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continue"/>
                  <w:tcBorders>
                    <w:tl2br w:val="nil"/>
                    <w:tr2bl w:val="nil"/>
                  </w:tcBorders>
                  <w:vAlign w:val="center"/>
                </w:tcPr>
                <w:p>
                  <w:pPr>
                    <w:pStyle w:val="154"/>
                    <w:rPr>
                      <w:color w:val="auto"/>
                      <w:szCs w:val="21"/>
                    </w:rPr>
                  </w:pPr>
                </w:p>
              </w:tc>
              <w:tc>
                <w:tcPr>
                  <w:tcW w:w="3225" w:type="dxa"/>
                  <w:tcBorders>
                    <w:tl2br w:val="nil"/>
                    <w:tr2bl w:val="nil"/>
                  </w:tcBorders>
                  <w:vAlign w:val="center"/>
                </w:tcPr>
                <w:p>
                  <w:pPr>
                    <w:pStyle w:val="154"/>
                    <w:rPr>
                      <w:rFonts w:hint="default" w:eastAsia="宋体"/>
                      <w:color w:val="auto"/>
                      <w:lang w:val="en-US" w:eastAsia="zh-CN"/>
                    </w:rPr>
                  </w:pPr>
                  <w:r>
                    <w:rPr>
                      <w:rFonts w:hint="eastAsia"/>
                      <w:color w:val="auto"/>
                      <w:lang w:val="en-US" w:eastAsia="zh-CN"/>
                    </w:rPr>
                    <w:t>检验过程</w:t>
                  </w:r>
                </w:p>
              </w:tc>
              <w:tc>
                <w:tcPr>
                  <w:tcW w:w="2115" w:type="dxa"/>
                  <w:tcBorders>
                    <w:tl2br w:val="nil"/>
                    <w:tr2bl w:val="nil"/>
                  </w:tcBorders>
                  <w:vAlign w:val="center"/>
                </w:tcPr>
                <w:p>
                  <w:pPr>
                    <w:pStyle w:val="154"/>
                    <w:rPr>
                      <w:rFonts w:hint="eastAsia" w:eastAsia="宋体"/>
                      <w:color w:val="auto"/>
                      <w:lang w:val="en-US" w:eastAsia="zh-CN"/>
                    </w:rPr>
                  </w:pPr>
                  <w:r>
                    <w:rPr>
                      <w:rFonts w:hint="eastAsia"/>
                      <w:color w:val="auto"/>
                      <w:lang w:val="en-US" w:eastAsia="zh-CN"/>
                    </w:rPr>
                    <w:t>不合格品</w:t>
                  </w:r>
                </w:p>
              </w:tc>
              <w:tc>
                <w:tcPr>
                  <w:tcW w:w="2699"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continue"/>
                  <w:tcBorders>
                    <w:tl2br w:val="nil"/>
                    <w:tr2bl w:val="nil"/>
                  </w:tcBorders>
                  <w:vAlign w:val="center"/>
                </w:tcPr>
                <w:p>
                  <w:pPr>
                    <w:pStyle w:val="154"/>
                    <w:rPr>
                      <w:color w:val="auto"/>
                      <w:szCs w:val="21"/>
                    </w:rPr>
                  </w:pPr>
                </w:p>
              </w:tc>
              <w:tc>
                <w:tcPr>
                  <w:tcW w:w="3225" w:type="dxa"/>
                  <w:vMerge w:val="restart"/>
                  <w:tcBorders>
                    <w:tl2br w:val="nil"/>
                    <w:tr2bl w:val="nil"/>
                  </w:tcBorders>
                  <w:vAlign w:val="center"/>
                </w:tcPr>
                <w:p>
                  <w:pPr>
                    <w:pStyle w:val="154"/>
                    <w:rPr>
                      <w:color w:val="auto"/>
                    </w:rPr>
                  </w:pPr>
                  <w:r>
                    <w:rPr>
                      <w:rFonts w:hint="eastAsia"/>
                      <w:color w:val="auto"/>
                      <w:lang w:val="en-US" w:eastAsia="zh-CN"/>
                    </w:rPr>
                    <w:t>油墨调配、</w:t>
                  </w:r>
                  <w:r>
                    <w:rPr>
                      <w:rFonts w:hint="eastAsia"/>
                      <w:color w:val="auto"/>
                    </w:rPr>
                    <w:t>印刷</w:t>
                  </w:r>
                  <w:r>
                    <w:rPr>
                      <w:rFonts w:hint="eastAsia"/>
                      <w:color w:val="auto"/>
                      <w:lang w:eastAsia="zh-CN"/>
                    </w:rPr>
                    <w:t>、</w:t>
                  </w:r>
                  <w:r>
                    <w:rPr>
                      <w:rFonts w:hint="eastAsia"/>
                      <w:color w:val="auto"/>
                      <w:lang w:val="en-US" w:eastAsia="zh-CN"/>
                    </w:rPr>
                    <w:t>复合</w:t>
                  </w:r>
                  <w:r>
                    <w:rPr>
                      <w:rFonts w:hint="eastAsia"/>
                      <w:color w:val="auto"/>
                    </w:rPr>
                    <w:t>过程</w:t>
                  </w:r>
                </w:p>
              </w:tc>
              <w:tc>
                <w:tcPr>
                  <w:tcW w:w="2115" w:type="dxa"/>
                  <w:tcBorders>
                    <w:tl2br w:val="nil"/>
                    <w:tr2bl w:val="nil"/>
                  </w:tcBorders>
                  <w:vAlign w:val="center"/>
                </w:tcPr>
                <w:p>
                  <w:pPr>
                    <w:pStyle w:val="154"/>
                    <w:rPr>
                      <w:color w:val="auto"/>
                    </w:rPr>
                  </w:pPr>
                  <w:r>
                    <w:rPr>
                      <w:rFonts w:hint="eastAsia"/>
                      <w:color w:val="auto"/>
                    </w:rPr>
                    <w:t>废溶剂桶</w:t>
                  </w:r>
                </w:p>
              </w:tc>
              <w:tc>
                <w:tcPr>
                  <w:tcW w:w="2699" w:type="dxa"/>
                  <w:tcBorders>
                    <w:tl2br w:val="nil"/>
                    <w:tr2bl w:val="nil"/>
                  </w:tcBorders>
                  <w:vAlign w:val="center"/>
                </w:tcPr>
                <w:p>
                  <w:pPr>
                    <w:pStyle w:val="154"/>
                    <w:rPr>
                      <w:rFonts w:hint="default" w:eastAsia="宋体"/>
                      <w:color w:val="auto"/>
                      <w:szCs w:val="21"/>
                      <w:lang w:val="en-US" w:eastAsia="zh-CN"/>
                    </w:rPr>
                  </w:pPr>
                  <w:r>
                    <w:rPr>
                      <w:color w:val="auto"/>
                      <w:szCs w:val="21"/>
                    </w:rPr>
                    <w:t>分类收集暂存</w:t>
                  </w:r>
                  <w:r>
                    <w:rPr>
                      <w:rFonts w:hint="eastAsia"/>
                      <w:color w:val="auto"/>
                      <w:szCs w:val="21"/>
                    </w:rPr>
                    <w:t>于</w:t>
                  </w:r>
                  <w:r>
                    <w:rPr>
                      <w:color w:val="auto"/>
                      <w:szCs w:val="21"/>
                    </w:rPr>
                    <w:t>危废</w:t>
                  </w:r>
                  <w:r>
                    <w:rPr>
                      <w:rFonts w:hint="eastAsia"/>
                      <w:color w:val="auto"/>
                      <w:szCs w:val="21"/>
                    </w:rPr>
                    <w:t>仓库，由</w:t>
                  </w:r>
                  <w:r>
                    <w:rPr>
                      <w:rFonts w:hint="eastAsia"/>
                      <w:color w:val="auto"/>
                      <w:szCs w:val="21"/>
                      <w:lang w:val="en-US" w:eastAsia="zh-CN"/>
                    </w:rPr>
                    <w:t>供应商回收重复利用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continue"/>
                  <w:tcBorders>
                    <w:tl2br w:val="nil"/>
                    <w:tr2bl w:val="nil"/>
                  </w:tcBorders>
                  <w:vAlign w:val="center"/>
                </w:tcPr>
                <w:p>
                  <w:pPr>
                    <w:pStyle w:val="154"/>
                    <w:rPr>
                      <w:color w:val="auto"/>
                      <w:szCs w:val="21"/>
                    </w:rPr>
                  </w:pPr>
                </w:p>
              </w:tc>
              <w:tc>
                <w:tcPr>
                  <w:tcW w:w="3225" w:type="dxa"/>
                  <w:vMerge w:val="continue"/>
                  <w:tcBorders>
                    <w:tl2br w:val="nil"/>
                    <w:tr2bl w:val="nil"/>
                  </w:tcBorders>
                  <w:vAlign w:val="center"/>
                </w:tcPr>
                <w:p>
                  <w:pPr>
                    <w:pStyle w:val="154"/>
                    <w:rPr>
                      <w:color w:val="auto"/>
                    </w:rPr>
                  </w:pPr>
                </w:p>
              </w:tc>
              <w:tc>
                <w:tcPr>
                  <w:tcW w:w="2115" w:type="dxa"/>
                  <w:tcBorders>
                    <w:tl2br w:val="nil"/>
                    <w:tr2bl w:val="nil"/>
                  </w:tcBorders>
                  <w:vAlign w:val="center"/>
                </w:tcPr>
                <w:p>
                  <w:pPr>
                    <w:pStyle w:val="154"/>
                    <w:rPr>
                      <w:color w:val="auto"/>
                    </w:rPr>
                  </w:pPr>
                  <w:r>
                    <w:rPr>
                      <w:rFonts w:hint="eastAsia"/>
                      <w:color w:val="auto"/>
                    </w:rPr>
                    <w:t>废油墨桶、废粘合剂桶</w:t>
                  </w:r>
                </w:p>
              </w:tc>
              <w:tc>
                <w:tcPr>
                  <w:tcW w:w="2699" w:type="dxa"/>
                  <w:vMerge w:val="restart"/>
                  <w:tcBorders>
                    <w:tl2br w:val="nil"/>
                    <w:tr2bl w:val="nil"/>
                  </w:tcBorders>
                  <w:vAlign w:val="center"/>
                </w:tcPr>
                <w:p>
                  <w:pPr>
                    <w:pStyle w:val="154"/>
                    <w:rPr>
                      <w:color w:val="auto"/>
                      <w:szCs w:val="21"/>
                    </w:rPr>
                  </w:pPr>
                  <w:r>
                    <w:rPr>
                      <w:color w:val="auto"/>
                      <w:szCs w:val="21"/>
                    </w:rPr>
                    <w:t>收集暂存</w:t>
                  </w:r>
                  <w:r>
                    <w:rPr>
                      <w:rFonts w:hint="eastAsia"/>
                      <w:color w:val="auto"/>
                      <w:szCs w:val="21"/>
                    </w:rPr>
                    <w:t>于</w:t>
                  </w:r>
                  <w:r>
                    <w:rPr>
                      <w:color w:val="auto"/>
                      <w:szCs w:val="21"/>
                    </w:rPr>
                    <w:t>危废</w:t>
                  </w:r>
                  <w:r>
                    <w:rPr>
                      <w:rFonts w:hint="eastAsia"/>
                      <w:color w:val="auto"/>
                      <w:szCs w:val="21"/>
                    </w:rPr>
                    <w:t>仓库，定期</w:t>
                  </w:r>
                  <w:r>
                    <w:rPr>
                      <w:color w:val="auto"/>
                      <w:szCs w:val="21"/>
                    </w:rPr>
                    <w:t>委托有</w:t>
                  </w:r>
                  <w:r>
                    <w:rPr>
                      <w:rFonts w:hint="eastAsia"/>
                      <w:color w:val="auto"/>
                      <w:szCs w:val="21"/>
                    </w:rPr>
                    <w:t>危废</w:t>
                  </w:r>
                  <w:r>
                    <w:rPr>
                      <w:color w:val="auto"/>
                      <w:szCs w:val="21"/>
                    </w:rPr>
                    <w:t>资质单位</w:t>
                  </w:r>
                  <w:r>
                    <w:rPr>
                      <w:rFonts w:hint="eastAsia"/>
                      <w:color w:val="auto"/>
                      <w:szCs w:val="21"/>
                    </w:rPr>
                    <w:t>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continue"/>
                  <w:tcBorders>
                    <w:tl2br w:val="nil"/>
                    <w:tr2bl w:val="nil"/>
                  </w:tcBorders>
                  <w:vAlign w:val="center"/>
                </w:tcPr>
                <w:p>
                  <w:pPr>
                    <w:pStyle w:val="154"/>
                    <w:rPr>
                      <w:color w:val="auto"/>
                      <w:szCs w:val="21"/>
                    </w:rPr>
                  </w:pPr>
                </w:p>
              </w:tc>
              <w:tc>
                <w:tcPr>
                  <w:tcW w:w="3225" w:type="dxa"/>
                  <w:tcBorders>
                    <w:tl2br w:val="nil"/>
                    <w:tr2bl w:val="nil"/>
                  </w:tcBorders>
                  <w:vAlign w:val="center"/>
                </w:tcPr>
                <w:p>
                  <w:pPr>
                    <w:pStyle w:val="154"/>
                    <w:rPr>
                      <w:rFonts w:hint="eastAsia"/>
                      <w:color w:val="auto"/>
                    </w:rPr>
                  </w:pPr>
                  <w:r>
                    <w:rPr>
                      <w:rFonts w:hint="eastAsia"/>
                      <w:color w:val="auto"/>
                    </w:rPr>
                    <w:t>复合</w:t>
                  </w:r>
                </w:p>
              </w:tc>
              <w:tc>
                <w:tcPr>
                  <w:tcW w:w="2115" w:type="dxa"/>
                  <w:tcBorders>
                    <w:tl2br w:val="nil"/>
                    <w:tr2bl w:val="nil"/>
                  </w:tcBorders>
                  <w:vAlign w:val="center"/>
                </w:tcPr>
                <w:p>
                  <w:pPr>
                    <w:pStyle w:val="154"/>
                    <w:rPr>
                      <w:rFonts w:hint="eastAsia"/>
                      <w:color w:val="auto"/>
                    </w:rPr>
                  </w:pPr>
                  <w:r>
                    <w:rPr>
                      <w:rFonts w:hint="eastAsia"/>
                      <w:color w:val="auto"/>
                    </w:rPr>
                    <w:t>废粘合剂</w:t>
                  </w:r>
                </w:p>
              </w:tc>
              <w:tc>
                <w:tcPr>
                  <w:tcW w:w="2699"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continue"/>
                  <w:tcBorders>
                    <w:tl2br w:val="nil"/>
                    <w:tr2bl w:val="nil"/>
                  </w:tcBorders>
                  <w:vAlign w:val="center"/>
                </w:tcPr>
                <w:p>
                  <w:pPr>
                    <w:pStyle w:val="154"/>
                    <w:rPr>
                      <w:color w:val="auto"/>
                      <w:szCs w:val="21"/>
                    </w:rPr>
                  </w:pPr>
                </w:p>
              </w:tc>
              <w:tc>
                <w:tcPr>
                  <w:tcW w:w="3225" w:type="dxa"/>
                  <w:tcBorders>
                    <w:tl2br w:val="nil"/>
                    <w:tr2bl w:val="nil"/>
                  </w:tcBorders>
                  <w:vAlign w:val="center"/>
                </w:tcPr>
                <w:p>
                  <w:pPr>
                    <w:pStyle w:val="154"/>
                    <w:rPr>
                      <w:color w:val="auto"/>
                    </w:rPr>
                  </w:pPr>
                  <w:r>
                    <w:rPr>
                      <w:rFonts w:hint="eastAsia"/>
                      <w:color w:val="auto"/>
                    </w:rPr>
                    <w:t>印刷</w:t>
                  </w:r>
                </w:p>
              </w:tc>
              <w:tc>
                <w:tcPr>
                  <w:tcW w:w="2115" w:type="dxa"/>
                  <w:tcBorders>
                    <w:tl2br w:val="nil"/>
                    <w:tr2bl w:val="nil"/>
                  </w:tcBorders>
                  <w:vAlign w:val="center"/>
                </w:tcPr>
                <w:p>
                  <w:pPr>
                    <w:pStyle w:val="154"/>
                    <w:rPr>
                      <w:color w:val="auto"/>
                    </w:rPr>
                  </w:pPr>
                  <w:r>
                    <w:rPr>
                      <w:rFonts w:hint="eastAsia"/>
                      <w:color w:val="auto"/>
                    </w:rPr>
                    <w:t>废油墨</w:t>
                  </w:r>
                </w:p>
              </w:tc>
              <w:tc>
                <w:tcPr>
                  <w:tcW w:w="2699"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continue"/>
                  <w:tcBorders>
                    <w:tl2br w:val="nil"/>
                    <w:tr2bl w:val="nil"/>
                  </w:tcBorders>
                  <w:vAlign w:val="center"/>
                </w:tcPr>
                <w:p>
                  <w:pPr>
                    <w:pStyle w:val="154"/>
                    <w:rPr>
                      <w:color w:val="auto"/>
                      <w:szCs w:val="21"/>
                    </w:rPr>
                  </w:pPr>
                </w:p>
              </w:tc>
              <w:tc>
                <w:tcPr>
                  <w:tcW w:w="3225" w:type="dxa"/>
                  <w:tcBorders>
                    <w:tl2br w:val="nil"/>
                    <w:tr2bl w:val="nil"/>
                  </w:tcBorders>
                  <w:vAlign w:val="center"/>
                </w:tcPr>
                <w:p>
                  <w:pPr>
                    <w:pStyle w:val="154"/>
                    <w:rPr>
                      <w:color w:val="auto"/>
                    </w:rPr>
                  </w:pPr>
                  <w:r>
                    <w:rPr>
                      <w:rFonts w:hint="eastAsia"/>
                      <w:color w:val="auto"/>
                    </w:rPr>
                    <w:t>有机废气处理设施</w:t>
                  </w:r>
                </w:p>
              </w:tc>
              <w:tc>
                <w:tcPr>
                  <w:tcW w:w="2115" w:type="dxa"/>
                  <w:tcBorders>
                    <w:tl2br w:val="nil"/>
                    <w:tr2bl w:val="nil"/>
                  </w:tcBorders>
                  <w:vAlign w:val="center"/>
                </w:tcPr>
                <w:p>
                  <w:pPr>
                    <w:pStyle w:val="154"/>
                    <w:rPr>
                      <w:color w:val="auto"/>
                    </w:rPr>
                  </w:pPr>
                  <w:r>
                    <w:rPr>
                      <w:rFonts w:hint="eastAsia"/>
                      <w:color w:val="auto"/>
                    </w:rPr>
                    <w:t>废活性炭</w:t>
                  </w:r>
                </w:p>
              </w:tc>
              <w:tc>
                <w:tcPr>
                  <w:tcW w:w="2699"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continue"/>
                  <w:tcBorders>
                    <w:tl2br w:val="nil"/>
                    <w:tr2bl w:val="nil"/>
                  </w:tcBorders>
                  <w:vAlign w:val="center"/>
                </w:tcPr>
                <w:p>
                  <w:pPr>
                    <w:pStyle w:val="154"/>
                    <w:rPr>
                      <w:color w:val="auto"/>
                      <w:szCs w:val="21"/>
                    </w:rPr>
                  </w:pPr>
                </w:p>
              </w:tc>
              <w:tc>
                <w:tcPr>
                  <w:tcW w:w="3225" w:type="dxa"/>
                  <w:tcBorders>
                    <w:tl2br w:val="nil"/>
                    <w:tr2bl w:val="nil"/>
                  </w:tcBorders>
                  <w:vAlign w:val="center"/>
                </w:tcPr>
                <w:p>
                  <w:pPr>
                    <w:pStyle w:val="154"/>
                    <w:rPr>
                      <w:color w:val="auto"/>
                    </w:rPr>
                  </w:pPr>
                  <w:r>
                    <w:rPr>
                      <w:rFonts w:hint="eastAsia"/>
                      <w:color w:val="auto"/>
                    </w:rPr>
                    <w:t>印刷换色、换单、维护</w:t>
                  </w:r>
                </w:p>
              </w:tc>
              <w:tc>
                <w:tcPr>
                  <w:tcW w:w="2115" w:type="dxa"/>
                  <w:tcBorders>
                    <w:tl2br w:val="nil"/>
                    <w:tr2bl w:val="nil"/>
                  </w:tcBorders>
                  <w:vAlign w:val="center"/>
                </w:tcPr>
                <w:p>
                  <w:pPr>
                    <w:pStyle w:val="154"/>
                    <w:rPr>
                      <w:color w:val="auto"/>
                    </w:rPr>
                  </w:pPr>
                  <w:r>
                    <w:rPr>
                      <w:rFonts w:hint="eastAsia"/>
                      <w:color w:val="auto"/>
                    </w:rPr>
                    <w:t>印刷辊筒擦拭废布</w:t>
                  </w:r>
                </w:p>
              </w:tc>
              <w:tc>
                <w:tcPr>
                  <w:tcW w:w="2699"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465" w:type="dxa"/>
                  <w:vMerge w:val="continue"/>
                  <w:tcBorders>
                    <w:tl2br w:val="nil"/>
                    <w:tr2bl w:val="nil"/>
                  </w:tcBorders>
                  <w:vAlign w:val="center"/>
                </w:tcPr>
                <w:p>
                  <w:pPr>
                    <w:pStyle w:val="154"/>
                    <w:rPr>
                      <w:color w:val="auto"/>
                      <w:szCs w:val="21"/>
                    </w:rPr>
                  </w:pPr>
                </w:p>
              </w:tc>
              <w:tc>
                <w:tcPr>
                  <w:tcW w:w="3225" w:type="dxa"/>
                  <w:tcBorders>
                    <w:tl2br w:val="nil"/>
                    <w:tr2bl w:val="nil"/>
                  </w:tcBorders>
                  <w:vAlign w:val="center"/>
                </w:tcPr>
                <w:p>
                  <w:pPr>
                    <w:pStyle w:val="154"/>
                    <w:rPr>
                      <w:color w:val="auto"/>
                      <w:szCs w:val="21"/>
                    </w:rPr>
                  </w:pPr>
                  <w:r>
                    <w:rPr>
                      <w:color w:val="auto"/>
                      <w:szCs w:val="21"/>
                    </w:rPr>
                    <w:t>职工</w:t>
                  </w:r>
                  <w:r>
                    <w:rPr>
                      <w:rFonts w:hint="eastAsia"/>
                      <w:color w:val="auto"/>
                      <w:szCs w:val="21"/>
                    </w:rPr>
                    <w:t>生活</w:t>
                  </w:r>
                </w:p>
              </w:tc>
              <w:tc>
                <w:tcPr>
                  <w:tcW w:w="2115" w:type="dxa"/>
                  <w:tcBorders>
                    <w:tl2br w:val="nil"/>
                    <w:tr2bl w:val="nil"/>
                  </w:tcBorders>
                  <w:vAlign w:val="center"/>
                </w:tcPr>
                <w:p>
                  <w:pPr>
                    <w:pStyle w:val="154"/>
                    <w:rPr>
                      <w:color w:val="auto"/>
                      <w:szCs w:val="21"/>
                    </w:rPr>
                  </w:pPr>
                  <w:r>
                    <w:rPr>
                      <w:rFonts w:hint="eastAsia"/>
                      <w:color w:val="auto"/>
                      <w:szCs w:val="21"/>
                    </w:rPr>
                    <w:t>生活垃圾</w:t>
                  </w:r>
                </w:p>
              </w:tc>
              <w:tc>
                <w:tcPr>
                  <w:tcW w:w="2699" w:type="dxa"/>
                  <w:tcBorders>
                    <w:tl2br w:val="nil"/>
                    <w:tr2bl w:val="nil"/>
                  </w:tcBorders>
                  <w:vAlign w:val="center"/>
                </w:tcPr>
                <w:p>
                  <w:pPr>
                    <w:pStyle w:val="154"/>
                    <w:rPr>
                      <w:color w:val="auto"/>
                      <w:szCs w:val="21"/>
                    </w:rPr>
                  </w:pPr>
                  <w:r>
                    <w:rPr>
                      <w:color w:val="auto"/>
                      <w:szCs w:val="21"/>
                    </w:rPr>
                    <w:t>委托</w:t>
                  </w:r>
                  <w:r>
                    <w:rPr>
                      <w:rFonts w:hint="eastAsia"/>
                      <w:color w:val="auto"/>
                      <w:szCs w:val="21"/>
                    </w:rPr>
                    <w:t>当地</w:t>
                  </w:r>
                  <w:r>
                    <w:rPr>
                      <w:color w:val="auto"/>
                      <w:szCs w:val="21"/>
                    </w:rPr>
                    <w:t>环卫部门清运处置</w:t>
                  </w:r>
                </w:p>
              </w:tc>
            </w:tr>
          </w:tbl>
          <w:p>
            <w:pPr>
              <w:pStyle w:val="97"/>
              <w:ind w:firstLine="0" w:firstLineChars="0"/>
              <w:rPr>
                <w:b/>
                <w:bCs/>
                <w:color w:val="auto"/>
                <w:sz w:val="28"/>
                <w:szCs w:val="28"/>
              </w:rPr>
            </w:pPr>
            <w:r>
              <w:rPr>
                <w:rFonts w:hint="eastAsia"/>
                <w:b/>
                <w:bCs/>
                <w:color w:val="auto"/>
                <w:sz w:val="28"/>
                <w:szCs w:val="28"/>
              </w:rPr>
              <w:t>2.11.7现有项目污染物排放情况</w:t>
            </w:r>
          </w:p>
          <w:p>
            <w:pPr>
              <w:kinsoku w:val="0"/>
              <w:overflowPunct w:val="0"/>
              <w:topLinePunct/>
              <w:adjustRightInd w:val="0"/>
              <w:spacing w:line="360" w:lineRule="auto"/>
              <w:ind w:firstLine="480" w:firstLineChars="200"/>
              <w:rPr>
                <w:snapToGrid w:val="0"/>
                <w:color w:val="auto"/>
                <w:sz w:val="24"/>
              </w:rPr>
            </w:pPr>
            <w:r>
              <w:rPr>
                <w:bCs/>
                <w:color w:val="auto"/>
                <w:sz w:val="24"/>
              </w:rPr>
              <w:t>根据现场调查，结合</w:t>
            </w:r>
            <w:r>
              <w:rPr>
                <w:rFonts w:hint="eastAsia"/>
                <w:bCs/>
                <w:color w:val="auto"/>
                <w:sz w:val="24"/>
              </w:rPr>
              <w:t>现有项目环境影响报告表、竣工环境保护验收报告</w:t>
            </w:r>
            <w:r>
              <w:rPr>
                <w:bCs/>
                <w:color w:val="auto"/>
                <w:sz w:val="24"/>
              </w:rPr>
              <w:t>，对现有</w:t>
            </w:r>
            <w:r>
              <w:rPr>
                <w:rFonts w:hint="eastAsia"/>
                <w:bCs/>
                <w:color w:val="auto"/>
                <w:sz w:val="24"/>
              </w:rPr>
              <w:t>项目</w:t>
            </w:r>
            <w:r>
              <w:rPr>
                <w:bCs/>
                <w:color w:val="auto"/>
                <w:sz w:val="24"/>
              </w:rPr>
              <w:t>污染物排放进行</w:t>
            </w:r>
            <w:r>
              <w:rPr>
                <w:rFonts w:hint="eastAsia"/>
                <w:bCs/>
                <w:color w:val="auto"/>
                <w:sz w:val="24"/>
              </w:rPr>
              <w:t>汇总</w:t>
            </w:r>
            <w:r>
              <w:rPr>
                <w:bCs/>
                <w:color w:val="auto"/>
                <w:sz w:val="24"/>
              </w:rPr>
              <w:t>。</w:t>
            </w:r>
            <w:r>
              <w:rPr>
                <w:rFonts w:hint="eastAsia"/>
                <w:snapToGrid w:val="0"/>
                <w:color w:val="auto"/>
                <w:sz w:val="24"/>
              </w:rPr>
              <w:t>具体详见</w:t>
            </w:r>
            <w:r>
              <w:rPr>
                <w:snapToGrid w:val="0"/>
                <w:color w:val="auto"/>
                <w:sz w:val="24"/>
              </w:rPr>
              <w:t>表</w:t>
            </w:r>
            <w:r>
              <w:rPr>
                <w:rFonts w:hint="eastAsia"/>
                <w:b/>
                <w:bCs/>
                <w:snapToGrid w:val="0"/>
                <w:color w:val="auto"/>
                <w:sz w:val="24"/>
              </w:rPr>
              <w:t>2.11-6</w:t>
            </w:r>
            <w:r>
              <w:rPr>
                <w:rFonts w:hint="eastAsia"/>
                <w:snapToGrid w:val="0"/>
                <w:color w:val="auto"/>
                <w:sz w:val="24"/>
              </w:rPr>
              <w:t>。</w:t>
            </w:r>
          </w:p>
          <w:p>
            <w:pPr>
              <w:keepNext/>
              <w:keepLines/>
              <w:jc w:val="center"/>
              <w:rPr>
                <w:b/>
                <w:bCs/>
                <w:color w:val="auto"/>
                <w:sz w:val="24"/>
              </w:rPr>
            </w:pPr>
            <w:r>
              <w:rPr>
                <w:rFonts w:hint="eastAsia"/>
                <w:b/>
                <w:bCs/>
                <w:color w:val="auto"/>
                <w:sz w:val="24"/>
              </w:rPr>
              <w:t>表2.11-6  现有项目污染物产排情况汇总表</w:t>
            </w:r>
          </w:p>
          <w:tbl>
            <w:tblPr>
              <w:tblStyle w:val="179"/>
              <w:tblW w:w="8504"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026"/>
              <w:gridCol w:w="2238"/>
              <w:gridCol w:w="773"/>
              <w:gridCol w:w="1300"/>
              <w:gridCol w:w="1522"/>
              <w:gridCol w:w="1645"/>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tcBorders>
                    <w:tl2br w:val="nil"/>
                    <w:tr2bl w:val="nil"/>
                  </w:tcBorders>
                  <w:vAlign w:val="center"/>
                </w:tcPr>
                <w:p>
                  <w:pPr>
                    <w:pStyle w:val="154"/>
                    <w:rPr>
                      <w:color w:val="auto"/>
                      <w:szCs w:val="21"/>
                    </w:rPr>
                  </w:pPr>
                  <w:r>
                    <w:rPr>
                      <w:color w:val="auto"/>
                      <w:szCs w:val="21"/>
                    </w:rPr>
                    <w:t>种类</w:t>
                  </w:r>
                </w:p>
              </w:tc>
              <w:tc>
                <w:tcPr>
                  <w:tcW w:w="2238" w:type="dxa"/>
                  <w:tcBorders>
                    <w:tl2br w:val="nil"/>
                    <w:tr2bl w:val="nil"/>
                  </w:tcBorders>
                  <w:vAlign w:val="center"/>
                </w:tcPr>
                <w:p>
                  <w:pPr>
                    <w:pStyle w:val="154"/>
                    <w:rPr>
                      <w:color w:val="auto"/>
                      <w:szCs w:val="21"/>
                    </w:rPr>
                  </w:pPr>
                  <w:r>
                    <w:rPr>
                      <w:color w:val="auto"/>
                      <w:szCs w:val="21"/>
                    </w:rPr>
                    <w:t>污染物名称</w:t>
                  </w:r>
                </w:p>
              </w:tc>
              <w:tc>
                <w:tcPr>
                  <w:tcW w:w="773" w:type="dxa"/>
                  <w:tcBorders>
                    <w:tl2br w:val="nil"/>
                    <w:tr2bl w:val="nil"/>
                  </w:tcBorders>
                  <w:vAlign w:val="center"/>
                </w:tcPr>
                <w:p>
                  <w:pPr>
                    <w:pStyle w:val="154"/>
                    <w:rPr>
                      <w:color w:val="auto"/>
                      <w:szCs w:val="21"/>
                    </w:rPr>
                  </w:pPr>
                  <w:r>
                    <w:rPr>
                      <w:color w:val="auto"/>
                      <w:szCs w:val="21"/>
                    </w:rPr>
                    <w:t>单位</w:t>
                  </w:r>
                </w:p>
              </w:tc>
              <w:tc>
                <w:tcPr>
                  <w:tcW w:w="1300" w:type="dxa"/>
                  <w:tcBorders>
                    <w:tl2br w:val="nil"/>
                    <w:tr2bl w:val="nil"/>
                  </w:tcBorders>
                  <w:vAlign w:val="center"/>
                </w:tcPr>
                <w:p>
                  <w:pPr>
                    <w:pStyle w:val="154"/>
                    <w:rPr>
                      <w:color w:val="auto"/>
                      <w:szCs w:val="21"/>
                    </w:rPr>
                  </w:pPr>
                  <w:r>
                    <w:rPr>
                      <w:color w:val="auto"/>
                      <w:szCs w:val="21"/>
                    </w:rPr>
                    <w:t>产生量</w:t>
                  </w:r>
                </w:p>
              </w:tc>
              <w:tc>
                <w:tcPr>
                  <w:tcW w:w="1522" w:type="dxa"/>
                  <w:tcBorders>
                    <w:tl2br w:val="nil"/>
                    <w:tr2bl w:val="nil"/>
                  </w:tcBorders>
                  <w:vAlign w:val="center"/>
                </w:tcPr>
                <w:p>
                  <w:pPr>
                    <w:pStyle w:val="154"/>
                    <w:rPr>
                      <w:color w:val="auto"/>
                      <w:szCs w:val="21"/>
                    </w:rPr>
                  </w:pPr>
                  <w:r>
                    <w:rPr>
                      <w:color w:val="auto"/>
                      <w:szCs w:val="21"/>
                    </w:rPr>
                    <w:t>削减量</w:t>
                  </w:r>
                </w:p>
              </w:tc>
              <w:tc>
                <w:tcPr>
                  <w:tcW w:w="1645" w:type="dxa"/>
                  <w:tcBorders>
                    <w:tl2br w:val="nil"/>
                    <w:tr2bl w:val="nil"/>
                  </w:tcBorders>
                  <w:vAlign w:val="center"/>
                </w:tcPr>
                <w:p>
                  <w:pPr>
                    <w:pStyle w:val="154"/>
                    <w:rPr>
                      <w:color w:val="auto"/>
                      <w:szCs w:val="21"/>
                    </w:rPr>
                  </w:pPr>
                  <w:r>
                    <w:rPr>
                      <w:color w:val="auto"/>
                      <w:szCs w:val="21"/>
                    </w:rPr>
                    <w:t>排放量</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restart"/>
                  <w:tcBorders>
                    <w:tl2br w:val="nil"/>
                    <w:tr2bl w:val="nil"/>
                  </w:tcBorders>
                  <w:vAlign w:val="center"/>
                </w:tcPr>
                <w:p>
                  <w:pPr>
                    <w:pStyle w:val="154"/>
                    <w:rPr>
                      <w:color w:val="auto"/>
                      <w:szCs w:val="21"/>
                    </w:rPr>
                  </w:pPr>
                  <w:r>
                    <w:rPr>
                      <w:color w:val="auto"/>
                      <w:szCs w:val="21"/>
                    </w:rPr>
                    <w:t>大气</w:t>
                  </w:r>
                </w:p>
                <w:p>
                  <w:pPr>
                    <w:pStyle w:val="154"/>
                    <w:rPr>
                      <w:color w:val="auto"/>
                      <w:szCs w:val="21"/>
                    </w:rPr>
                  </w:pPr>
                  <w:r>
                    <w:rPr>
                      <w:color w:val="auto"/>
                      <w:szCs w:val="21"/>
                    </w:rPr>
                    <w:t>污染物</w:t>
                  </w:r>
                </w:p>
              </w:tc>
              <w:tc>
                <w:tcPr>
                  <w:tcW w:w="2238" w:type="dxa"/>
                  <w:tcBorders>
                    <w:tl2br w:val="nil"/>
                    <w:tr2bl w:val="nil"/>
                  </w:tcBorders>
                  <w:vAlign w:val="center"/>
                </w:tcPr>
                <w:p>
                  <w:pPr>
                    <w:pStyle w:val="154"/>
                    <w:rPr>
                      <w:color w:val="auto"/>
                      <w:szCs w:val="21"/>
                    </w:rPr>
                  </w:pPr>
                  <w:r>
                    <w:rPr>
                      <w:color w:val="auto"/>
                      <w:szCs w:val="21"/>
                    </w:rPr>
                    <w:t>废气量</w:t>
                  </w:r>
                </w:p>
              </w:tc>
              <w:tc>
                <w:tcPr>
                  <w:tcW w:w="773" w:type="dxa"/>
                  <w:tcBorders>
                    <w:tl2br w:val="nil"/>
                    <w:tr2bl w:val="nil"/>
                  </w:tcBorders>
                  <w:vAlign w:val="center"/>
                </w:tcPr>
                <w:p>
                  <w:pPr>
                    <w:pStyle w:val="154"/>
                    <w:rPr>
                      <w:color w:val="auto"/>
                      <w:szCs w:val="21"/>
                    </w:rPr>
                  </w:pPr>
                  <w:r>
                    <w:rPr>
                      <w:color w:val="auto"/>
                      <w:szCs w:val="21"/>
                    </w:rPr>
                    <w:t>m</w:t>
                  </w:r>
                  <w:r>
                    <w:rPr>
                      <w:color w:val="auto"/>
                      <w:szCs w:val="21"/>
                      <w:vertAlign w:val="superscript"/>
                    </w:rPr>
                    <w:t>3</w:t>
                  </w:r>
                  <w:r>
                    <w:rPr>
                      <w:color w:val="auto"/>
                      <w:szCs w:val="21"/>
                    </w:rPr>
                    <w:t>/a</w:t>
                  </w:r>
                </w:p>
              </w:tc>
              <w:tc>
                <w:tcPr>
                  <w:tcW w:w="1300" w:type="dxa"/>
                  <w:tcBorders>
                    <w:tl2br w:val="nil"/>
                    <w:tr2bl w:val="nil"/>
                  </w:tcBorders>
                  <w:vAlign w:val="center"/>
                </w:tcPr>
                <w:p>
                  <w:pPr>
                    <w:pStyle w:val="154"/>
                    <w:rPr>
                      <w:color w:val="auto"/>
                      <w:szCs w:val="21"/>
                    </w:rPr>
                  </w:pPr>
                  <w:r>
                    <w:rPr>
                      <w:rFonts w:hint="eastAsia"/>
                      <w:color w:val="auto"/>
                      <w:szCs w:val="21"/>
                    </w:rPr>
                    <w:t>2130万</w:t>
                  </w:r>
                </w:p>
              </w:tc>
              <w:tc>
                <w:tcPr>
                  <w:tcW w:w="1522" w:type="dxa"/>
                  <w:tcBorders>
                    <w:tl2br w:val="nil"/>
                    <w:tr2bl w:val="nil"/>
                  </w:tcBorders>
                  <w:vAlign w:val="center"/>
                </w:tcPr>
                <w:p>
                  <w:pPr>
                    <w:pStyle w:val="154"/>
                    <w:rPr>
                      <w:color w:val="auto"/>
                      <w:szCs w:val="21"/>
                    </w:rPr>
                  </w:pPr>
                  <w:r>
                    <w:rPr>
                      <w:rFonts w:hint="eastAsia"/>
                      <w:color w:val="auto"/>
                      <w:szCs w:val="21"/>
                    </w:rPr>
                    <w:t>0</w:t>
                  </w:r>
                </w:p>
              </w:tc>
              <w:tc>
                <w:tcPr>
                  <w:tcW w:w="1645" w:type="dxa"/>
                  <w:tcBorders>
                    <w:tl2br w:val="nil"/>
                    <w:tr2bl w:val="nil"/>
                  </w:tcBorders>
                  <w:vAlign w:val="center"/>
                </w:tcPr>
                <w:p>
                  <w:pPr>
                    <w:pStyle w:val="154"/>
                    <w:rPr>
                      <w:color w:val="auto"/>
                      <w:szCs w:val="21"/>
                    </w:rPr>
                  </w:pPr>
                  <w:r>
                    <w:rPr>
                      <w:rFonts w:hint="eastAsia"/>
                      <w:color w:val="auto"/>
                      <w:szCs w:val="21"/>
                    </w:rPr>
                    <w:t>2130万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color w:val="auto"/>
                      <w:szCs w:val="21"/>
                    </w:rPr>
                  </w:pPr>
                  <w:r>
                    <w:rPr>
                      <w:rFonts w:hint="eastAsia"/>
                      <w:color w:val="auto"/>
                      <w:szCs w:val="21"/>
                    </w:rPr>
                    <w:t>非甲烷总烃</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1.2288</w:t>
                  </w:r>
                </w:p>
              </w:tc>
              <w:tc>
                <w:tcPr>
                  <w:tcW w:w="1522" w:type="dxa"/>
                  <w:tcBorders>
                    <w:tl2br w:val="nil"/>
                    <w:tr2bl w:val="nil"/>
                  </w:tcBorders>
                  <w:vAlign w:val="center"/>
                </w:tcPr>
                <w:p>
                  <w:pPr>
                    <w:pStyle w:val="154"/>
                    <w:rPr>
                      <w:color w:val="auto"/>
                      <w:szCs w:val="21"/>
                    </w:rPr>
                  </w:pPr>
                  <w:r>
                    <w:rPr>
                      <w:rFonts w:hint="eastAsia"/>
                      <w:color w:val="auto"/>
                      <w:szCs w:val="21"/>
                    </w:rPr>
                    <w:t>1.002</w:t>
                  </w:r>
                </w:p>
              </w:tc>
              <w:tc>
                <w:tcPr>
                  <w:tcW w:w="1645" w:type="dxa"/>
                  <w:tcBorders>
                    <w:tl2br w:val="nil"/>
                    <w:tr2bl w:val="nil"/>
                  </w:tcBorders>
                  <w:vAlign w:val="center"/>
                </w:tcPr>
                <w:p>
                  <w:pPr>
                    <w:pStyle w:val="154"/>
                    <w:rPr>
                      <w:color w:val="auto"/>
                      <w:szCs w:val="21"/>
                    </w:rPr>
                  </w:pPr>
                  <w:r>
                    <w:rPr>
                      <w:rFonts w:hint="eastAsia"/>
                      <w:color w:val="auto"/>
                      <w:szCs w:val="21"/>
                    </w:rPr>
                    <w:t>0.2268</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restart"/>
                  <w:tcBorders>
                    <w:tl2br w:val="nil"/>
                    <w:tr2bl w:val="nil"/>
                  </w:tcBorders>
                  <w:vAlign w:val="center"/>
                </w:tcPr>
                <w:p>
                  <w:pPr>
                    <w:pStyle w:val="154"/>
                    <w:rPr>
                      <w:color w:val="auto"/>
                      <w:szCs w:val="21"/>
                    </w:rPr>
                  </w:pPr>
                  <w:r>
                    <w:rPr>
                      <w:color w:val="auto"/>
                      <w:szCs w:val="21"/>
                    </w:rPr>
                    <w:t>水污染物</w:t>
                  </w:r>
                </w:p>
              </w:tc>
              <w:tc>
                <w:tcPr>
                  <w:tcW w:w="2238" w:type="dxa"/>
                  <w:tcBorders>
                    <w:tl2br w:val="nil"/>
                    <w:tr2bl w:val="nil"/>
                  </w:tcBorders>
                  <w:vAlign w:val="center"/>
                </w:tcPr>
                <w:p>
                  <w:pPr>
                    <w:pStyle w:val="154"/>
                    <w:rPr>
                      <w:color w:val="auto"/>
                      <w:szCs w:val="21"/>
                    </w:rPr>
                  </w:pPr>
                  <w:r>
                    <w:rPr>
                      <w:rFonts w:hint="eastAsia"/>
                      <w:color w:val="auto"/>
                      <w:szCs w:val="21"/>
                    </w:rPr>
                    <w:t>生活污水</w:t>
                  </w:r>
                  <w:r>
                    <w:rPr>
                      <w:color w:val="auto"/>
                      <w:szCs w:val="21"/>
                    </w:rPr>
                    <w:t>量</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864</w:t>
                  </w:r>
                </w:p>
              </w:tc>
              <w:tc>
                <w:tcPr>
                  <w:tcW w:w="1522" w:type="dxa"/>
                  <w:tcBorders>
                    <w:tl2br w:val="nil"/>
                    <w:tr2bl w:val="nil"/>
                  </w:tcBorders>
                  <w:vAlign w:val="center"/>
                </w:tcPr>
                <w:p>
                  <w:pPr>
                    <w:pStyle w:val="154"/>
                    <w:rPr>
                      <w:color w:val="auto"/>
                      <w:szCs w:val="21"/>
                    </w:rPr>
                  </w:pPr>
                  <w:r>
                    <w:rPr>
                      <w:color w:val="auto"/>
                      <w:szCs w:val="21"/>
                    </w:rPr>
                    <w:t>0</w:t>
                  </w:r>
                </w:p>
              </w:tc>
              <w:tc>
                <w:tcPr>
                  <w:tcW w:w="1645" w:type="dxa"/>
                  <w:tcBorders>
                    <w:tl2br w:val="nil"/>
                    <w:tr2bl w:val="nil"/>
                  </w:tcBorders>
                  <w:vAlign w:val="center"/>
                </w:tcPr>
                <w:p>
                  <w:pPr>
                    <w:pStyle w:val="154"/>
                    <w:rPr>
                      <w:color w:val="auto"/>
                      <w:szCs w:val="21"/>
                    </w:rPr>
                  </w:pPr>
                  <w:r>
                    <w:rPr>
                      <w:rFonts w:hint="eastAsia"/>
                      <w:color w:val="auto"/>
                      <w:szCs w:val="21"/>
                    </w:rPr>
                    <w:t>864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highlight w:val="yellow"/>
                    </w:rPr>
                  </w:pPr>
                </w:p>
              </w:tc>
              <w:tc>
                <w:tcPr>
                  <w:tcW w:w="2238" w:type="dxa"/>
                  <w:tcBorders>
                    <w:tl2br w:val="nil"/>
                    <w:tr2bl w:val="nil"/>
                  </w:tcBorders>
                  <w:vAlign w:val="center"/>
                </w:tcPr>
                <w:p>
                  <w:pPr>
                    <w:pStyle w:val="154"/>
                    <w:rPr>
                      <w:color w:val="auto"/>
                      <w:szCs w:val="21"/>
                    </w:rPr>
                  </w:pPr>
                  <w:r>
                    <w:rPr>
                      <w:color w:val="auto"/>
                      <w:szCs w:val="21"/>
                    </w:rPr>
                    <w:t>COD</w:t>
                  </w:r>
                  <w:r>
                    <w:rPr>
                      <w:rFonts w:hint="eastAsia"/>
                      <w:color w:val="auto"/>
                      <w:szCs w:val="21"/>
                    </w:rPr>
                    <w:t>cr</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color w:val="auto"/>
                      <w:szCs w:val="21"/>
                    </w:rPr>
                    <w:t>0.</w:t>
                  </w:r>
                  <w:r>
                    <w:rPr>
                      <w:rFonts w:hint="eastAsia"/>
                      <w:color w:val="auto"/>
                      <w:szCs w:val="21"/>
                    </w:rPr>
                    <w:t>297</w:t>
                  </w:r>
                </w:p>
              </w:tc>
              <w:tc>
                <w:tcPr>
                  <w:tcW w:w="1522" w:type="dxa"/>
                  <w:tcBorders>
                    <w:tl2br w:val="nil"/>
                    <w:tr2bl w:val="nil"/>
                  </w:tcBorders>
                  <w:vAlign w:val="center"/>
                </w:tcPr>
                <w:p>
                  <w:pPr>
                    <w:pStyle w:val="154"/>
                    <w:rPr>
                      <w:color w:val="auto"/>
                      <w:szCs w:val="21"/>
                    </w:rPr>
                  </w:pPr>
                  <w:r>
                    <w:rPr>
                      <w:color w:val="auto"/>
                      <w:szCs w:val="21"/>
                    </w:rPr>
                    <w:t>0.</w:t>
                  </w:r>
                  <w:r>
                    <w:rPr>
                      <w:rFonts w:hint="eastAsia"/>
                      <w:color w:val="auto"/>
                      <w:szCs w:val="21"/>
                    </w:rPr>
                    <w:t>186</w:t>
                  </w:r>
                </w:p>
              </w:tc>
              <w:tc>
                <w:tcPr>
                  <w:tcW w:w="1645" w:type="dxa"/>
                  <w:tcBorders>
                    <w:tl2br w:val="nil"/>
                    <w:tr2bl w:val="nil"/>
                  </w:tcBorders>
                  <w:vAlign w:val="center"/>
                </w:tcPr>
                <w:p>
                  <w:pPr>
                    <w:pStyle w:val="154"/>
                    <w:rPr>
                      <w:color w:val="auto"/>
                      <w:szCs w:val="21"/>
                    </w:rPr>
                  </w:pPr>
                  <w:r>
                    <w:rPr>
                      <w:color w:val="auto"/>
                      <w:szCs w:val="21"/>
                    </w:rPr>
                    <w:t>0.</w:t>
                  </w:r>
                  <w:r>
                    <w:rPr>
                      <w:rFonts w:hint="eastAsia"/>
                      <w:color w:val="auto"/>
                      <w:szCs w:val="21"/>
                    </w:rPr>
                    <w:t>111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highlight w:val="yellow"/>
                    </w:rPr>
                  </w:pPr>
                </w:p>
              </w:tc>
              <w:tc>
                <w:tcPr>
                  <w:tcW w:w="2238" w:type="dxa"/>
                  <w:tcBorders>
                    <w:tl2br w:val="nil"/>
                    <w:tr2bl w:val="nil"/>
                  </w:tcBorders>
                  <w:vAlign w:val="center"/>
                </w:tcPr>
                <w:p>
                  <w:pPr>
                    <w:pStyle w:val="154"/>
                    <w:rPr>
                      <w:color w:val="auto"/>
                      <w:szCs w:val="21"/>
                    </w:rPr>
                  </w:pPr>
                  <w:r>
                    <w:rPr>
                      <w:rFonts w:hint="eastAsia"/>
                      <w:color w:val="auto"/>
                      <w:szCs w:val="21"/>
                    </w:rPr>
                    <w:t>BOD</w:t>
                  </w:r>
                  <w:r>
                    <w:rPr>
                      <w:rFonts w:hint="eastAsia"/>
                      <w:color w:val="auto"/>
                      <w:szCs w:val="21"/>
                      <w:vertAlign w:val="subscript"/>
                    </w:rPr>
                    <w:t>5</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0.115</w:t>
                  </w:r>
                </w:p>
              </w:tc>
              <w:tc>
                <w:tcPr>
                  <w:tcW w:w="1522" w:type="dxa"/>
                  <w:tcBorders>
                    <w:tl2br w:val="nil"/>
                    <w:tr2bl w:val="nil"/>
                  </w:tcBorders>
                  <w:vAlign w:val="center"/>
                </w:tcPr>
                <w:p>
                  <w:pPr>
                    <w:pStyle w:val="154"/>
                    <w:rPr>
                      <w:color w:val="auto"/>
                      <w:szCs w:val="21"/>
                    </w:rPr>
                  </w:pPr>
                  <w:r>
                    <w:rPr>
                      <w:rFonts w:hint="eastAsia"/>
                      <w:color w:val="auto"/>
                      <w:szCs w:val="21"/>
                    </w:rPr>
                    <w:t>0.093</w:t>
                  </w:r>
                </w:p>
              </w:tc>
              <w:tc>
                <w:tcPr>
                  <w:tcW w:w="1645" w:type="dxa"/>
                  <w:tcBorders>
                    <w:tl2br w:val="nil"/>
                    <w:tr2bl w:val="nil"/>
                  </w:tcBorders>
                  <w:vAlign w:val="center"/>
                </w:tcPr>
                <w:p>
                  <w:pPr>
                    <w:pStyle w:val="154"/>
                    <w:rPr>
                      <w:color w:val="auto"/>
                      <w:szCs w:val="21"/>
                    </w:rPr>
                  </w:pPr>
                  <w:r>
                    <w:rPr>
                      <w:rFonts w:hint="eastAsia"/>
                      <w:color w:val="auto"/>
                      <w:szCs w:val="21"/>
                    </w:rPr>
                    <w:t>0.022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highlight w:val="yellow"/>
                    </w:rPr>
                  </w:pPr>
                </w:p>
              </w:tc>
              <w:tc>
                <w:tcPr>
                  <w:tcW w:w="2238" w:type="dxa"/>
                  <w:tcBorders>
                    <w:tl2br w:val="nil"/>
                    <w:tr2bl w:val="nil"/>
                  </w:tcBorders>
                  <w:vAlign w:val="center"/>
                </w:tcPr>
                <w:p>
                  <w:pPr>
                    <w:pStyle w:val="154"/>
                    <w:rPr>
                      <w:color w:val="auto"/>
                      <w:szCs w:val="21"/>
                    </w:rPr>
                  </w:pPr>
                  <w:r>
                    <w:rPr>
                      <w:rFonts w:hint="eastAsia"/>
                      <w:color w:val="auto"/>
                      <w:szCs w:val="21"/>
                    </w:rPr>
                    <w:t>SS</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0.094</w:t>
                  </w:r>
                </w:p>
              </w:tc>
              <w:tc>
                <w:tcPr>
                  <w:tcW w:w="1522" w:type="dxa"/>
                  <w:tcBorders>
                    <w:tl2br w:val="nil"/>
                    <w:tr2bl w:val="nil"/>
                  </w:tcBorders>
                  <w:vAlign w:val="center"/>
                </w:tcPr>
                <w:p>
                  <w:pPr>
                    <w:pStyle w:val="154"/>
                    <w:rPr>
                      <w:color w:val="auto"/>
                      <w:szCs w:val="21"/>
                    </w:rPr>
                  </w:pPr>
                  <w:r>
                    <w:rPr>
                      <w:rFonts w:hint="eastAsia"/>
                      <w:color w:val="auto"/>
                      <w:szCs w:val="21"/>
                    </w:rPr>
                    <w:t>0.041</w:t>
                  </w:r>
                </w:p>
              </w:tc>
              <w:tc>
                <w:tcPr>
                  <w:tcW w:w="1645" w:type="dxa"/>
                  <w:tcBorders>
                    <w:tl2br w:val="nil"/>
                    <w:tr2bl w:val="nil"/>
                  </w:tcBorders>
                  <w:vAlign w:val="center"/>
                </w:tcPr>
                <w:p>
                  <w:pPr>
                    <w:pStyle w:val="154"/>
                    <w:rPr>
                      <w:color w:val="auto"/>
                      <w:szCs w:val="21"/>
                    </w:rPr>
                  </w:pPr>
                  <w:r>
                    <w:rPr>
                      <w:rFonts w:hint="eastAsia"/>
                      <w:color w:val="auto"/>
                      <w:szCs w:val="21"/>
                    </w:rPr>
                    <w:t>0.053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highlight w:val="yellow"/>
                    </w:rPr>
                  </w:pPr>
                </w:p>
              </w:tc>
              <w:tc>
                <w:tcPr>
                  <w:tcW w:w="2238" w:type="dxa"/>
                  <w:tcBorders>
                    <w:tl2br w:val="nil"/>
                    <w:tr2bl w:val="nil"/>
                  </w:tcBorders>
                  <w:vAlign w:val="center"/>
                </w:tcPr>
                <w:p>
                  <w:pPr>
                    <w:pStyle w:val="154"/>
                    <w:rPr>
                      <w:color w:val="auto"/>
                      <w:szCs w:val="21"/>
                    </w:rPr>
                  </w:pPr>
                  <w:r>
                    <w:rPr>
                      <w:color w:val="auto"/>
                      <w:szCs w:val="21"/>
                    </w:rPr>
                    <w:t>氨氮</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0.029</w:t>
                  </w:r>
                </w:p>
              </w:tc>
              <w:tc>
                <w:tcPr>
                  <w:tcW w:w="1522" w:type="dxa"/>
                  <w:tcBorders>
                    <w:tl2br w:val="nil"/>
                    <w:tr2bl w:val="nil"/>
                  </w:tcBorders>
                  <w:vAlign w:val="center"/>
                </w:tcPr>
                <w:p>
                  <w:pPr>
                    <w:pStyle w:val="154"/>
                    <w:rPr>
                      <w:color w:val="auto"/>
                      <w:szCs w:val="21"/>
                    </w:rPr>
                  </w:pPr>
                  <w:r>
                    <w:rPr>
                      <w:rFonts w:hint="eastAsia"/>
                      <w:color w:val="auto"/>
                      <w:szCs w:val="21"/>
                    </w:rPr>
                    <w:t>0.01</w:t>
                  </w:r>
                </w:p>
              </w:tc>
              <w:tc>
                <w:tcPr>
                  <w:tcW w:w="1645" w:type="dxa"/>
                  <w:tcBorders>
                    <w:tl2br w:val="nil"/>
                    <w:tr2bl w:val="nil"/>
                  </w:tcBorders>
                  <w:vAlign w:val="center"/>
                </w:tcPr>
                <w:p>
                  <w:pPr>
                    <w:pStyle w:val="154"/>
                    <w:rPr>
                      <w:color w:val="auto"/>
                      <w:szCs w:val="21"/>
                    </w:rPr>
                  </w:pPr>
                  <w:r>
                    <w:rPr>
                      <w:rFonts w:hint="eastAsia"/>
                      <w:color w:val="auto"/>
                      <w:szCs w:val="21"/>
                    </w:rPr>
                    <w:t>0.019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restart"/>
                  <w:tcBorders>
                    <w:tl2br w:val="nil"/>
                    <w:tr2bl w:val="nil"/>
                  </w:tcBorders>
                  <w:vAlign w:val="center"/>
                </w:tcPr>
                <w:p>
                  <w:pPr>
                    <w:pStyle w:val="154"/>
                    <w:rPr>
                      <w:color w:val="auto"/>
                      <w:szCs w:val="21"/>
                    </w:rPr>
                  </w:pPr>
                  <w:r>
                    <w:rPr>
                      <w:color w:val="auto"/>
                      <w:szCs w:val="21"/>
                    </w:rPr>
                    <w:t>固体废物</w:t>
                  </w:r>
                </w:p>
              </w:tc>
              <w:tc>
                <w:tcPr>
                  <w:tcW w:w="2238" w:type="dxa"/>
                  <w:tcBorders>
                    <w:tl2br w:val="nil"/>
                    <w:tr2bl w:val="nil"/>
                  </w:tcBorders>
                  <w:vAlign w:val="center"/>
                </w:tcPr>
                <w:p>
                  <w:pPr>
                    <w:pStyle w:val="154"/>
                    <w:rPr>
                      <w:color w:val="auto"/>
                      <w:szCs w:val="21"/>
                    </w:rPr>
                  </w:pPr>
                  <w:r>
                    <w:rPr>
                      <w:rFonts w:hint="eastAsia"/>
                      <w:color w:val="auto"/>
                    </w:rPr>
                    <w:t>废薄膜边角料</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2.3</w:t>
                  </w:r>
                </w:p>
              </w:tc>
              <w:tc>
                <w:tcPr>
                  <w:tcW w:w="1522" w:type="dxa"/>
                  <w:tcBorders>
                    <w:tl2br w:val="nil"/>
                    <w:tr2bl w:val="nil"/>
                  </w:tcBorders>
                  <w:vAlign w:val="center"/>
                </w:tcPr>
                <w:p>
                  <w:pPr>
                    <w:pStyle w:val="154"/>
                    <w:rPr>
                      <w:color w:val="auto"/>
                      <w:szCs w:val="21"/>
                    </w:rPr>
                  </w:pPr>
                  <w:r>
                    <w:rPr>
                      <w:rFonts w:hint="eastAsia"/>
                      <w:color w:val="auto"/>
                      <w:szCs w:val="21"/>
                    </w:rPr>
                    <w:t>2.3</w:t>
                  </w:r>
                </w:p>
              </w:tc>
              <w:tc>
                <w:tcPr>
                  <w:tcW w:w="1645" w:type="dxa"/>
                  <w:tcBorders>
                    <w:tl2br w:val="nil"/>
                    <w:tr2bl w:val="nil"/>
                  </w:tcBorders>
                  <w:vAlign w:val="center"/>
                </w:tcPr>
                <w:p>
                  <w:pPr>
                    <w:pStyle w:val="154"/>
                    <w:rPr>
                      <w:color w:val="auto"/>
                      <w:szCs w:val="21"/>
                    </w:rPr>
                  </w:pPr>
                  <w:r>
                    <w:rPr>
                      <w:color w:val="auto"/>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color w:val="auto"/>
                      <w:szCs w:val="21"/>
                    </w:rPr>
                  </w:pPr>
                  <w:r>
                    <w:rPr>
                      <w:rFonts w:hint="eastAsia"/>
                      <w:color w:val="auto"/>
                    </w:rPr>
                    <w:t>废包装材料</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1.7</w:t>
                  </w:r>
                </w:p>
              </w:tc>
              <w:tc>
                <w:tcPr>
                  <w:tcW w:w="1522" w:type="dxa"/>
                  <w:tcBorders>
                    <w:tl2br w:val="nil"/>
                    <w:tr2bl w:val="nil"/>
                  </w:tcBorders>
                  <w:vAlign w:val="center"/>
                </w:tcPr>
                <w:p>
                  <w:pPr>
                    <w:pStyle w:val="154"/>
                    <w:rPr>
                      <w:color w:val="auto"/>
                      <w:szCs w:val="21"/>
                    </w:rPr>
                  </w:pPr>
                  <w:r>
                    <w:rPr>
                      <w:rFonts w:hint="eastAsia"/>
                      <w:color w:val="auto"/>
                      <w:szCs w:val="21"/>
                    </w:rPr>
                    <w:t>1.7</w:t>
                  </w:r>
                </w:p>
              </w:tc>
              <w:tc>
                <w:tcPr>
                  <w:tcW w:w="1645" w:type="dxa"/>
                  <w:tcBorders>
                    <w:tl2br w:val="nil"/>
                    <w:tr2bl w:val="nil"/>
                  </w:tcBorders>
                  <w:vAlign w:val="center"/>
                </w:tcPr>
                <w:p>
                  <w:pPr>
                    <w:pStyle w:val="154"/>
                    <w:rPr>
                      <w:color w:val="auto"/>
                      <w:szCs w:val="21"/>
                    </w:rPr>
                  </w:pPr>
                  <w:r>
                    <w:rPr>
                      <w:color w:val="auto"/>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rFonts w:hint="eastAsia" w:eastAsia="宋体"/>
                      <w:color w:val="auto"/>
                      <w:lang w:val="en-US" w:eastAsia="zh-CN"/>
                    </w:rPr>
                  </w:pPr>
                  <w:r>
                    <w:rPr>
                      <w:rFonts w:hint="eastAsia"/>
                      <w:color w:val="auto"/>
                      <w:lang w:val="en-US" w:eastAsia="zh-CN"/>
                    </w:rPr>
                    <w:t>不合格品</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rFonts w:hint="default" w:eastAsia="宋体"/>
                      <w:color w:val="auto"/>
                      <w:szCs w:val="21"/>
                      <w:lang w:val="en-US" w:eastAsia="zh-CN"/>
                    </w:rPr>
                  </w:pPr>
                  <w:r>
                    <w:rPr>
                      <w:rFonts w:hint="eastAsia"/>
                      <w:color w:val="auto"/>
                      <w:szCs w:val="21"/>
                      <w:lang w:val="en-US" w:eastAsia="zh-CN"/>
                    </w:rPr>
                    <w:t>0.83</w:t>
                  </w:r>
                </w:p>
              </w:tc>
              <w:tc>
                <w:tcPr>
                  <w:tcW w:w="1522" w:type="dxa"/>
                  <w:tcBorders>
                    <w:tl2br w:val="nil"/>
                    <w:tr2bl w:val="nil"/>
                  </w:tcBorders>
                  <w:vAlign w:val="center"/>
                </w:tcPr>
                <w:p>
                  <w:pPr>
                    <w:pStyle w:val="154"/>
                    <w:rPr>
                      <w:rFonts w:hint="eastAsia"/>
                      <w:color w:val="auto"/>
                      <w:szCs w:val="21"/>
                    </w:rPr>
                  </w:pPr>
                  <w:r>
                    <w:rPr>
                      <w:rFonts w:hint="eastAsia"/>
                      <w:color w:val="auto"/>
                      <w:szCs w:val="21"/>
                      <w:lang w:val="en-US" w:eastAsia="zh-CN"/>
                    </w:rPr>
                    <w:t>0.83</w:t>
                  </w:r>
                </w:p>
              </w:tc>
              <w:tc>
                <w:tcPr>
                  <w:tcW w:w="1645" w:type="dxa"/>
                  <w:tcBorders>
                    <w:tl2br w:val="nil"/>
                    <w:tr2bl w:val="nil"/>
                  </w:tcBorders>
                  <w:vAlign w:val="center"/>
                </w:tcPr>
                <w:p>
                  <w:pPr>
                    <w:pStyle w:val="154"/>
                    <w:rPr>
                      <w:color w:val="auto"/>
                      <w:szCs w:val="21"/>
                    </w:rPr>
                  </w:pPr>
                  <w:r>
                    <w:rPr>
                      <w:rFonts w:hint="eastAsia"/>
                      <w:color w:val="auto"/>
                      <w:szCs w:val="21"/>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rFonts w:hint="eastAsia"/>
                      <w:color w:val="auto"/>
                    </w:rPr>
                  </w:pPr>
                  <w:r>
                    <w:rPr>
                      <w:rFonts w:hint="eastAsia"/>
                      <w:color w:val="auto"/>
                    </w:rPr>
                    <w:t>废溶剂桶</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rFonts w:hint="default" w:eastAsia="宋体"/>
                      <w:color w:val="auto"/>
                      <w:szCs w:val="21"/>
                      <w:lang w:val="en-US" w:eastAsia="zh-CN"/>
                    </w:rPr>
                  </w:pPr>
                  <w:r>
                    <w:rPr>
                      <w:rFonts w:hint="eastAsia"/>
                      <w:color w:val="auto"/>
                      <w:szCs w:val="21"/>
                      <w:lang w:val="en-US" w:eastAsia="zh-CN"/>
                    </w:rPr>
                    <w:t>0.05</w:t>
                  </w:r>
                </w:p>
              </w:tc>
              <w:tc>
                <w:tcPr>
                  <w:tcW w:w="1522" w:type="dxa"/>
                  <w:tcBorders>
                    <w:tl2br w:val="nil"/>
                    <w:tr2bl w:val="nil"/>
                  </w:tcBorders>
                  <w:vAlign w:val="center"/>
                </w:tcPr>
                <w:p>
                  <w:pPr>
                    <w:pStyle w:val="154"/>
                    <w:rPr>
                      <w:rFonts w:hint="default" w:eastAsia="宋体"/>
                      <w:color w:val="auto"/>
                      <w:szCs w:val="21"/>
                      <w:lang w:val="en-US" w:eastAsia="zh-CN"/>
                    </w:rPr>
                  </w:pPr>
                  <w:r>
                    <w:rPr>
                      <w:rFonts w:hint="eastAsia"/>
                      <w:color w:val="auto"/>
                      <w:szCs w:val="21"/>
                      <w:lang w:val="en-US" w:eastAsia="zh-CN"/>
                    </w:rPr>
                    <w:t>0.05</w:t>
                  </w:r>
                </w:p>
              </w:tc>
              <w:tc>
                <w:tcPr>
                  <w:tcW w:w="1645" w:type="dxa"/>
                  <w:tcBorders>
                    <w:tl2br w:val="nil"/>
                    <w:tr2bl w:val="nil"/>
                  </w:tcBorders>
                  <w:vAlign w:val="center"/>
                </w:tcPr>
                <w:p>
                  <w:pPr>
                    <w:pStyle w:val="154"/>
                    <w:rPr>
                      <w:rFonts w:hint="eastAsia" w:eastAsia="宋体"/>
                      <w:color w:val="auto"/>
                      <w:szCs w:val="21"/>
                      <w:lang w:val="en-US" w:eastAsia="zh-CN"/>
                    </w:rPr>
                  </w:pPr>
                  <w:r>
                    <w:rPr>
                      <w:rFonts w:hint="eastAsia"/>
                      <w:color w:val="auto"/>
                      <w:szCs w:val="21"/>
                      <w:lang w:val="en-US" w:eastAsia="zh-CN"/>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color w:val="auto"/>
                      <w:szCs w:val="21"/>
                    </w:rPr>
                  </w:pPr>
                  <w:r>
                    <w:rPr>
                      <w:rFonts w:hint="eastAsia"/>
                      <w:color w:val="auto"/>
                    </w:rPr>
                    <w:t>废油墨桶、废粘合剂桶</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rFonts w:hint="default" w:eastAsia="宋体"/>
                      <w:color w:val="auto"/>
                      <w:szCs w:val="21"/>
                      <w:lang w:val="en-US" w:eastAsia="zh-CN"/>
                    </w:rPr>
                  </w:pPr>
                  <w:r>
                    <w:rPr>
                      <w:rFonts w:hint="eastAsia"/>
                      <w:color w:val="auto"/>
                      <w:szCs w:val="21"/>
                      <w:lang w:val="en-US" w:eastAsia="zh-CN"/>
                    </w:rPr>
                    <w:t>0.95</w:t>
                  </w:r>
                </w:p>
              </w:tc>
              <w:tc>
                <w:tcPr>
                  <w:tcW w:w="1522" w:type="dxa"/>
                  <w:tcBorders>
                    <w:tl2br w:val="nil"/>
                    <w:tr2bl w:val="nil"/>
                  </w:tcBorders>
                  <w:vAlign w:val="center"/>
                </w:tcPr>
                <w:p>
                  <w:pPr>
                    <w:pStyle w:val="154"/>
                    <w:rPr>
                      <w:rFonts w:hint="default" w:eastAsia="宋体"/>
                      <w:color w:val="auto"/>
                      <w:szCs w:val="21"/>
                      <w:lang w:val="en-US" w:eastAsia="zh-CN"/>
                    </w:rPr>
                  </w:pPr>
                  <w:r>
                    <w:rPr>
                      <w:rFonts w:hint="eastAsia"/>
                      <w:color w:val="auto"/>
                      <w:szCs w:val="21"/>
                      <w:lang w:val="en-US" w:eastAsia="zh-CN"/>
                    </w:rPr>
                    <w:t>0.95</w:t>
                  </w:r>
                </w:p>
              </w:tc>
              <w:tc>
                <w:tcPr>
                  <w:tcW w:w="1645" w:type="dxa"/>
                  <w:tcBorders>
                    <w:tl2br w:val="nil"/>
                    <w:tr2bl w:val="nil"/>
                  </w:tcBorders>
                  <w:vAlign w:val="center"/>
                </w:tcPr>
                <w:p>
                  <w:pPr>
                    <w:pStyle w:val="154"/>
                    <w:rPr>
                      <w:color w:val="auto"/>
                      <w:szCs w:val="21"/>
                    </w:rPr>
                  </w:pPr>
                  <w:r>
                    <w:rPr>
                      <w:color w:val="auto"/>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color w:val="auto"/>
                    </w:rPr>
                  </w:pPr>
                  <w:r>
                    <w:rPr>
                      <w:rFonts w:hint="eastAsia"/>
                      <w:color w:val="auto"/>
                    </w:rPr>
                    <w:t>废油墨</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0.011</w:t>
                  </w:r>
                </w:p>
              </w:tc>
              <w:tc>
                <w:tcPr>
                  <w:tcW w:w="1522" w:type="dxa"/>
                  <w:tcBorders>
                    <w:tl2br w:val="nil"/>
                    <w:tr2bl w:val="nil"/>
                  </w:tcBorders>
                  <w:vAlign w:val="center"/>
                </w:tcPr>
                <w:p>
                  <w:pPr>
                    <w:pStyle w:val="154"/>
                    <w:rPr>
                      <w:color w:val="auto"/>
                      <w:szCs w:val="21"/>
                    </w:rPr>
                  </w:pPr>
                  <w:r>
                    <w:rPr>
                      <w:rFonts w:hint="eastAsia"/>
                      <w:color w:val="auto"/>
                      <w:szCs w:val="21"/>
                    </w:rPr>
                    <w:t>0.011</w:t>
                  </w:r>
                </w:p>
              </w:tc>
              <w:tc>
                <w:tcPr>
                  <w:tcW w:w="1645" w:type="dxa"/>
                  <w:tcBorders>
                    <w:tl2br w:val="nil"/>
                    <w:tr2bl w:val="nil"/>
                  </w:tcBorders>
                  <w:vAlign w:val="center"/>
                </w:tcPr>
                <w:p>
                  <w:pPr>
                    <w:pStyle w:val="154"/>
                    <w:rPr>
                      <w:color w:val="auto"/>
                      <w:szCs w:val="21"/>
                    </w:rPr>
                  </w:pPr>
                  <w:r>
                    <w:rPr>
                      <w:color w:val="auto"/>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color w:val="auto"/>
                    </w:rPr>
                  </w:pPr>
                  <w:r>
                    <w:rPr>
                      <w:rFonts w:hint="eastAsia"/>
                      <w:color w:val="auto"/>
                    </w:rPr>
                    <w:t>废粘合剂</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0.09</w:t>
                  </w:r>
                </w:p>
              </w:tc>
              <w:tc>
                <w:tcPr>
                  <w:tcW w:w="1522" w:type="dxa"/>
                  <w:tcBorders>
                    <w:tl2br w:val="nil"/>
                    <w:tr2bl w:val="nil"/>
                  </w:tcBorders>
                  <w:vAlign w:val="center"/>
                </w:tcPr>
                <w:p>
                  <w:pPr>
                    <w:pStyle w:val="154"/>
                    <w:rPr>
                      <w:color w:val="auto"/>
                      <w:szCs w:val="21"/>
                    </w:rPr>
                  </w:pPr>
                  <w:r>
                    <w:rPr>
                      <w:rFonts w:hint="eastAsia"/>
                      <w:color w:val="auto"/>
                      <w:szCs w:val="21"/>
                    </w:rPr>
                    <w:t>0.09</w:t>
                  </w:r>
                </w:p>
              </w:tc>
              <w:tc>
                <w:tcPr>
                  <w:tcW w:w="1645" w:type="dxa"/>
                  <w:tcBorders>
                    <w:tl2br w:val="nil"/>
                    <w:tr2bl w:val="nil"/>
                  </w:tcBorders>
                  <w:vAlign w:val="center"/>
                </w:tcPr>
                <w:p>
                  <w:pPr>
                    <w:pStyle w:val="154"/>
                    <w:rPr>
                      <w:color w:val="auto"/>
                      <w:szCs w:val="21"/>
                    </w:rPr>
                  </w:pPr>
                  <w:r>
                    <w:rPr>
                      <w:color w:val="auto"/>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color w:val="auto"/>
                    </w:rPr>
                  </w:pPr>
                  <w:r>
                    <w:rPr>
                      <w:rFonts w:hint="eastAsia"/>
                      <w:color w:val="auto"/>
                    </w:rPr>
                    <w:t>废活性炭</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4</w:t>
                  </w:r>
                </w:p>
              </w:tc>
              <w:tc>
                <w:tcPr>
                  <w:tcW w:w="1522" w:type="dxa"/>
                  <w:tcBorders>
                    <w:tl2br w:val="nil"/>
                    <w:tr2bl w:val="nil"/>
                  </w:tcBorders>
                  <w:vAlign w:val="center"/>
                </w:tcPr>
                <w:p>
                  <w:pPr>
                    <w:pStyle w:val="154"/>
                    <w:rPr>
                      <w:color w:val="auto"/>
                      <w:szCs w:val="21"/>
                    </w:rPr>
                  </w:pPr>
                  <w:r>
                    <w:rPr>
                      <w:rFonts w:hint="eastAsia"/>
                      <w:color w:val="auto"/>
                      <w:szCs w:val="21"/>
                    </w:rPr>
                    <w:t>4</w:t>
                  </w:r>
                </w:p>
              </w:tc>
              <w:tc>
                <w:tcPr>
                  <w:tcW w:w="1645" w:type="dxa"/>
                  <w:tcBorders>
                    <w:tl2br w:val="nil"/>
                    <w:tr2bl w:val="nil"/>
                  </w:tcBorders>
                  <w:vAlign w:val="center"/>
                </w:tcPr>
                <w:p>
                  <w:pPr>
                    <w:pStyle w:val="154"/>
                    <w:rPr>
                      <w:color w:val="auto"/>
                      <w:szCs w:val="21"/>
                    </w:rPr>
                  </w:pPr>
                  <w:r>
                    <w:rPr>
                      <w:rFonts w:hint="eastAsia"/>
                      <w:color w:val="auto"/>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color w:val="auto"/>
                    </w:rPr>
                  </w:pPr>
                  <w:r>
                    <w:rPr>
                      <w:rFonts w:hint="eastAsia"/>
                      <w:color w:val="auto"/>
                    </w:rPr>
                    <w:t>印刷辊筒擦拭废布</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0.95</w:t>
                  </w:r>
                </w:p>
              </w:tc>
              <w:tc>
                <w:tcPr>
                  <w:tcW w:w="1522" w:type="dxa"/>
                  <w:tcBorders>
                    <w:tl2br w:val="nil"/>
                    <w:tr2bl w:val="nil"/>
                  </w:tcBorders>
                  <w:vAlign w:val="center"/>
                </w:tcPr>
                <w:p>
                  <w:pPr>
                    <w:pStyle w:val="154"/>
                    <w:rPr>
                      <w:color w:val="auto"/>
                      <w:szCs w:val="21"/>
                    </w:rPr>
                  </w:pPr>
                  <w:r>
                    <w:rPr>
                      <w:rFonts w:hint="eastAsia"/>
                      <w:color w:val="auto"/>
                      <w:szCs w:val="21"/>
                    </w:rPr>
                    <w:t>0.95</w:t>
                  </w:r>
                </w:p>
              </w:tc>
              <w:tc>
                <w:tcPr>
                  <w:tcW w:w="1645" w:type="dxa"/>
                  <w:tcBorders>
                    <w:tl2br w:val="nil"/>
                    <w:tr2bl w:val="nil"/>
                  </w:tcBorders>
                  <w:vAlign w:val="center"/>
                </w:tcPr>
                <w:p>
                  <w:pPr>
                    <w:pStyle w:val="154"/>
                    <w:rPr>
                      <w:color w:val="auto"/>
                      <w:szCs w:val="21"/>
                    </w:rPr>
                  </w:pPr>
                  <w:r>
                    <w:rPr>
                      <w:rFonts w:hint="eastAsia"/>
                      <w:color w:val="auto"/>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026" w:type="dxa"/>
                  <w:vMerge w:val="continue"/>
                  <w:tcBorders>
                    <w:tl2br w:val="nil"/>
                    <w:tr2bl w:val="nil"/>
                  </w:tcBorders>
                  <w:vAlign w:val="center"/>
                </w:tcPr>
                <w:p>
                  <w:pPr>
                    <w:pStyle w:val="154"/>
                    <w:rPr>
                      <w:color w:val="auto"/>
                      <w:szCs w:val="21"/>
                    </w:rPr>
                  </w:pPr>
                </w:p>
              </w:tc>
              <w:tc>
                <w:tcPr>
                  <w:tcW w:w="2238" w:type="dxa"/>
                  <w:tcBorders>
                    <w:tl2br w:val="nil"/>
                    <w:tr2bl w:val="nil"/>
                  </w:tcBorders>
                  <w:vAlign w:val="center"/>
                </w:tcPr>
                <w:p>
                  <w:pPr>
                    <w:pStyle w:val="154"/>
                    <w:rPr>
                      <w:color w:val="auto"/>
                    </w:rPr>
                  </w:pPr>
                  <w:r>
                    <w:rPr>
                      <w:rFonts w:hint="eastAsia"/>
                      <w:color w:val="auto"/>
                    </w:rPr>
                    <w:t>生活垃圾</w:t>
                  </w:r>
                </w:p>
              </w:tc>
              <w:tc>
                <w:tcPr>
                  <w:tcW w:w="773" w:type="dxa"/>
                  <w:tcBorders>
                    <w:tl2br w:val="nil"/>
                    <w:tr2bl w:val="nil"/>
                  </w:tcBorders>
                  <w:vAlign w:val="center"/>
                </w:tcPr>
                <w:p>
                  <w:pPr>
                    <w:pStyle w:val="154"/>
                    <w:rPr>
                      <w:color w:val="auto"/>
                      <w:szCs w:val="21"/>
                    </w:rPr>
                  </w:pPr>
                  <w:r>
                    <w:rPr>
                      <w:color w:val="auto"/>
                      <w:szCs w:val="21"/>
                    </w:rPr>
                    <w:t>t/a</w:t>
                  </w:r>
                </w:p>
              </w:tc>
              <w:tc>
                <w:tcPr>
                  <w:tcW w:w="1300" w:type="dxa"/>
                  <w:tcBorders>
                    <w:tl2br w:val="nil"/>
                    <w:tr2bl w:val="nil"/>
                  </w:tcBorders>
                  <w:vAlign w:val="center"/>
                </w:tcPr>
                <w:p>
                  <w:pPr>
                    <w:pStyle w:val="154"/>
                    <w:rPr>
                      <w:color w:val="auto"/>
                      <w:szCs w:val="21"/>
                    </w:rPr>
                  </w:pPr>
                  <w:r>
                    <w:rPr>
                      <w:rFonts w:hint="eastAsia"/>
                      <w:color w:val="auto"/>
                      <w:szCs w:val="21"/>
                    </w:rPr>
                    <w:t>9</w:t>
                  </w:r>
                </w:p>
              </w:tc>
              <w:tc>
                <w:tcPr>
                  <w:tcW w:w="1522" w:type="dxa"/>
                  <w:tcBorders>
                    <w:tl2br w:val="nil"/>
                    <w:tr2bl w:val="nil"/>
                  </w:tcBorders>
                  <w:vAlign w:val="center"/>
                </w:tcPr>
                <w:p>
                  <w:pPr>
                    <w:pStyle w:val="154"/>
                    <w:rPr>
                      <w:color w:val="auto"/>
                      <w:szCs w:val="21"/>
                    </w:rPr>
                  </w:pPr>
                  <w:r>
                    <w:rPr>
                      <w:rFonts w:hint="eastAsia"/>
                      <w:color w:val="auto"/>
                      <w:szCs w:val="21"/>
                    </w:rPr>
                    <w:t>9</w:t>
                  </w:r>
                </w:p>
              </w:tc>
              <w:tc>
                <w:tcPr>
                  <w:tcW w:w="1645" w:type="dxa"/>
                  <w:tcBorders>
                    <w:tl2br w:val="nil"/>
                    <w:tr2bl w:val="nil"/>
                  </w:tcBorders>
                  <w:vAlign w:val="center"/>
                </w:tcPr>
                <w:p>
                  <w:pPr>
                    <w:pStyle w:val="154"/>
                    <w:rPr>
                      <w:color w:val="auto"/>
                      <w:szCs w:val="21"/>
                    </w:rPr>
                  </w:pPr>
                  <w:r>
                    <w:rPr>
                      <w:rFonts w:hint="eastAsia"/>
                      <w:color w:val="auto"/>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504" w:type="dxa"/>
                  <w:gridSpan w:val="6"/>
                  <w:tcBorders>
                    <w:tl2br w:val="nil"/>
                    <w:tr2bl w:val="nil"/>
                  </w:tcBorders>
                  <w:vAlign w:val="center"/>
                </w:tcPr>
                <w:p>
                  <w:pPr>
                    <w:pStyle w:val="154"/>
                    <w:jc w:val="both"/>
                    <w:rPr>
                      <w:color w:val="auto"/>
                      <w:szCs w:val="21"/>
                    </w:rPr>
                  </w:pPr>
                  <w:r>
                    <w:rPr>
                      <w:rFonts w:hint="eastAsia"/>
                      <w:color w:val="auto"/>
                      <w:szCs w:val="21"/>
                    </w:rPr>
                    <w:t>注：1、大气污染物、水污染物数据来自现有项目竣工环境保护验收报告。</w:t>
                  </w:r>
                </w:p>
                <w:p>
                  <w:pPr>
                    <w:pStyle w:val="154"/>
                    <w:ind w:firstLine="420" w:firstLineChars="200"/>
                    <w:jc w:val="both"/>
                    <w:rPr>
                      <w:color w:val="auto"/>
                    </w:rPr>
                  </w:pPr>
                  <w:r>
                    <w:rPr>
                      <w:rFonts w:hint="eastAsia"/>
                      <w:color w:val="auto"/>
                      <w:szCs w:val="21"/>
                    </w:rPr>
                    <w:t>2、固体废物数据来自企业提供。</w:t>
                  </w:r>
                </w:p>
              </w:tc>
            </w:tr>
          </w:tbl>
          <w:p>
            <w:pPr>
              <w:pStyle w:val="48"/>
              <w:ind w:firstLine="0" w:firstLineChars="0"/>
              <w:jc w:val="both"/>
              <w:rPr>
                <w:color w:val="auto"/>
                <w:highlight w:val="yellow"/>
              </w:rPr>
            </w:pPr>
          </w:p>
        </w:tc>
      </w:tr>
    </w:tbl>
    <w:p>
      <w:pPr>
        <w:pStyle w:val="99"/>
        <w:jc w:val="both"/>
        <w:outlineLvl w:val="9"/>
        <w:rPr>
          <w:rFonts w:hint="eastAsia"/>
          <w:color w:val="auto"/>
        </w:rPr>
        <w:sectPr>
          <w:pgSz w:w="11906" w:h="16838"/>
          <w:pgMar w:top="1701" w:right="1531" w:bottom="1701" w:left="1531" w:header="851" w:footer="851" w:gutter="0"/>
          <w:cols w:space="720" w:num="1"/>
          <w:docGrid w:linePitch="312" w:charSpace="0"/>
        </w:sectPr>
      </w:pPr>
    </w:p>
    <w:p>
      <w:pPr>
        <w:pStyle w:val="99"/>
        <w:rPr>
          <w:rFonts w:hint="eastAsia"/>
          <w:color w:val="auto"/>
        </w:rPr>
      </w:pPr>
      <w:bookmarkStart w:id="5" w:name="_Toc26336"/>
      <w:r>
        <w:rPr>
          <w:color w:val="auto"/>
        </w:rPr>
        <w:t>三、区域环境质量现状、环境保护目标及评价标准</w:t>
      </w:r>
      <w:bookmarkEnd w:id="5"/>
    </w:p>
    <w:tbl>
      <w:tblPr>
        <w:tblStyle w:val="36"/>
        <w:tblW w:w="900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99"/>
        <w:gridCol w:w="860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0" w:hRule="atLeast"/>
          <w:jc w:val="center"/>
        </w:trPr>
        <w:tc>
          <w:tcPr>
            <w:tcW w:w="399" w:type="dxa"/>
            <w:vAlign w:val="center"/>
          </w:tcPr>
          <w:p>
            <w:pPr>
              <w:spacing w:line="360" w:lineRule="auto"/>
              <w:jc w:val="center"/>
              <w:rPr>
                <w:b/>
                <w:color w:val="auto"/>
                <w:kern w:val="0"/>
                <w:sz w:val="24"/>
                <w:szCs w:val="21"/>
              </w:rPr>
            </w:pPr>
            <w:r>
              <w:rPr>
                <w:b/>
                <w:color w:val="auto"/>
                <w:kern w:val="0"/>
                <w:sz w:val="24"/>
                <w:szCs w:val="21"/>
              </w:rPr>
              <w:t>区</w:t>
            </w:r>
          </w:p>
          <w:p>
            <w:pPr>
              <w:spacing w:line="360" w:lineRule="auto"/>
              <w:jc w:val="center"/>
              <w:rPr>
                <w:b/>
                <w:color w:val="auto"/>
                <w:kern w:val="0"/>
                <w:sz w:val="24"/>
                <w:szCs w:val="21"/>
              </w:rPr>
            </w:pPr>
            <w:r>
              <w:rPr>
                <w:b/>
                <w:color w:val="auto"/>
                <w:kern w:val="0"/>
                <w:sz w:val="24"/>
                <w:szCs w:val="21"/>
              </w:rPr>
              <w:t>域</w:t>
            </w:r>
          </w:p>
          <w:p>
            <w:pPr>
              <w:spacing w:line="360" w:lineRule="auto"/>
              <w:jc w:val="center"/>
              <w:rPr>
                <w:b/>
                <w:color w:val="auto"/>
                <w:kern w:val="0"/>
                <w:sz w:val="24"/>
                <w:szCs w:val="21"/>
              </w:rPr>
            </w:pPr>
            <w:r>
              <w:rPr>
                <w:b/>
                <w:color w:val="auto"/>
                <w:kern w:val="0"/>
                <w:sz w:val="24"/>
                <w:szCs w:val="21"/>
              </w:rPr>
              <w:t>环</w:t>
            </w:r>
          </w:p>
          <w:p>
            <w:pPr>
              <w:spacing w:line="360" w:lineRule="auto"/>
              <w:jc w:val="center"/>
              <w:rPr>
                <w:b/>
                <w:color w:val="auto"/>
                <w:kern w:val="0"/>
                <w:sz w:val="24"/>
                <w:szCs w:val="21"/>
              </w:rPr>
            </w:pPr>
            <w:r>
              <w:rPr>
                <w:b/>
                <w:color w:val="auto"/>
                <w:kern w:val="0"/>
                <w:sz w:val="24"/>
                <w:szCs w:val="21"/>
              </w:rPr>
              <w:t>境</w:t>
            </w:r>
          </w:p>
          <w:p>
            <w:pPr>
              <w:spacing w:line="360" w:lineRule="auto"/>
              <w:jc w:val="center"/>
              <w:rPr>
                <w:b/>
                <w:color w:val="auto"/>
                <w:kern w:val="0"/>
                <w:sz w:val="24"/>
                <w:szCs w:val="21"/>
              </w:rPr>
            </w:pPr>
            <w:r>
              <w:rPr>
                <w:b/>
                <w:color w:val="auto"/>
                <w:kern w:val="0"/>
                <w:sz w:val="24"/>
                <w:szCs w:val="21"/>
              </w:rPr>
              <w:t>质</w:t>
            </w:r>
          </w:p>
          <w:p>
            <w:pPr>
              <w:spacing w:line="360" w:lineRule="auto"/>
              <w:jc w:val="center"/>
              <w:rPr>
                <w:b/>
                <w:color w:val="auto"/>
                <w:kern w:val="0"/>
                <w:sz w:val="24"/>
                <w:szCs w:val="21"/>
              </w:rPr>
            </w:pPr>
            <w:r>
              <w:rPr>
                <w:b/>
                <w:color w:val="auto"/>
                <w:kern w:val="0"/>
                <w:sz w:val="24"/>
                <w:szCs w:val="21"/>
              </w:rPr>
              <w:t>量</w:t>
            </w:r>
          </w:p>
          <w:p>
            <w:pPr>
              <w:spacing w:line="360" w:lineRule="auto"/>
              <w:jc w:val="center"/>
              <w:rPr>
                <w:b/>
                <w:color w:val="auto"/>
                <w:kern w:val="0"/>
                <w:sz w:val="24"/>
                <w:szCs w:val="21"/>
              </w:rPr>
            </w:pPr>
            <w:r>
              <w:rPr>
                <w:b/>
                <w:color w:val="auto"/>
                <w:kern w:val="0"/>
                <w:sz w:val="24"/>
                <w:szCs w:val="21"/>
              </w:rPr>
              <w:t>现</w:t>
            </w:r>
          </w:p>
          <w:p>
            <w:pPr>
              <w:spacing w:line="360" w:lineRule="auto"/>
              <w:jc w:val="center"/>
              <w:rPr>
                <w:color w:val="auto"/>
                <w:kern w:val="0"/>
                <w:szCs w:val="21"/>
              </w:rPr>
            </w:pPr>
            <w:r>
              <w:rPr>
                <w:b/>
                <w:color w:val="auto"/>
                <w:kern w:val="0"/>
                <w:sz w:val="24"/>
                <w:szCs w:val="21"/>
              </w:rPr>
              <w:t>状</w:t>
            </w:r>
          </w:p>
        </w:tc>
        <w:tc>
          <w:tcPr>
            <w:tcW w:w="8603" w:type="dxa"/>
            <w:vAlign w:val="center"/>
          </w:tcPr>
          <w:p>
            <w:pPr>
              <w:adjustRightInd w:val="0"/>
              <w:snapToGrid w:val="0"/>
              <w:spacing w:line="360" w:lineRule="auto"/>
              <w:rPr>
                <w:b/>
                <w:bCs/>
                <w:color w:val="auto"/>
                <w:sz w:val="30"/>
                <w:szCs w:val="30"/>
              </w:rPr>
            </w:pPr>
            <w:r>
              <w:rPr>
                <w:b/>
                <w:bCs/>
                <w:color w:val="auto"/>
                <w:sz w:val="30"/>
                <w:szCs w:val="30"/>
              </w:rPr>
              <w:t>3.1</w:t>
            </w:r>
            <w:r>
              <w:rPr>
                <w:rFonts w:hint="eastAsia"/>
                <w:b/>
                <w:bCs/>
                <w:color w:val="auto"/>
                <w:sz w:val="30"/>
                <w:szCs w:val="30"/>
              </w:rPr>
              <w:t>大气环境质量现状</w:t>
            </w:r>
          </w:p>
          <w:p>
            <w:pPr>
              <w:pStyle w:val="4"/>
              <w:spacing w:before="140" w:after="60" w:line="360" w:lineRule="auto"/>
              <w:ind w:left="0" w:firstLine="0"/>
              <w:rPr>
                <w:rFonts w:ascii="Times New Roman" w:hAnsi="Times New Roman" w:eastAsia="宋体" w:cs="Times New Roman"/>
                <w:color w:val="auto"/>
                <w:lang w:val="en-US"/>
              </w:rPr>
            </w:pPr>
            <w:r>
              <w:rPr>
                <w:rFonts w:ascii="Times New Roman" w:hAnsi="Times New Roman" w:eastAsia="宋体" w:cs="Times New Roman"/>
                <w:color w:val="auto"/>
                <w:lang w:val="en-US"/>
              </w:rPr>
              <w:t>3.</w:t>
            </w:r>
            <w:r>
              <w:rPr>
                <w:rFonts w:hint="eastAsia" w:ascii="Times New Roman" w:hAnsi="Times New Roman" w:eastAsia="宋体" w:cs="Times New Roman"/>
                <w:color w:val="auto"/>
                <w:lang w:val="en-US"/>
              </w:rPr>
              <w:t>1</w:t>
            </w:r>
            <w:r>
              <w:rPr>
                <w:rFonts w:ascii="Times New Roman" w:hAnsi="Times New Roman" w:eastAsia="宋体" w:cs="Times New Roman"/>
                <w:color w:val="auto"/>
                <w:lang w:val="en-US"/>
              </w:rPr>
              <w:t>.</w:t>
            </w:r>
            <w:r>
              <w:rPr>
                <w:rFonts w:hint="eastAsia" w:ascii="Times New Roman" w:hAnsi="Times New Roman" w:eastAsia="宋体" w:cs="Times New Roman"/>
                <w:color w:val="auto"/>
                <w:lang w:val="en-US"/>
              </w:rPr>
              <w:t>1环境空气质量功能区划</w:t>
            </w:r>
          </w:p>
          <w:p>
            <w:pPr>
              <w:adjustRightInd w:val="0"/>
              <w:snapToGrid w:val="0"/>
              <w:spacing w:line="360" w:lineRule="auto"/>
              <w:ind w:firstLine="480" w:firstLineChars="200"/>
              <w:rPr>
                <w:color w:val="auto"/>
                <w:sz w:val="24"/>
              </w:rPr>
            </w:pPr>
            <w:r>
              <w:rPr>
                <w:color w:val="auto"/>
                <w:sz w:val="24"/>
              </w:rPr>
              <w:t>根据福州市人民政府榕政综</w:t>
            </w:r>
            <w:r>
              <w:rPr>
                <w:rFonts w:hint="eastAsia"/>
                <w:color w:val="auto"/>
                <w:sz w:val="24"/>
                <w:lang w:eastAsia="zh-CN"/>
              </w:rPr>
              <w:t>〔2014〕30号</w:t>
            </w:r>
            <w:r>
              <w:rPr>
                <w:color w:val="auto"/>
                <w:sz w:val="24"/>
              </w:rPr>
              <w:t>文件正式批准实施《福州市环境空气质量功能区划（报批稿）》的规定，项目评价区域环境空气功能规划为二类区，环境空气质量执行《环境空气质量标准》（GB3095-2012）及其修改单中的二级标准，项目其他污染因子非甲烷总烃参照执行《大气污染物综合排放标准详解》（国家环境保护局科技标准司）中规定标准限值，详见</w:t>
            </w:r>
            <w:r>
              <w:rPr>
                <w:rFonts w:hint="eastAsia"/>
                <w:b/>
                <w:bCs/>
                <w:color w:val="auto"/>
                <w:sz w:val="24"/>
              </w:rPr>
              <w:t>表</w:t>
            </w:r>
            <w:r>
              <w:rPr>
                <w:b/>
                <w:bCs/>
                <w:color w:val="auto"/>
                <w:sz w:val="24"/>
              </w:rPr>
              <w:t>3.1-1</w:t>
            </w:r>
            <w:r>
              <w:rPr>
                <w:color w:val="auto"/>
                <w:sz w:val="24"/>
              </w:rPr>
              <w:t>。</w:t>
            </w:r>
          </w:p>
          <w:p>
            <w:pPr>
              <w:pStyle w:val="181"/>
              <w:spacing w:before="0" w:beforeLines="0"/>
              <w:rPr>
                <w:color w:val="auto"/>
                <w:szCs w:val="24"/>
              </w:rPr>
            </w:pPr>
            <w:r>
              <w:rPr>
                <w:color w:val="auto"/>
                <w:szCs w:val="24"/>
              </w:rPr>
              <w:t>表3.1-1</w:t>
            </w:r>
            <w:r>
              <w:rPr>
                <w:rFonts w:hint="eastAsia"/>
                <w:color w:val="auto"/>
                <w:szCs w:val="24"/>
              </w:rPr>
              <w:t xml:space="preserve">  项目</w:t>
            </w:r>
            <w:r>
              <w:rPr>
                <w:color w:val="auto"/>
                <w:szCs w:val="24"/>
              </w:rPr>
              <w:t>环境空气质量标准</w:t>
            </w:r>
            <w:r>
              <w:rPr>
                <w:rFonts w:hint="eastAsia"/>
                <w:color w:val="auto"/>
                <w:szCs w:val="24"/>
              </w:rPr>
              <w:t>一览表</w:t>
            </w:r>
          </w:p>
          <w:tbl>
            <w:tblPr>
              <w:tblStyle w:val="36"/>
              <w:tblW w:w="8504"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Layout w:type="fixed"/>
              <w:tblCellMar>
                <w:top w:w="0" w:type="dxa"/>
                <w:left w:w="0" w:type="dxa"/>
                <w:bottom w:w="0" w:type="dxa"/>
                <w:right w:w="0" w:type="dxa"/>
              </w:tblCellMar>
            </w:tblPr>
            <w:tblGrid>
              <w:gridCol w:w="1380"/>
              <w:gridCol w:w="2094"/>
              <w:gridCol w:w="920"/>
              <w:gridCol w:w="1266"/>
              <w:gridCol w:w="2844"/>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Align w:val="center"/>
                </w:tcPr>
                <w:p>
                  <w:pPr>
                    <w:widowControl/>
                    <w:kinsoku w:val="0"/>
                    <w:autoSpaceDE w:val="0"/>
                    <w:autoSpaceDN w:val="0"/>
                    <w:adjustRightInd w:val="0"/>
                    <w:snapToGrid w:val="0"/>
                    <w:jc w:val="center"/>
                    <w:textAlignment w:val="baseline"/>
                    <w:rPr>
                      <w:color w:val="auto"/>
                      <w:szCs w:val="21"/>
                    </w:rPr>
                  </w:pPr>
                  <w:r>
                    <w:rPr>
                      <w:color w:val="auto"/>
                      <w:spacing w:val="-3"/>
                      <w:szCs w:val="21"/>
                    </w:rPr>
                    <w:t>污染物名称</w:t>
                  </w: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3"/>
                      <w:szCs w:val="21"/>
                    </w:rPr>
                    <w:t>取值时间</w:t>
                  </w:r>
                </w:p>
              </w:tc>
              <w:tc>
                <w:tcPr>
                  <w:tcW w:w="920" w:type="dxa"/>
                  <w:vAlign w:val="center"/>
                </w:tcPr>
                <w:p>
                  <w:pPr>
                    <w:widowControl/>
                    <w:kinsoku w:val="0"/>
                    <w:autoSpaceDE w:val="0"/>
                    <w:autoSpaceDN w:val="0"/>
                    <w:adjustRightInd w:val="0"/>
                    <w:snapToGrid w:val="0"/>
                    <w:jc w:val="center"/>
                    <w:textAlignment w:val="baseline"/>
                    <w:rPr>
                      <w:color w:val="auto"/>
                      <w:szCs w:val="21"/>
                    </w:rPr>
                  </w:pPr>
                  <w:r>
                    <w:rPr>
                      <w:color w:val="auto"/>
                      <w:spacing w:val="-6"/>
                      <w:szCs w:val="21"/>
                    </w:rPr>
                    <w:t>单位</w:t>
                  </w:r>
                </w:p>
              </w:tc>
              <w:tc>
                <w:tcPr>
                  <w:tcW w:w="1266" w:type="dxa"/>
                  <w:vAlign w:val="center"/>
                </w:tcPr>
                <w:p>
                  <w:pPr>
                    <w:widowControl/>
                    <w:kinsoku w:val="0"/>
                    <w:autoSpaceDE w:val="0"/>
                    <w:autoSpaceDN w:val="0"/>
                    <w:adjustRightInd w:val="0"/>
                    <w:snapToGrid w:val="0"/>
                    <w:jc w:val="center"/>
                    <w:textAlignment w:val="baseline"/>
                    <w:rPr>
                      <w:color w:val="auto"/>
                      <w:szCs w:val="21"/>
                    </w:rPr>
                  </w:pPr>
                  <w:r>
                    <w:rPr>
                      <w:color w:val="auto"/>
                      <w:spacing w:val="-3"/>
                      <w:szCs w:val="21"/>
                    </w:rPr>
                    <w:t>浓度限值</w:t>
                  </w:r>
                </w:p>
              </w:tc>
              <w:tc>
                <w:tcPr>
                  <w:tcW w:w="2844" w:type="dxa"/>
                  <w:vAlign w:val="center"/>
                </w:tcPr>
                <w:p>
                  <w:pPr>
                    <w:widowControl/>
                    <w:kinsoku w:val="0"/>
                    <w:autoSpaceDE w:val="0"/>
                    <w:autoSpaceDN w:val="0"/>
                    <w:adjustRightInd w:val="0"/>
                    <w:snapToGrid w:val="0"/>
                    <w:jc w:val="center"/>
                    <w:textAlignment w:val="baseline"/>
                    <w:rPr>
                      <w:color w:val="auto"/>
                      <w:szCs w:val="21"/>
                    </w:rPr>
                  </w:pPr>
                  <w:r>
                    <w:rPr>
                      <w:color w:val="auto"/>
                      <w:spacing w:val="-6"/>
                      <w:szCs w:val="21"/>
                    </w:rPr>
                    <w:t>备注</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restart"/>
                  <w:vAlign w:val="center"/>
                </w:tcPr>
                <w:p>
                  <w:pPr>
                    <w:widowControl/>
                    <w:kinsoku w:val="0"/>
                    <w:autoSpaceDE w:val="0"/>
                    <w:autoSpaceDN w:val="0"/>
                    <w:adjustRightInd w:val="0"/>
                    <w:snapToGrid w:val="0"/>
                    <w:jc w:val="center"/>
                    <w:textAlignment w:val="baseline"/>
                    <w:rPr>
                      <w:color w:val="auto"/>
                      <w:sz w:val="14"/>
                      <w:szCs w:val="14"/>
                    </w:rPr>
                  </w:pPr>
                  <w:r>
                    <w:rPr>
                      <w:color w:val="auto"/>
                      <w:spacing w:val="-5"/>
                      <w:szCs w:val="21"/>
                    </w:rPr>
                    <w:t>SO</w:t>
                  </w:r>
                  <w:r>
                    <w:rPr>
                      <w:color w:val="auto"/>
                      <w:spacing w:val="-5"/>
                      <w:position w:val="-1"/>
                      <w:sz w:val="14"/>
                      <w:szCs w:val="14"/>
                    </w:rPr>
                    <w:t>2</w:t>
                  </w: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4"/>
                      <w:szCs w:val="21"/>
                    </w:rPr>
                    <w:t>年平均</w:t>
                  </w:r>
                </w:p>
              </w:tc>
              <w:tc>
                <w:tcPr>
                  <w:tcW w:w="920" w:type="dxa"/>
                  <w:vMerge w:val="restart"/>
                  <w:vAlign w:val="center"/>
                </w:tcPr>
                <w:p>
                  <w:pPr>
                    <w:widowControl/>
                    <w:kinsoku w:val="0"/>
                    <w:autoSpaceDE w:val="0"/>
                    <w:autoSpaceDN w:val="0"/>
                    <w:adjustRightInd w:val="0"/>
                    <w:snapToGrid w:val="0"/>
                    <w:jc w:val="center"/>
                    <w:textAlignment w:val="baseline"/>
                    <w:rPr>
                      <w:color w:val="auto"/>
                      <w:sz w:val="14"/>
                      <w:szCs w:val="14"/>
                    </w:rPr>
                  </w:pPr>
                  <w:r>
                    <w:rPr>
                      <w:color w:val="auto"/>
                      <w:spacing w:val="-3"/>
                      <w:szCs w:val="21"/>
                    </w:rPr>
                    <w:t>μg/m</w:t>
                  </w:r>
                  <w:r>
                    <w:rPr>
                      <w:color w:val="auto"/>
                      <w:spacing w:val="-3"/>
                      <w:position w:val="6"/>
                      <w:sz w:val="14"/>
                      <w:szCs w:val="14"/>
                    </w:rPr>
                    <w:t>3</w:t>
                  </w:r>
                </w:p>
              </w:tc>
              <w:tc>
                <w:tcPr>
                  <w:tcW w:w="1266" w:type="dxa"/>
                  <w:vAlign w:val="center"/>
                </w:tcPr>
                <w:p>
                  <w:pPr>
                    <w:widowControl/>
                    <w:kinsoku w:val="0"/>
                    <w:autoSpaceDE w:val="0"/>
                    <w:autoSpaceDN w:val="0"/>
                    <w:adjustRightInd w:val="0"/>
                    <w:snapToGrid w:val="0"/>
                    <w:jc w:val="center"/>
                    <w:textAlignment w:val="baseline"/>
                    <w:rPr>
                      <w:color w:val="auto"/>
                      <w:szCs w:val="21"/>
                    </w:rPr>
                  </w:pPr>
                  <w:r>
                    <w:rPr>
                      <w:color w:val="auto"/>
                      <w:spacing w:val="-5"/>
                      <w:szCs w:val="21"/>
                    </w:rPr>
                    <w:t>60</w:t>
                  </w:r>
                </w:p>
              </w:tc>
              <w:tc>
                <w:tcPr>
                  <w:tcW w:w="2844" w:type="dxa"/>
                  <w:vMerge w:val="restart"/>
                  <w:vAlign w:val="center"/>
                </w:tcPr>
                <w:p>
                  <w:pPr>
                    <w:widowControl/>
                    <w:kinsoku w:val="0"/>
                    <w:autoSpaceDE w:val="0"/>
                    <w:autoSpaceDN w:val="0"/>
                    <w:adjustRightInd w:val="0"/>
                    <w:snapToGrid w:val="0"/>
                    <w:jc w:val="center"/>
                    <w:textAlignment w:val="baseline"/>
                    <w:rPr>
                      <w:color w:val="auto"/>
                      <w:w w:val="101"/>
                      <w:szCs w:val="21"/>
                    </w:rPr>
                  </w:pPr>
                  <w:r>
                    <w:rPr>
                      <w:color w:val="auto"/>
                      <w:spacing w:val="-2"/>
                      <w:szCs w:val="21"/>
                    </w:rPr>
                    <w:t>《环境空气质量标准》</w:t>
                  </w:r>
                </w:p>
                <w:p>
                  <w:pPr>
                    <w:widowControl/>
                    <w:kinsoku w:val="0"/>
                    <w:autoSpaceDE w:val="0"/>
                    <w:autoSpaceDN w:val="0"/>
                    <w:adjustRightInd w:val="0"/>
                    <w:snapToGrid w:val="0"/>
                    <w:jc w:val="center"/>
                    <w:textAlignment w:val="baseline"/>
                    <w:rPr>
                      <w:color w:val="auto"/>
                      <w:szCs w:val="21"/>
                    </w:rPr>
                  </w:pPr>
                  <w:r>
                    <w:rPr>
                      <w:color w:val="auto"/>
                      <w:spacing w:val="-2"/>
                      <w:szCs w:val="21"/>
                    </w:rPr>
                    <w:t>（GB3095-2012）</w:t>
                  </w:r>
                  <w:r>
                    <w:rPr>
                      <w:rFonts w:hint="eastAsia"/>
                      <w:color w:val="auto"/>
                      <w:spacing w:val="-2"/>
                      <w:szCs w:val="21"/>
                    </w:rPr>
                    <w:t>及其修改单中的</w:t>
                  </w:r>
                  <w:r>
                    <w:rPr>
                      <w:color w:val="auto"/>
                      <w:spacing w:val="-2"/>
                      <w:szCs w:val="21"/>
                    </w:rPr>
                    <w:t>二级标准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16"/>
                      <w:szCs w:val="21"/>
                    </w:rPr>
                    <w:t>24小时平均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zCs w:val="21"/>
                    </w:rPr>
                  </w:pPr>
                  <w:r>
                    <w:rPr>
                      <w:color w:val="auto"/>
                      <w:spacing w:val="-8"/>
                      <w:szCs w:val="21"/>
                    </w:rPr>
                    <w:t>150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4"/>
                      <w:szCs w:val="21"/>
                    </w:rPr>
                    <w:t>1小时平均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500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restart"/>
                  <w:vAlign w:val="center"/>
                </w:tcPr>
                <w:p>
                  <w:pPr>
                    <w:widowControl/>
                    <w:kinsoku w:val="0"/>
                    <w:autoSpaceDE w:val="0"/>
                    <w:autoSpaceDN w:val="0"/>
                    <w:adjustRightInd w:val="0"/>
                    <w:snapToGrid w:val="0"/>
                    <w:jc w:val="center"/>
                    <w:textAlignment w:val="baseline"/>
                    <w:rPr>
                      <w:color w:val="auto"/>
                      <w:sz w:val="14"/>
                      <w:szCs w:val="14"/>
                    </w:rPr>
                  </w:pPr>
                  <w:r>
                    <w:rPr>
                      <w:color w:val="auto"/>
                      <w:szCs w:val="21"/>
                    </w:rPr>
                    <w:t>NO</w:t>
                  </w:r>
                  <w:r>
                    <w:rPr>
                      <w:color w:val="auto"/>
                      <w:position w:val="-1"/>
                      <w:sz w:val="14"/>
                      <w:szCs w:val="14"/>
                    </w:rPr>
                    <w:t>2</w:t>
                  </w: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4"/>
                      <w:szCs w:val="21"/>
                    </w:rPr>
                    <w:t>年平均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40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16"/>
                      <w:szCs w:val="21"/>
                    </w:rPr>
                    <w:t>24小时平均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80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4"/>
                      <w:szCs w:val="21"/>
                    </w:rPr>
                    <w:t>1小时平均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200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restart"/>
                  <w:vAlign w:val="center"/>
                </w:tcPr>
                <w:p>
                  <w:pPr>
                    <w:widowControl/>
                    <w:kinsoku w:val="0"/>
                    <w:autoSpaceDE w:val="0"/>
                    <w:autoSpaceDN w:val="0"/>
                    <w:adjustRightInd w:val="0"/>
                    <w:snapToGrid w:val="0"/>
                    <w:jc w:val="center"/>
                    <w:textAlignment w:val="baseline"/>
                    <w:rPr>
                      <w:color w:val="auto"/>
                      <w:sz w:val="14"/>
                      <w:szCs w:val="14"/>
                    </w:rPr>
                  </w:pPr>
                  <w:r>
                    <w:rPr>
                      <w:color w:val="auto"/>
                      <w:spacing w:val="-2"/>
                      <w:szCs w:val="21"/>
                    </w:rPr>
                    <w:t>PM</w:t>
                  </w:r>
                  <w:r>
                    <w:rPr>
                      <w:color w:val="auto"/>
                      <w:spacing w:val="-2"/>
                      <w:position w:val="-1"/>
                      <w:sz w:val="14"/>
                      <w:szCs w:val="14"/>
                    </w:rPr>
                    <w:t>10</w:t>
                  </w: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4"/>
                      <w:szCs w:val="21"/>
                    </w:rPr>
                    <w:t>年平均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70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16"/>
                      <w:szCs w:val="21"/>
                    </w:rPr>
                    <w:t>24小时平均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150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restart"/>
                  <w:vAlign w:val="center"/>
                </w:tcPr>
                <w:p>
                  <w:pPr>
                    <w:widowControl/>
                    <w:kinsoku w:val="0"/>
                    <w:autoSpaceDE w:val="0"/>
                    <w:autoSpaceDN w:val="0"/>
                    <w:adjustRightInd w:val="0"/>
                    <w:snapToGrid w:val="0"/>
                    <w:jc w:val="center"/>
                    <w:textAlignment w:val="baseline"/>
                    <w:rPr>
                      <w:color w:val="auto"/>
                      <w:sz w:val="14"/>
                      <w:szCs w:val="14"/>
                    </w:rPr>
                  </w:pPr>
                  <w:r>
                    <w:rPr>
                      <w:color w:val="auto"/>
                      <w:szCs w:val="21"/>
                    </w:rPr>
                    <w:t>PM</w:t>
                  </w:r>
                  <w:r>
                    <w:rPr>
                      <w:color w:val="auto"/>
                      <w:position w:val="-1"/>
                      <w:sz w:val="14"/>
                      <w:szCs w:val="14"/>
                    </w:rPr>
                    <w:t>2.5</w:t>
                  </w: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4"/>
                      <w:szCs w:val="21"/>
                    </w:rPr>
                    <w:t>年平均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35</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16"/>
                      <w:szCs w:val="21"/>
                    </w:rPr>
                    <w:t>24小时平均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75</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restart"/>
                  <w:vAlign w:val="center"/>
                </w:tcPr>
                <w:p>
                  <w:pPr>
                    <w:widowControl/>
                    <w:kinsoku w:val="0"/>
                    <w:autoSpaceDE w:val="0"/>
                    <w:autoSpaceDN w:val="0"/>
                    <w:adjustRightInd w:val="0"/>
                    <w:snapToGrid w:val="0"/>
                    <w:jc w:val="center"/>
                    <w:textAlignment w:val="baseline"/>
                    <w:rPr>
                      <w:color w:val="auto"/>
                      <w:szCs w:val="21"/>
                    </w:rPr>
                  </w:pPr>
                  <w:r>
                    <w:rPr>
                      <w:color w:val="auto"/>
                      <w:spacing w:val="-5"/>
                      <w:szCs w:val="21"/>
                    </w:rPr>
                    <w:t>CO</w:t>
                  </w: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16"/>
                      <w:szCs w:val="21"/>
                    </w:rPr>
                    <w:t>24小时平均</w:t>
                  </w:r>
                </w:p>
              </w:tc>
              <w:tc>
                <w:tcPr>
                  <w:tcW w:w="920" w:type="dxa"/>
                  <w:vMerge w:val="restart"/>
                  <w:vAlign w:val="center"/>
                </w:tcPr>
                <w:p>
                  <w:pPr>
                    <w:widowControl/>
                    <w:kinsoku w:val="0"/>
                    <w:autoSpaceDE w:val="0"/>
                    <w:autoSpaceDN w:val="0"/>
                    <w:adjustRightInd w:val="0"/>
                    <w:snapToGrid w:val="0"/>
                    <w:jc w:val="center"/>
                    <w:textAlignment w:val="baseline"/>
                    <w:rPr>
                      <w:color w:val="auto"/>
                      <w:sz w:val="14"/>
                      <w:szCs w:val="14"/>
                    </w:rPr>
                  </w:pPr>
                  <w:r>
                    <w:rPr>
                      <w:color w:val="auto"/>
                      <w:spacing w:val="-1"/>
                      <w:szCs w:val="21"/>
                    </w:rPr>
                    <w:t>mg/m</w:t>
                  </w:r>
                  <w:r>
                    <w:rPr>
                      <w:color w:val="auto"/>
                      <w:spacing w:val="-1"/>
                      <w:position w:val="6"/>
                      <w:sz w:val="14"/>
                      <w:szCs w:val="14"/>
                    </w:rPr>
                    <w:t>3</w:t>
                  </w: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4</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4"/>
                      <w:szCs w:val="21"/>
                    </w:rPr>
                    <w:t>1小时平均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10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restart"/>
                  <w:vAlign w:val="center"/>
                </w:tcPr>
                <w:p>
                  <w:pPr>
                    <w:widowControl/>
                    <w:kinsoku w:val="0"/>
                    <w:autoSpaceDE w:val="0"/>
                    <w:autoSpaceDN w:val="0"/>
                    <w:adjustRightInd w:val="0"/>
                    <w:snapToGrid w:val="0"/>
                    <w:jc w:val="center"/>
                    <w:textAlignment w:val="baseline"/>
                    <w:rPr>
                      <w:color w:val="auto"/>
                      <w:sz w:val="14"/>
                      <w:szCs w:val="14"/>
                    </w:rPr>
                  </w:pPr>
                  <w:r>
                    <w:rPr>
                      <w:color w:val="auto"/>
                      <w:spacing w:val="-5"/>
                      <w:szCs w:val="21"/>
                    </w:rPr>
                    <w:t>O</w:t>
                  </w:r>
                  <w:r>
                    <w:rPr>
                      <w:color w:val="auto"/>
                      <w:spacing w:val="-5"/>
                      <w:position w:val="-1"/>
                      <w:sz w:val="14"/>
                      <w:szCs w:val="14"/>
                    </w:rPr>
                    <w:t>3</w:t>
                  </w: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10"/>
                      <w:w w:val="97"/>
                      <w:szCs w:val="21"/>
                    </w:rPr>
                    <w:t>日最大8小</w:t>
                  </w:r>
                  <w:r>
                    <w:rPr>
                      <w:color w:val="auto"/>
                      <w:spacing w:val="-7"/>
                      <w:szCs w:val="21"/>
                    </w:rPr>
                    <w:t>时平均</w:t>
                  </w:r>
                </w:p>
              </w:tc>
              <w:tc>
                <w:tcPr>
                  <w:tcW w:w="920" w:type="dxa"/>
                  <w:vMerge w:val="restart"/>
                  <w:vAlign w:val="center"/>
                </w:tcPr>
                <w:p>
                  <w:pPr>
                    <w:widowControl/>
                    <w:kinsoku w:val="0"/>
                    <w:autoSpaceDE w:val="0"/>
                    <w:autoSpaceDN w:val="0"/>
                    <w:adjustRightInd w:val="0"/>
                    <w:snapToGrid w:val="0"/>
                    <w:jc w:val="center"/>
                    <w:textAlignment w:val="baseline"/>
                    <w:rPr>
                      <w:color w:val="auto"/>
                      <w:sz w:val="14"/>
                      <w:szCs w:val="14"/>
                    </w:rPr>
                  </w:pPr>
                  <w:r>
                    <w:rPr>
                      <w:color w:val="auto"/>
                      <w:spacing w:val="-3"/>
                      <w:szCs w:val="21"/>
                    </w:rPr>
                    <w:t>μg/m</w:t>
                  </w:r>
                  <w:r>
                    <w:rPr>
                      <w:color w:val="auto"/>
                      <w:spacing w:val="-3"/>
                      <w:position w:val="6"/>
                      <w:sz w:val="14"/>
                      <w:szCs w:val="14"/>
                    </w:rPr>
                    <w:t>3</w:t>
                  </w: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160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zCs w:val="21"/>
                    </w:rPr>
                  </w:pPr>
                  <w:r>
                    <w:rPr>
                      <w:color w:val="auto"/>
                      <w:spacing w:val="-4"/>
                      <w:szCs w:val="21"/>
                    </w:rPr>
                    <w:t>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zCs w:val="21"/>
                    </w:rPr>
                  </w:pPr>
                  <w:r>
                    <w:rPr>
                      <w:color w:val="auto"/>
                      <w:spacing w:val="-2"/>
                      <w:szCs w:val="21"/>
                    </w:rPr>
                    <w:t>200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restart"/>
                  <w:vAlign w:val="center"/>
                </w:tcPr>
                <w:p>
                  <w:pPr>
                    <w:widowControl/>
                    <w:kinsoku w:val="0"/>
                    <w:autoSpaceDE w:val="0"/>
                    <w:autoSpaceDN w:val="0"/>
                    <w:adjustRightInd w:val="0"/>
                    <w:snapToGrid w:val="0"/>
                    <w:jc w:val="center"/>
                    <w:textAlignment w:val="baseline"/>
                    <w:rPr>
                      <w:color w:val="auto"/>
                    </w:rPr>
                  </w:pPr>
                  <w:r>
                    <w:rPr>
                      <w:color w:val="auto"/>
                    </w:rPr>
                    <w:t>TSP</w:t>
                  </w:r>
                </w:p>
              </w:tc>
              <w:tc>
                <w:tcPr>
                  <w:tcW w:w="2094" w:type="dxa"/>
                  <w:vAlign w:val="center"/>
                </w:tcPr>
                <w:p>
                  <w:pPr>
                    <w:widowControl/>
                    <w:kinsoku w:val="0"/>
                    <w:autoSpaceDE w:val="0"/>
                    <w:autoSpaceDN w:val="0"/>
                    <w:adjustRightInd w:val="0"/>
                    <w:snapToGrid w:val="0"/>
                    <w:jc w:val="center"/>
                    <w:textAlignment w:val="baseline"/>
                    <w:rPr>
                      <w:color w:val="auto"/>
                      <w:spacing w:val="-4"/>
                      <w:szCs w:val="21"/>
                    </w:rPr>
                  </w:pPr>
                  <w:r>
                    <w:rPr>
                      <w:color w:val="auto"/>
                      <w:spacing w:val="-4"/>
                      <w:szCs w:val="21"/>
                    </w:rPr>
                    <w:t>年平均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200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pacing w:val="-4"/>
                      <w:szCs w:val="21"/>
                    </w:rPr>
                  </w:pPr>
                  <w:r>
                    <w:rPr>
                      <w:color w:val="auto"/>
                      <w:spacing w:val="-16"/>
                      <w:szCs w:val="21"/>
                    </w:rPr>
                    <w:t>24小时平均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300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restart"/>
                  <w:vAlign w:val="center"/>
                </w:tcPr>
                <w:p>
                  <w:pPr>
                    <w:widowControl/>
                    <w:kinsoku w:val="0"/>
                    <w:autoSpaceDE w:val="0"/>
                    <w:autoSpaceDN w:val="0"/>
                    <w:adjustRightInd w:val="0"/>
                    <w:snapToGrid w:val="0"/>
                    <w:jc w:val="center"/>
                    <w:textAlignment w:val="baseline"/>
                    <w:rPr>
                      <w:color w:val="auto"/>
                    </w:rPr>
                  </w:pPr>
                  <w:r>
                    <w:rPr>
                      <w:color w:val="auto"/>
                    </w:rPr>
                    <w:t>氮氧化物</w:t>
                  </w:r>
                </w:p>
              </w:tc>
              <w:tc>
                <w:tcPr>
                  <w:tcW w:w="2094" w:type="dxa"/>
                  <w:vAlign w:val="center"/>
                </w:tcPr>
                <w:p>
                  <w:pPr>
                    <w:widowControl/>
                    <w:kinsoku w:val="0"/>
                    <w:autoSpaceDE w:val="0"/>
                    <w:autoSpaceDN w:val="0"/>
                    <w:adjustRightInd w:val="0"/>
                    <w:snapToGrid w:val="0"/>
                    <w:jc w:val="center"/>
                    <w:textAlignment w:val="baseline"/>
                    <w:rPr>
                      <w:color w:val="auto"/>
                      <w:spacing w:val="-4"/>
                      <w:szCs w:val="21"/>
                    </w:rPr>
                  </w:pPr>
                  <w:r>
                    <w:rPr>
                      <w:color w:val="auto"/>
                      <w:spacing w:val="-4"/>
                      <w:szCs w:val="21"/>
                    </w:rPr>
                    <w:t>年平均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50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pacing w:val="-4"/>
                      <w:szCs w:val="21"/>
                    </w:rPr>
                  </w:pPr>
                  <w:r>
                    <w:rPr>
                      <w:color w:val="auto"/>
                      <w:spacing w:val="-16"/>
                      <w:szCs w:val="21"/>
                    </w:rPr>
                    <w:t>24小时平均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100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Merge w:val="continue"/>
                  <w:vAlign w:val="center"/>
                </w:tcPr>
                <w:p>
                  <w:pPr>
                    <w:widowControl/>
                    <w:kinsoku w:val="0"/>
                    <w:autoSpaceDE w:val="0"/>
                    <w:autoSpaceDN w:val="0"/>
                    <w:adjustRightInd w:val="0"/>
                    <w:snapToGrid w:val="0"/>
                    <w:jc w:val="center"/>
                    <w:textAlignment w:val="baseline"/>
                    <w:rPr>
                      <w:color w:val="auto"/>
                    </w:rPr>
                  </w:pPr>
                </w:p>
              </w:tc>
              <w:tc>
                <w:tcPr>
                  <w:tcW w:w="2094" w:type="dxa"/>
                  <w:vAlign w:val="center"/>
                </w:tcPr>
                <w:p>
                  <w:pPr>
                    <w:widowControl/>
                    <w:kinsoku w:val="0"/>
                    <w:autoSpaceDE w:val="0"/>
                    <w:autoSpaceDN w:val="0"/>
                    <w:adjustRightInd w:val="0"/>
                    <w:snapToGrid w:val="0"/>
                    <w:jc w:val="center"/>
                    <w:textAlignment w:val="baseline"/>
                    <w:rPr>
                      <w:color w:val="auto"/>
                      <w:spacing w:val="-4"/>
                      <w:szCs w:val="21"/>
                    </w:rPr>
                  </w:pPr>
                  <w:r>
                    <w:rPr>
                      <w:color w:val="auto"/>
                      <w:spacing w:val="-4"/>
                      <w:szCs w:val="21"/>
                    </w:rPr>
                    <w:t>1小时平均</w:t>
                  </w:r>
                </w:p>
              </w:tc>
              <w:tc>
                <w:tcPr>
                  <w:tcW w:w="920" w:type="dxa"/>
                  <w:vMerge w:val="continue"/>
                  <w:vAlign w:val="center"/>
                </w:tcPr>
                <w:p>
                  <w:pPr>
                    <w:widowControl/>
                    <w:kinsoku w:val="0"/>
                    <w:autoSpaceDE w:val="0"/>
                    <w:autoSpaceDN w:val="0"/>
                    <w:adjustRightInd w:val="0"/>
                    <w:snapToGrid w:val="0"/>
                    <w:jc w:val="center"/>
                    <w:textAlignment w:val="baseline"/>
                    <w:rPr>
                      <w:color w:val="auto"/>
                    </w:rPr>
                  </w:pPr>
                </w:p>
              </w:tc>
              <w:tc>
                <w:tcPr>
                  <w:tcW w:w="1266" w:type="dxa"/>
                  <w:vAlign w:val="center"/>
                </w:tcPr>
                <w:p>
                  <w:pPr>
                    <w:widowControl/>
                    <w:kinsoku w:val="0"/>
                    <w:autoSpaceDE w:val="0"/>
                    <w:autoSpaceDN w:val="0"/>
                    <w:adjustRightInd w:val="0"/>
                    <w:snapToGrid w:val="0"/>
                    <w:jc w:val="center"/>
                    <w:textAlignment w:val="baseline"/>
                    <w:rPr>
                      <w:color w:val="auto"/>
                      <w:spacing w:val="-2"/>
                      <w:szCs w:val="21"/>
                    </w:rPr>
                  </w:pPr>
                  <w:r>
                    <w:rPr>
                      <w:color w:val="auto"/>
                      <w:spacing w:val="-2"/>
                      <w:szCs w:val="21"/>
                    </w:rPr>
                    <w:t>250</w:t>
                  </w:r>
                </w:p>
              </w:tc>
              <w:tc>
                <w:tcPr>
                  <w:tcW w:w="2844" w:type="dxa"/>
                  <w:vMerge w:val="continue"/>
                  <w:vAlign w:val="center"/>
                </w:tcPr>
                <w:p>
                  <w:pPr>
                    <w:widowControl/>
                    <w:kinsoku w:val="0"/>
                    <w:autoSpaceDE w:val="0"/>
                    <w:autoSpaceDN w:val="0"/>
                    <w:adjustRightInd w:val="0"/>
                    <w:snapToGrid w:val="0"/>
                    <w:jc w:val="center"/>
                    <w:textAlignment w:val="baseline"/>
                    <w:rPr>
                      <w:color w:val="auto"/>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4" w:space="0"/>
                </w:tblBorders>
                <w:tblCellMar>
                  <w:top w:w="0" w:type="dxa"/>
                  <w:left w:w="0" w:type="dxa"/>
                  <w:bottom w:w="0" w:type="dxa"/>
                  <w:right w:w="0" w:type="dxa"/>
                </w:tblCellMar>
              </w:tblPrEx>
              <w:trPr>
                <w:trHeight w:val="312" w:hRule="atLeast"/>
                <w:jc w:val="center"/>
              </w:trPr>
              <w:tc>
                <w:tcPr>
                  <w:tcW w:w="1380" w:type="dxa"/>
                  <w:vAlign w:val="center"/>
                </w:tcPr>
                <w:p>
                  <w:pPr>
                    <w:widowControl/>
                    <w:kinsoku w:val="0"/>
                    <w:autoSpaceDE w:val="0"/>
                    <w:autoSpaceDN w:val="0"/>
                    <w:adjustRightInd w:val="0"/>
                    <w:snapToGrid w:val="0"/>
                    <w:jc w:val="center"/>
                    <w:textAlignment w:val="baseline"/>
                    <w:rPr>
                      <w:color w:val="auto"/>
                    </w:rPr>
                  </w:pPr>
                  <w:r>
                    <w:rPr>
                      <w:rFonts w:hint="eastAsia"/>
                      <w:color w:val="auto"/>
                    </w:rPr>
                    <w:t>非甲烷总烃</w:t>
                  </w:r>
                </w:p>
              </w:tc>
              <w:tc>
                <w:tcPr>
                  <w:tcW w:w="2094" w:type="dxa"/>
                  <w:vAlign w:val="center"/>
                </w:tcPr>
                <w:p>
                  <w:pPr>
                    <w:jc w:val="center"/>
                    <w:rPr>
                      <w:color w:val="auto"/>
                      <w:spacing w:val="-16"/>
                      <w:szCs w:val="21"/>
                    </w:rPr>
                  </w:pPr>
                  <w:r>
                    <w:rPr>
                      <w:rFonts w:eastAsia="FZFSK--GBK1-0"/>
                      <w:color w:val="auto"/>
                      <w:szCs w:val="21"/>
                    </w:rPr>
                    <w:t>1小时均值</w:t>
                  </w:r>
                </w:p>
              </w:tc>
              <w:tc>
                <w:tcPr>
                  <w:tcW w:w="920" w:type="dxa"/>
                  <w:vAlign w:val="center"/>
                </w:tcPr>
                <w:p>
                  <w:pPr>
                    <w:jc w:val="center"/>
                    <w:rPr>
                      <w:color w:val="auto"/>
                    </w:rPr>
                  </w:pPr>
                  <w:r>
                    <w:rPr>
                      <w:rFonts w:eastAsia="FZFSK--GBK1-0"/>
                      <w:color w:val="auto"/>
                      <w:szCs w:val="21"/>
                    </w:rPr>
                    <w:t>mg/m</w:t>
                  </w:r>
                  <w:r>
                    <w:rPr>
                      <w:rFonts w:eastAsia="FZFSK--GBK1-0"/>
                      <w:color w:val="auto"/>
                      <w:szCs w:val="21"/>
                      <w:vertAlign w:val="superscript"/>
                    </w:rPr>
                    <w:t>3</w:t>
                  </w:r>
                </w:p>
              </w:tc>
              <w:tc>
                <w:tcPr>
                  <w:tcW w:w="1266" w:type="dxa"/>
                  <w:vAlign w:val="center"/>
                </w:tcPr>
                <w:p>
                  <w:pPr>
                    <w:jc w:val="center"/>
                    <w:rPr>
                      <w:color w:val="auto"/>
                      <w:spacing w:val="-2"/>
                      <w:szCs w:val="21"/>
                    </w:rPr>
                  </w:pPr>
                  <w:r>
                    <w:rPr>
                      <w:rFonts w:eastAsia="FZFSK--GBK1-0"/>
                      <w:color w:val="auto"/>
                      <w:szCs w:val="21"/>
                    </w:rPr>
                    <w:t>2.0</w:t>
                  </w:r>
                </w:p>
              </w:tc>
              <w:tc>
                <w:tcPr>
                  <w:tcW w:w="2844" w:type="dxa"/>
                  <w:vAlign w:val="center"/>
                </w:tcPr>
                <w:p>
                  <w:pPr>
                    <w:jc w:val="center"/>
                    <w:rPr>
                      <w:color w:val="auto"/>
                    </w:rPr>
                  </w:pPr>
                  <w:r>
                    <w:rPr>
                      <w:rFonts w:eastAsia="FZFSK--GBK1-0"/>
                      <w:color w:val="auto"/>
                      <w:szCs w:val="21"/>
                    </w:rPr>
                    <w:t>《大气污染物综合排放标准详解》</w:t>
                  </w:r>
                  <w:r>
                    <w:rPr>
                      <w:rFonts w:hint="eastAsia" w:eastAsia="FZFSK--GBK1-0"/>
                      <w:color w:val="auto"/>
                      <w:szCs w:val="21"/>
                    </w:rPr>
                    <w:t>（</w:t>
                  </w:r>
                  <w:r>
                    <w:rPr>
                      <w:rFonts w:eastAsia="FZFSK--GBK1-0"/>
                      <w:color w:val="auto"/>
                      <w:szCs w:val="21"/>
                    </w:rPr>
                    <w:t>GB16297-1996</w:t>
                  </w:r>
                  <w:r>
                    <w:rPr>
                      <w:rFonts w:hint="eastAsia" w:eastAsia="FZFSK--GBK1-0"/>
                      <w:color w:val="auto"/>
                      <w:szCs w:val="21"/>
                    </w:rPr>
                    <w:t>）</w:t>
                  </w:r>
                </w:p>
              </w:tc>
            </w:tr>
          </w:tbl>
          <w:p>
            <w:pPr>
              <w:pStyle w:val="4"/>
              <w:spacing w:before="140" w:after="60" w:line="360" w:lineRule="auto"/>
              <w:ind w:left="0" w:firstLine="0"/>
              <w:rPr>
                <w:rFonts w:ascii="Times New Roman" w:hAnsi="Times New Roman" w:eastAsia="宋体" w:cs="Times New Roman"/>
                <w:color w:val="auto"/>
                <w:lang w:val="en-US"/>
              </w:rPr>
            </w:pPr>
            <w:r>
              <w:rPr>
                <w:rFonts w:ascii="Times New Roman" w:hAnsi="Times New Roman" w:eastAsia="宋体" w:cs="Times New Roman"/>
                <w:color w:val="auto"/>
                <w:lang w:val="en-US"/>
              </w:rPr>
              <w:t>3.</w:t>
            </w:r>
            <w:r>
              <w:rPr>
                <w:rFonts w:hint="eastAsia" w:ascii="Times New Roman" w:hAnsi="Times New Roman" w:eastAsia="宋体" w:cs="Times New Roman"/>
                <w:color w:val="auto"/>
                <w:lang w:val="en-US"/>
              </w:rPr>
              <w:t>1</w:t>
            </w:r>
            <w:r>
              <w:rPr>
                <w:rFonts w:ascii="Times New Roman" w:hAnsi="Times New Roman" w:eastAsia="宋体" w:cs="Times New Roman"/>
                <w:color w:val="auto"/>
                <w:lang w:val="en-US"/>
              </w:rPr>
              <w:t>.</w:t>
            </w:r>
            <w:r>
              <w:rPr>
                <w:rFonts w:hint="eastAsia" w:ascii="Times New Roman" w:hAnsi="Times New Roman" w:eastAsia="宋体" w:cs="Times New Roman"/>
                <w:color w:val="auto"/>
                <w:lang w:val="en-US"/>
              </w:rPr>
              <w:t>2环境空气质量现状</w:t>
            </w:r>
          </w:p>
          <w:p>
            <w:pPr>
              <w:adjustRightInd w:val="0"/>
              <w:snapToGrid w:val="0"/>
              <w:spacing w:line="360" w:lineRule="auto"/>
              <w:ind w:left="420" w:leftChars="200"/>
              <w:rPr>
                <w:color w:val="auto"/>
                <w:sz w:val="24"/>
              </w:rPr>
            </w:pPr>
            <w:r>
              <w:rPr>
                <w:rFonts w:hint="eastAsia"/>
                <w:color w:val="auto"/>
                <w:sz w:val="24"/>
              </w:rPr>
              <w:t>（1）项目所在区域达标判断</w:t>
            </w:r>
          </w:p>
          <w:p>
            <w:pPr>
              <w:adjustRightInd w:val="0"/>
              <w:snapToGrid w:val="0"/>
              <w:spacing w:line="360" w:lineRule="auto"/>
              <w:ind w:left="420" w:leftChars="200"/>
              <w:rPr>
                <w:color w:val="auto"/>
                <w:sz w:val="24"/>
              </w:rPr>
            </w:pPr>
            <w:r>
              <w:rPr>
                <w:rFonts w:hint="eastAsia"/>
                <w:color w:val="auto"/>
                <w:sz w:val="24"/>
              </w:rPr>
              <w:t>①基本污染因子</w:t>
            </w:r>
          </w:p>
          <w:p>
            <w:pPr>
              <w:adjustRightInd w:val="0"/>
              <w:snapToGrid w:val="0"/>
              <w:spacing w:line="360" w:lineRule="auto"/>
              <w:ind w:left="420" w:leftChars="200"/>
              <w:rPr>
                <w:color w:val="auto"/>
                <w:sz w:val="24"/>
              </w:rPr>
            </w:pPr>
            <w:r>
              <w:rPr>
                <w:rFonts w:hint="eastAsia"/>
                <w:color w:val="auto"/>
                <w:sz w:val="24"/>
              </w:rPr>
              <w:t>A、环境质量现状</w:t>
            </w:r>
          </w:p>
          <w:p>
            <w:pPr>
              <w:adjustRightInd w:val="0"/>
              <w:snapToGrid w:val="0"/>
              <w:spacing w:line="360" w:lineRule="auto"/>
              <w:ind w:firstLine="480" w:firstLineChars="200"/>
              <w:rPr>
                <w:color w:val="auto"/>
                <w:sz w:val="24"/>
              </w:rPr>
            </w:pPr>
            <w:r>
              <w:rPr>
                <w:rFonts w:hint="eastAsia"/>
                <w:color w:val="auto"/>
                <w:sz w:val="24"/>
              </w:rPr>
              <w:t>根据福州市长乐区人民政府网站公布的2024年1月-12月福州市长乐区环境质量月通报报表（网址：http://www.fzcl.gov.cn/xjwz/zwgk/zfxxgkzdgz/hjbh/kqzlyb/）可知，2024年全年长乐区环境空气质量现状监测结果详见</w:t>
            </w:r>
            <w:r>
              <w:rPr>
                <w:rFonts w:hint="eastAsia"/>
                <w:b/>
                <w:bCs/>
                <w:color w:val="auto"/>
                <w:sz w:val="24"/>
              </w:rPr>
              <w:t>表3.1-2</w:t>
            </w:r>
            <w:r>
              <w:rPr>
                <w:rFonts w:hint="eastAsia"/>
                <w:color w:val="auto"/>
                <w:sz w:val="24"/>
              </w:rPr>
              <w:t>。</w:t>
            </w:r>
          </w:p>
          <w:p>
            <w:pPr>
              <w:pStyle w:val="181"/>
              <w:spacing w:before="0" w:beforeLines="0"/>
              <w:rPr>
                <w:color w:val="auto"/>
                <w:szCs w:val="24"/>
              </w:rPr>
            </w:pPr>
            <w:r>
              <w:rPr>
                <w:color w:val="auto"/>
                <w:szCs w:val="24"/>
              </w:rPr>
              <w:t>表3.</w:t>
            </w:r>
            <w:r>
              <w:rPr>
                <w:rFonts w:hint="eastAsia"/>
                <w:color w:val="auto"/>
                <w:szCs w:val="24"/>
              </w:rPr>
              <w:t>1</w:t>
            </w:r>
            <w:r>
              <w:rPr>
                <w:color w:val="auto"/>
                <w:szCs w:val="24"/>
              </w:rPr>
              <w:t>-</w:t>
            </w:r>
            <w:r>
              <w:rPr>
                <w:rFonts w:hint="eastAsia"/>
                <w:color w:val="auto"/>
                <w:szCs w:val="24"/>
              </w:rPr>
              <w:t xml:space="preserve">2  </w:t>
            </w:r>
            <w:r>
              <w:rPr>
                <w:color w:val="auto"/>
                <w:szCs w:val="24"/>
              </w:rPr>
              <w:t>202</w:t>
            </w:r>
            <w:r>
              <w:rPr>
                <w:rFonts w:hint="eastAsia"/>
                <w:color w:val="auto"/>
                <w:szCs w:val="24"/>
              </w:rPr>
              <w:t>4</w:t>
            </w:r>
            <w:r>
              <w:rPr>
                <w:color w:val="auto"/>
                <w:szCs w:val="24"/>
              </w:rPr>
              <w:t>年1月-12月福州市长乐区环境质量月通报一览表</w:t>
            </w:r>
          </w:p>
          <w:tbl>
            <w:tblPr>
              <w:tblStyle w:val="179"/>
              <w:tblW w:w="8504"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718"/>
              <w:gridCol w:w="1119"/>
              <w:gridCol w:w="1119"/>
              <w:gridCol w:w="1119"/>
              <w:gridCol w:w="1119"/>
              <w:gridCol w:w="1166"/>
              <w:gridCol w:w="1144"/>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vMerge w:val="restart"/>
                  <w:tcBorders>
                    <w:tl2br w:val="nil"/>
                    <w:tr2bl w:val="nil"/>
                  </w:tcBorders>
                  <w:vAlign w:val="center"/>
                </w:tcPr>
                <w:p>
                  <w:pPr>
                    <w:pStyle w:val="159"/>
                    <w:spacing w:before="65" w:line="228" w:lineRule="auto"/>
                    <w:ind w:left="607"/>
                    <w:rPr>
                      <w:rFonts w:ascii="Times New Roman" w:hAnsi="Times New Roman" w:cs="Times New Roman"/>
                      <w:color w:val="auto"/>
                      <w:sz w:val="21"/>
                      <w:szCs w:val="21"/>
                      <w:lang w:eastAsia="zh-CN"/>
                    </w:rPr>
                  </w:pPr>
                  <w:r>
                    <w:rPr>
                      <w:rFonts w:ascii="Times New Roman" w:hAnsi="Times New Roman" w:cs="Times New Roman"/>
                      <w:color w:val="auto"/>
                      <w:spacing w:val="3"/>
                      <w:sz w:val="21"/>
                      <w:szCs w:val="21"/>
                      <w:lang w:eastAsia="zh-CN"/>
                    </w:rPr>
                    <w:t>项目</w:t>
                  </w:r>
                </w:p>
              </w:tc>
              <w:tc>
                <w:tcPr>
                  <w:tcW w:w="6786" w:type="dxa"/>
                  <w:gridSpan w:val="6"/>
                  <w:tcBorders>
                    <w:tl2br w:val="nil"/>
                    <w:tr2bl w:val="nil"/>
                  </w:tcBorders>
                </w:tcPr>
                <w:p>
                  <w:pPr>
                    <w:pStyle w:val="159"/>
                    <w:spacing w:before="123" w:line="228" w:lineRule="auto"/>
                    <w:ind w:left="2875"/>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月均值</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vMerge w:val="continue"/>
                  <w:tcBorders>
                    <w:tl2br w:val="nil"/>
                    <w:tr2bl w:val="nil"/>
                  </w:tcBorders>
                </w:tcPr>
                <w:p>
                  <w:pPr>
                    <w:rPr>
                      <w:color w:val="auto"/>
                      <w:szCs w:val="21"/>
                    </w:rPr>
                  </w:pPr>
                </w:p>
              </w:tc>
              <w:tc>
                <w:tcPr>
                  <w:tcW w:w="1119" w:type="dxa"/>
                  <w:tcBorders>
                    <w:tl2br w:val="nil"/>
                    <w:tr2bl w:val="nil"/>
                  </w:tcBorders>
                </w:tcPr>
                <w:p>
                  <w:pPr>
                    <w:spacing w:before="155" w:line="202" w:lineRule="auto"/>
                    <w:ind w:left="367"/>
                    <w:rPr>
                      <w:rFonts w:eastAsia="Times New Roman"/>
                      <w:color w:val="auto"/>
                      <w:szCs w:val="21"/>
                    </w:rPr>
                  </w:pPr>
                  <w:r>
                    <w:rPr>
                      <w:rFonts w:eastAsia="Times New Roman"/>
                      <w:color w:val="auto"/>
                      <w:szCs w:val="21"/>
                    </w:rPr>
                    <w:t>SO</w:t>
                  </w:r>
                  <w:r>
                    <w:rPr>
                      <w:rFonts w:eastAsia="Times New Roman"/>
                      <w:color w:val="auto"/>
                      <w:spacing w:val="3"/>
                      <w:position w:val="-1"/>
                      <w:szCs w:val="21"/>
                      <w:vertAlign w:val="subscript"/>
                    </w:rPr>
                    <w:t>2</w:t>
                  </w:r>
                </w:p>
              </w:tc>
              <w:tc>
                <w:tcPr>
                  <w:tcW w:w="1119" w:type="dxa"/>
                  <w:tcBorders>
                    <w:tl2br w:val="nil"/>
                    <w:tr2bl w:val="nil"/>
                  </w:tcBorders>
                </w:tcPr>
                <w:p>
                  <w:pPr>
                    <w:spacing w:before="155" w:line="202" w:lineRule="auto"/>
                    <w:ind w:left="335"/>
                    <w:rPr>
                      <w:rFonts w:eastAsia="Times New Roman"/>
                      <w:color w:val="auto"/>
                      <w:szCs w:val="21"/>
                    </w:rPr>
                  </w:pPr>
                  <w:r>
                    <w:rPr>
                      <w:rFonts w:eastAsia="Times New Roman"/>
                      <w:color w:val="auto"/>
                      <w:spacing w:val="6"/>
                      <w:szCs w:val="21"/>
                    </w:rPr>
                    <w:t>NO</w:t>
                  </w:r>
                  <w:r>
                    <w:rPr>
                      <w:rFonts w:eastAsia="Times New Roman"/>
                      <w:color w:val="auto"/>
                      <w:spacing w:val="6"/>
                      <w:position w:val="-1"/>
                      <w:szCs w:val="21"/>
                      <w:vertAlign w:val="subscript"/>
                    </w:rPr>
                    <w:t>2</w:t>
                  </w:r>
                </w:p>
              </w:tc>
              <w:tc>
                <w:tcPr>
                  <w:tcW w:w="1119" w:type="dxa"/>
                  <w:tcBorders>
                    <w:tl2br w:val="nil"/>
                    <w:tr2bl w:val="nil"/>
                  </w:tcBorders>
                </w:tcPr>
                <w:p>
                  <w:pPr>
                    <w:spacing w:before="157" w:line="199" w:lineRule="auto"/>
                    <w:ind w:left="305"/>
                    <w:rPr>
                      <w:rFonts w:eastAsia="Times New Roman"/>
                      <w:color w:val="auto"/>
                      <w:szCs w:val="21"/>
                    </w:rPr>
                  </w:pPr>
                  <w:r>
                    <w:rPr>
                      <w:rFonts w:eastAsia="Times New Roman"/>
                      <w:color w:val="auto"/>
                      <w:szCs w:val="21"/>
                    </w:rPr>
                    <w:t>PM</w:t>
                  </w:r>
                  <w:r>
                    <w:rPr>
                      <w:rFonts w:eastAsia="Times New Roman"/>
                      <w:color w:val="auto"/>
                      <w:spacing w:val="8"/>
                      <w:position w:val="-1"/>
                      <w:szCs w:val="21"/>
                      <w:vertAlign w:val="subscript"/>
                    </w:rPr>
                    <w:t>10</w:t>
                  </w:r>
                </w:p>
              </w:tc>
              <w:tc>
                <w:tcPr>
                  <w:tcW w:w="1119" w:type="dxa"/>
                  <w:tcBorders>
                    <w:tl2br w:val="nil"/>
                    <w:tr2bl w:val="nil"/>
                  </w:tcBorders>
                </w:tcPr>
                <w:p>
                  <w:pPr>
                    <w:spacing w:before="154" w:line="195" w:lineRule="auto"/>
                    <w:ind w:left="384"/>
                    <w:rPr>
                      <w:rFonts w:eastAsia="Times New Roman"/>
                      <w:color w:val="auto"/>
                      <w:szCs w:val="21"/>
                    </w:rPr>
                  </w:pPr>
                  <w:r>
                    <w:rPr>
                      <w:rFonts w:eastAsia="Times New Roman"/>
                      <w:color w:val="auto"/>
                      <w:spacing w:val="2"/>
                      <w:szCs w:val="21"/>
                    </w:rPr>
                    <w:t>CO</w:t>
                  </w:r>
                </w:p>
              </w:tc>
              <w:tc>
                <w:tcPr>
                  <w:tcW w:w="1166" w:type="dxa"/>
                  <w:tcBorders>
                    <w:tl2br w:val="nil"/>
                    <w:tr2bl w:val="nil"/>
                  </w:tcBorders>
                </w:tcPr>
                <w:p>
                  <w:pPr>
                    <w:spacing w:before="151" w:line="206" w:lineRule="auto"/>
                    <w:ind w:left="302"/>
                    <w:rPr>
                      <w:rFonts w:eastAsia="Times New Roman"/>
                      <w:color w:val="auto"/>
                      <w:szCs w:val="21"/>
                    </w:rPr>
                  </w:pPr>
                  <w:r>
                    <w:rPr>
                      <w:rFonts w:eastAsia="Times New Roman"/>
                      <w:color w:val="auto"/>
                      <w:spacing w:val="2"/>
                      <w:szCs w:val="21"/>
                    </w:rPr>
                    <w:t>O</w:t>
                  </w:r>
                  <w:r>
                    <w:rPr>
                      <w:rFonts w:eastAsia="Times New Roman"/>
                      <w:color w:val="auto"/>
                      <w:spacing w:val="2"/>
                      <w:position w:val="-1"/>
                      <w:szCs w:val="21"/>
                      <w:vertAlign w:val="subscript"/>
                    </w:rPr>
                    <w:t>3</w:t>
                  </w:r>
                  <w:r>
                    <w:rPr>
                      <w:rFonts w:eastAsia="Times New Roman"/>
                      <w:color w:val="auto"/>
                      <w:spacing w:val="2"/>
                      <w:szCs w:val="21"/>
                    </w:rPr>
                    <w:t>-8h</w:t>
                  </w:r>
                </w:p>
              </w:tc>
              <w:tc>
                <w:tcPr>
                  <w:tcW w:w="1144" w:type="dxa"/>
                  <w:tcBorders>
                    <w:tl2br w:val="nil"/>
                    <w:tr2bl w:val="nil"/>
                  </w:tcBorders>
                </w:tcPr>
                <w:p>
                  <w:pPr>
                    <w:spacing w:before="157" w:line="199" w:lineRule="auto"/>
                    <w:ind w:left="295"/>
                    <w:rPr>
                      <w:rFonts w:eastAsia="Times New Roman"/>
                      <w:color w:val="auto"/>
                      <w:szCs w:val="21"/>
                    </w:rPr>
                  </w:pPr>
                  <w:r>
                    <w:rPr>
                      <w:rFonts w:eastAsia="Times New Roman"/>
                      <w:color w:val="auto"/>
                      <w:szCs w:val="21"/>
                    </w:rPr>
                    <w:t>PM</w:t>
                  </w:r>
                  <w:r>
                    <w:rPr>
                      <w:rFonts w:eastAsia="Times New Roman"/>
                      <w:color w:val="auto"/>
                      <w:spacing w:val="6"/>
                      <w:position w:val="-1"/>
                      <w:szCs w:val="21"/>
                      <w:vertAlign w:val="subscript"/>
                    </w:rPr>
                    <w:t>2.5</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spacing w:before="155"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.01</w:t>
                  </w:r>
                </w:p>
              </w:tc>
              <w:tc>
                <w:tcPr>
                  <w:tcW w:w="1119" w:type="dxa"/>
                  <w:tcBorders>
                    <w:tl2br w:val="nil"/>
                    <w:tr2bl w:val="nil"/>
                  </w:tcBorders>
                </w:tcPr>
                <w:p>
                  <w:pPr>
                    <w:spacing w:before="155" w:line="195" w:lineRule="auto"/>
                    <w:ind w:left="294"/>
                    <w:rPr>
                      <w:color w:val="auto"/>
                      <w:szCs w:val="21"/>
                    </w:rPr>
                  </w:pPr>
                  <w:r>
                    <w:rPr>
                      <w:rFonts w:eastAsia="Times New Roman"/>
                      <w:color w:val="auto"/>
                      <w:spacing w:val="2"/>
                      <w:szCs w:val="21"/>
                    </w:rPr>
                    <w:t>0.00</w:t>
                  </w:r>
                  <w:r>
                    <w:rPr>
                      <w:rFonts w:hint="eastAsia"/>
                      <w:color w:val="auto"/>
                      <w:spacing w:val="2"/>
                      <w:szCs w:val="21"/>
                    </w:rPr>
                    <w:t>4</w:t>
                  </w:r>
                </w:p>
              </w:tc>
              <w:tc>
                <w:tcPr>
                  <w:tcW w:w="1119" w:type="dxa"/>
                  <w:tcBorders>
                    <w:tl2br w:val="nil"/>
                    <w:tr2bl w:val="nil"/>
                  </w:tcBorders>
                </w:tcPr>
                <w:p>
                  <w:pPr>
                    <w:spacing w:before="155" w:line="195" w:lineRule="auto"/>
                    <w:ind w:left="294"/>
                    <w:rPr>
                      <w:color w:val="auto"/>
                      <w:szCs w:val="21"/>
                    </w:rPr>
                  </w:pPr>
                  <w:r>
                    <w:rPr>
                      <w:rFonts w:eastAsia="Times New Roman"/>
                      <w:color w:val="auto"/>
                      <w:spacing w:val="2"/>
                      <w:szCs w:val="21"/>
                    </w:rPr>
                    <w:t>0.0</w:t>
                  </w:r>
                  <w:r>
                    <w:rPr>
                      <w:rFonts w:hint="eastAsia"/>
                      <w:color w:val="auto"/>
                      <w:spacing w:val="2"/>
                      <w:szCs w:val="21"/>
                    </w:rPr>
                    <w:t>21</w:t>
                  </w:r>
                </w:p>
              </w:tc>
              <w:tc>
                <w:tcPr>
                  <w:tcW w:w="1119" w:type="dxa"/>
                  <w:tcBorders>
                    <w:tl2br w:val="nil"/>
                    <w:tr2bl w:val="nil"/>
                  </w:tcBorders>
                </w:tcPr>
                <w:p>
                  <w:pPr>
                    <w:spacing w:before="155" w:line="195" w:lineRule="auto"/>
                    <w:ind w:left="295"/>
                    <w:rPr>
                      <w:color w:val="auto"/>
                      <w:szCs w:val="21"/>
                    </w:rPr>
                  </w:pPr>
                  <w:r>
                    <w:rPr>
                      <w:rFonts w:eastAsia="Times New Roman"/>
                      <w:color w:val="auto"/>
                      <w:spacing w:val="2"/>
                      <w:szCs w:val="21"/>
                    </w:rPr>
                    <w:t>0.0</w:t>
                  </w:r>
                  <w:r>
                    <w:rPr>
                      <w:rFonts w:hint="eastAsia"/>
                      <w:color w:val="auto"/>
                      <w:spacing w:val="2"/>
                      <w:szCs w:val="21"/>
                    </w:rPr>
                    <w:t>49</w:t>
                  </w:r>
                </w:p>
              </w:tc>
              <w:tc>
                <w:tcPr>
                  <w:tcW w:w="1119" w:type="dxa"/>
                  <w:tcBorders>
                    <w:tl2br w:val="nil"/>
                    <w:tr2bl w:val="nil"/>
                  </w:tcBorders>
                </w:tcPr>
                <w:p>
                  <w:pPr>
                    <w:spacing w:before="155" w:line="195" w:lineRule="auto"/>
                    <w:ind w:left="398"/>
                    <w:rPr>
                      <w:color w:val="auto"/>
                      <w:szCs w:val="21"/>
                    </w:rPr>
                  </w:pPr>
                  <w:r>
                    <w:rPr>
                      <w:rFonts w:eastAsia="Times New Roman"/>
                      <w:color w:val="auto"/>
                      <w:spacing w:val="1"/>
                      <w:szCs w:val="21"/>
                    </w:rPr>
                    <w:t>0.</w:t>
                  </w:r>
                  <w:r>
                    <w:rPr>
                      <w:rFonts w:hint="eastAsia"/>
                      <w:color w:val="auto"/>
                      <w:spacing w:val="1"/>
                      <w:szCs w:val="21"/>
                    </w:rPr>
                    <w:t>7</w:t>
                  </w:r>
                </w:p>
              </w:tc>
              <w:tc>
                <w:tcPr>
                  <w:tcW w:w="1166" w:type="dxa"/>
                  <w:tcBorders>
                    <w:tl2br w:val="nil"/>
                    <w:tr2bl w:val="nil"/>
                  </w:tcBorders>
                </w:tcPr>
                <w:p>
                  <w:pPr>
                    <w:spacing w:before="155" w:line="195" w:lineRule="auto"/>
                    <w:ind w:left="314"/>
                    <w:rPr>
                      <w:color w:val="auto"/>
                      <w:szCs w:val="21"/>
                    </w:rPr>
                  </w:pPr>
                  <w:r>
                    <w:rPr>
                      <w:rFonts w:eastAsia="Times New Roman"/>
                      <w:color w:val="auto"/>
                      <w:spacing w:val="3"/>
                      <w:szCs w:val="21"/>
                    </w:rPr>
                    <w:t>0.0</w:t>
                  </w:r>
                  <w:r>
                    <w:rPr>
                      <w:rFonts w:hint="eastAsia"/>
                      <w:color w:val="auto"/>
                      <w:spacing w:val="3"/>
                      <w:szCs w:val="21"/>
                    </w:rPr>
                    <w:t>89</w:t>
                  </w:r>
                </w:p>
              </w:tc>
              <w:tc>
                <w:tcPr>
                  <w:tcW w:w="1144" w:type="dxa"/>
                  <w:tcBorders>
                    <w:tl2br w:val="nil"/>
                    <w:tr2bl w:val="nil"/>
                  </w:tcBorders>
                </w:tcPr>
                <w:p>
                  <w:pPr>
                    <w:spacing w:before="155" w:line="195" w:lineRule="auto"/>
                    <w:ind w:left="299"/>
                    <w:rPr>
                      <w:color w:val="auto"/>
                      <w:szCs w:val="21"/>
                    </w:rPr>
                  </w:pPr>
                  <w:r>
                    <w:rPr>
                      <w:rFonts w:eastAsia="Times New Roman"/>
                      <w:color w:val="auto"/>
                      <w:spacing w:val="3"/>
                      <w:szCs w:val="21"/>
                    </w:rPr>
                    <w:t>0.0</w:t>
                  </w:r>
                  <w:r>
                    <w:rPr>
                      <w:rFonts w:hint="eastAsia"/>
                      <w:color w:val="auto"/>
                      <w:spacing w:val="3"/>
                      <w:szCs w:val="21"/>
                    </w:rPr>
                    <w:t>32</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spacing w:before="157"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.02</w:t>
                  </w:r>
                </w:p>
              </w:tc>
              <w:tc>
                <w:tcPr>
                  <w:tcW w:w="1119" w:type="dxa"/>
                  <w:tcBorders>
                    <w:tl2br w:val="nil"/>
                    <w:tr2bl w:val="nil"/>
                  </w:tcBorders>
                </w:tcPr>
                <w:p>
                  <w:pPr>
                    <w:spacing w:before="157" w:line="195" w:lineRule="auto"/>
                    <w:ind w:left="294"/>
                    <w:rPr>
                      <w:color w:val="auto"/>
                      <w:szCs w:val="21"/>
                    </w:rPr>
                  </w:pPr>
                  <w:r>
                    <w:rPr>
                      <w:rFonts w:eastAsia="Times New Roman"/>
                      <w:color w:val="auto"/>
                      <w:spacing w:val="2"/>
                      <w:szCs w:val="21"/>
                    </w:rPr>
                    <w:t>0.00</w:t>
                  </w:r>
                  <w:r>
                    <w:rPr>
                      <w:rFonts w:hint="eastAsia"/>
                      <w:color w:val="auto"/>
                      <w:spacing w:val="2"/>
                      <w:szCs w:val="21"/>
                    </w:rPr>
                    <w:t>4</w:t>
                  </w:r>
                </w:p>
              </w:tc>
              <w:tc>
                <w:tcPr>
                  <w:tcW w:w="1119" w:type="dxa"/>
                  <w:tcBorders>
                    <w:tl2br w:val="nil"/>
                    <w:tr2bl w:val="nil"/>
                  </w:tcBorders>
                </w:tcPr>
                <w:p>
                  <w:pPr>
                    <w:spacing w:before="157" w:line="195" w:lineRule="auto"/>
                    <w:ind w:left="294"/>
                    <w:rPr>
                      <w:color w:val="auto"/>
                      <w:szCs w:val="21"/>
                    </w:rPr>
                  </w:pPr>
                  <w:r>
                    <w:rPr>
                      <w:rFonts w:eastAsia="Times New Roman"/>
                      <w:color w:val="auto"/>
                      <w:spacing w:val="2"/>
                      <w:szCs w:val="21"/>
                    </w:rPr>
                    <w:t>0.0</w:t>
                  </w:r>
                  <w:r>
                    <w:rPr>
                      <w:rFonts w:hint="eastAsia"/>
                      <w:color w:val="auto"/>
                      <w:spacing w:val="2"/>
                      <w:szCs w:val="21"/>
                    </w:rPr>
                    <w:t>10</w:t>
                  </w:r>
                </w:p>
              </w:tc>
              <w:tc>
                <w:tcPr>
                  <w:tcW w:w="1119" w:type="dxa"/>
                  <w:tcBorders>
                    <w:tl2br w:val="nil"/>
                    <w:tr2bl w:val="nil"/>
                  </w:tcBorders>
                </w:tcPr>
                <w:p>
                  <w:pPr>
                    <w:spacing w:before="157" w:line="195" w:lineRule="auto"/>
                    <w:ind w:left="295"/>
                    <w:rPr>
                      <w:color w:val="auto"/>
                      <w:szCs w:val="21"/>
                    </w:rPr>
                  </w:pPr>
                  <w:r>
                    <w:rPr>
                      <w:rFonts w:eastAsia="Times New Roman"/>
                      <w:color w:val="auto"/>
                      <w:spacing w:val="2"/>
                      <w:szCs w:val="21"/>
                    </w:rPr>
                    <w:t>0.0</w:t>
                  </w:r>
                  <w:r>
                    <w:rPr>
                      <w:rFonts w:hint="eastAsia"/>
                      <w:color w:val="auto"/>
                      <w:spacing w:val="2"/>
                      <w:szCs w:val="21"/>
                    </w:rPr>
                    <w:t>31</w:t>
                  </w:r>
                </w:p>
              </w:tc>
              <w:tc>
                <w:tcPr>
                  <w:tcW w:w="1119" w:type="dxa"/>
                  <w:tcBorders>
                    <w:tl2br w:val="nil"/>
                    <w:tr2bl w:val="nil"/>
                  </w:tcBorders>
                </w:tcPr>
                <w:p>
                  <w:pPr>
                    <w:spacing w:before="157" w:line="195" w:lineRule="auto"/>
                    <w:ind w:left="398"/>
                    <w:rPr>
                      <w:color w:val="auto"/>
                      <w:szCs w:val="21"/>
                    </w:rPr>
                  </w:pPr>
                  <w:r>
                    <w:rPr>
                      <w:rFonts w:eastAsia="Times New Roman"/>
                      <w:color w:val="auto"/>
                      <w:spacing w:val="1"/>
                      <w:szCs w:val="21"/>
                    </w:rPr>
                    <w:t>0.</w:t>
                  </w:r>
                  <w:r>
                    <w:rPr>
                      <w:rFonts w:hint="eastAsia"/>
                      <w:color w:val="auto"/>
                      <w:spacing w:val="1"/>
                      <w:szCs w:val="21"/>
                    </w:rPr>
                    <w:t>6</w:t>
                  </w:r>
                </w:p>
              </w:tc>
              <w:tc>
                <w:tcPr>
                  <w:tcW w:w="1166" w:type="dxa"/>
                  <w:tcBorders>
                    <w:tl2br w:val="nil"/>
                    <w:tr2bl w:val="nil"/>
                  </w:tcBorders>
                </w:tcPr>
                <w:p>
                  <w:pPr>
                    <w:spacing w:before="157" w:line="195" w:lineRule="auto"/>
                    <w:ind w:left="314"/>
                    <w:rPr>
                      <w:color w:val="auto"/>
                      <w:szCs w:val="21"/>
                    </w:rPr>
                  </w:pPr>
                  <w:r>
                    <w:rPr>
                      <w:rFonts w:eastAsia="Times New Roman"/>
                      <w:color w:val="auto"/>
                      <w:spacing w:val="3"/>
                      <w:szCs w:val="21"/>
                    </w:rPr>
                    <w:t>0.0</w:t>
                  </w:r>
                  <w:r>
                    <w:rPr>
                      <w:rFonts w:hint="eastAsia"/>
                      <w:color w:val="auto"/>
                      <w:spacing w:val="3"/>
                      <w:szCs w:val="21"/>
                    </w:rPr>
                    <w:t>78</w:t>
                  </w:r>
                </w:p>
              </w:tc>
              <w:tc>
                <w:tcPr>
                  <w:tcW w:w="1144" w:type="dxa"/>
                  <w:tcBorders>
                    <w:tl2br w:val="nil"/>
                    <w:tr2bl w:val="nil"/>
                  </w:tcBorders>
                </w:tcPr>
                <w:p>
                  <w:pPr>
                    <w:spacing w:before="157" w:line="195" w:lineRule="auto"/>
                    <w:ind w:left="299"/>
                    <w:rPr>
                      <w:color w:val="auto"/>
                      <w:szCs w:val="21"/>
                    </w:rPr>
                  </w:pPr>
                  <w:r>
                    <w:rPr>
                      <w:rFonts w:eastAsia="Times New Roman"/>
                      <w:color w:val="auto"/>
                      <w:spacing w:val="3"/>
                      <w:szCs w:val="21"/>
                    </w:rPr>
                    <w:t>0.0</w:t>
                  </w:r>
                  <w:r>
                    <w:rPr>
                      <w:rFonts w:hint="eastAsia"/>
                      <w:color w:val="auto"/>
                      <w:spacing w:val="3"/>
                      <w:szCs w:val="21"/>
                    </w:rPr>
                    <w:t>23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spacing w:before="158"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.03</w:t>
                  </w:r>
                </w:p>
              </w:tc>
              <w:tc>
                <w:tcPr>
                  <w:tcW w:w="1119" w:type="dxa"/>
                  <w:tcBorders>
                    <w:tl2br w:val="nil"/>
                    <w:tr2bl w:val="nil"/>
                  </w:tcBorders>
                </w:tcPr>
                <w:p>
                  <w:pPr>
                    <w:spacing w:before="158" w:line="195" w:lineRule="auto"/>
                    <w:ind w:left="294"/>
                    <w:rPr>
                      <w:color w:val="auto"/>
                      <w:szCs w:val="21"/>
                    </w:rPr>
                  </w:pPr>
                  <w:r>
                    <w:rPr>
                      <w:rFonts w:eastAsia="Times New Roman"/>
                      <w:color w:val="auto"/>
                      <w:spacing w:val="2"/>
                      <w:szCs w:val="21"/>
                    </w:rPr>
                    <w:t>0.00</w:t>
                  </w:r>
                  <w:r>
                    <w:rPr>
                      <w:rFonts w:hint="eastAsia"/>
                      <w:color w:val="auto"/>
                      <w:spacing w:val="2"/>
                      <w:szCs w:val="21"/>
                    </w:rPr>
                    <w:t>5</w:t>
                  </w:r>
                </w:p>
              </w:tc>
              <w:tc>
                <w:tcPr>
                  <w:tcW w:w="1119" w:type="dxa"/>
                  <w:tcBorders>
                    <w:tl2br w:val="nil"/>
                    <w:tr2bl w:val="nil"/>
                  </w:tcBorders>
                </w:tcPr>
                <w:p>
                  <w:pPr>
                    <w:spacing w:before="158" w:line="195" w:lineRule="auto"/>
                    <w:ind w:left="294"/>
                    <w:rPr>
                      <w:color w:val="auto"/>
                      <w:szCs w:val="21"/>
                    </w:rPr>
                  </w:pPr>
                  <w:r>
                    <w:rPr>
                      <w:rFonts w:eastAsia="Times New Roman"/>
                      <w:color w:val="auto"/>
                      <w:spacing w:val="2"/>
                      <w:szCs w:val="21"/>
                    </w:rPr>
                    <w:t>0.0</w:t>
                  </w:r>
                  <w:r>
                    <w:rPr>
                      <w:rFonts w:hint="eastAsia"/>
                      <w:color w:val="auto"/>
                      <w:spacing w:val="2"/>
                      <w:szCs w:val="21"/>
                    </w:rPr>
                    <w:t>19</w:t>
                  </w:r>
                </w:p>
              </w:tc>
              <w:tc>
                <w:tcPr>
                  <w:tcW w:w="1119" w:type="dxa"/>
                  <w:tcBorders>
                    <w:tl2br w:val="nil"/>
                    <w:tr2bl w:val="nil"/>
                  </w:tcBorders>
                </w:tcPr>
                <w:p>
                  <w:pPr>
                    <w:spacing w:before="158" w:line="195" w:lineRule="auto"/>
                    <w:ind w:left="295"/>
                    <w:rPr>
                      <w:color w:val="auto"/>
                      <w:szCs w:val="21"/>
                    </w:rPr>
                  </w:pPr>
                  <w:r>
                    <w:rPr>
                      <w:rFonts w:eastAsia="Times New Roman"/>
                      <w:color w:val="auto"/>
                      <w:spacing w:val="2"/>
                      <w:szCs w:val="21"/>
                    </w:rPr>
                    <w:t>0.0</w:t>
                  </w:r>
                  <w:r>
                    <w:rPr>
                      <w:rFonts w:hint="eastAsia"/>
                      <w:color w:val="auto"/>
                      <w:spacing w:val="2"/>
                      <w:szCs w:val="21"/>
                    </w:rPr>
                    <w:t>44</w:t>
                  </w:r>
                </w:p>
              </w:tc>
              <w:tc>
                <w:tcPr>
                  <w:tcW w:w="1119" w:type="dxa"/>
                  <w:tcBorders>
                    <w:tl2br w:val="nil"/>
                    <w:tr2bl w:val="nil"/>
                  </w:tcBorders>
                </w:tcPr>
                <w:p>
                  <w:pPr>
                    <w:spacing w:before="158" w:line="195" w:lineRule="auto"/>
                    <w:ind w:left="398"/>
                    <w:rPr>
                      <w:rFonts w:eastAsia="Times New Roman"/>
                      <w:color w:val="auto"/>
                      <w:szCs w:val="21"/>
                    </w:rPr>
                  </w:pPr>
                  <w:r>
                    <w:rPr>
                      <w:rFonts w:eastAsia="Times New Roman"/>
                      <w:color w:val="auto"/>
                      <w:spacing w:val="1"/>
                      <w:szCs w:val="21"/>
                    </w:rPr>
                    <w:t>0.6</w:t>
                  </w:r>
                </w:p>
              </w:tc>
              <w:tc>
                <w:tcPr>
                  <w:tcW w:w="1166" w:type="dxa"/>
                  <w:tcBorders>
                    <w:tl2br w:val="nil"/>
                    <w:tr2bl w:val="nil"/>
                  </w:tcBorders>
                </w:tcPr>
                <w:p>
                  <w:pPr>
                    <w:spacing w:before="158" w:line="195" w:lineRule="auto"/>
                    <w:ind w:left="314"/>
                    <w:rPr>
                      <w:color w:val="auto"/>
                      <w:szCs w:val="21"/>
                    </w:rPr>
                  </w:pPr>
                  <w:r>
                    <w:rPr>
                      <w:rFonts w:eastAsia="Times New Roman"/>
                      <w:color w:val="auto"/>
                      <w:spacing w:val="3"/>
                      <w:szCs w:val="21"/>
                    </w:rPr>
                    <w:t>0.</w:t>
                  </w:r>
                  <w:r>
                    <w:rPr>
                      <w:rFonts w:hint="eastAsia"/>
                      <w:color w:val="auto"/>
                      <w:spacing w:val="3"/>
                      <w:szCs w:val="21"/>
                    </w:rPr>
                    <w:t>101</w:t>
                  </w:r>
                </w:p>
              </w:tc>
              <w:tc>
                <w:tcPr>
                  <w:tcW w:w="1144" w:type="dxa"/>
                  <w:tcBorders>
                    <w:tl2br w:val="nil"/>
                    <w:tr2bl w:val="nil"/>
                  </w:tcBorders>
                </w:tcPr>
                <w:p>
                  <w:pPr>
                    <w:spacing w:before="158" w:line="195" w:lineRule="auto"/>
                    <w:ind w:left="299"/>
                    <w:rPr>
                      <w:color w:val="auto"/>
                      <w:szCs w:val="21"/>
                    </w:rPr>
                  </w:pPr>
                  <w:r>
                    <w:rPr>
                      <w:rFonts w:eastAsia="Times New Roman"/>
                      <w:color w:val="auto"/>
                      <w:spacing w:val="3"/>
                      <w:szCs w:val="21"/>
                    </w:rPr>
                    <w:t>0.02</w:t>
                  </w:r>
                  <w:r>
                    <w:rPr>
                      <w:rFonts w:hint="eastAsia"/>
                      <w:color w:val="auto"/>
                      <w:spacing w:val="3"/>
                      <w:szCs w:val="21"/>
                    </w:rPr>
                    <w:t>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spacing w:before="161"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.04</w:t>
                  </w:r>
                </w:p>
              </w:tc>
              <w:tc>
                <w:tcPr>
                  <w:tcW w:w="1119" w:type="dxa"/>
                  <w:tcBorders>
                    <w:tl2br w:val="nil"/>
                    <w:tr2bl w:val="nil"/>
                  </w:tcBorders>
                </w:tcPr>
                <w:p>
                  <w:pPr>
                    <w:spacing w:before="161" w:line="195" w:lineRule="auto"/>
                    <w:ind w:left="294"/>
                    <w:rPr>
                      <w:color w:val="auto"/>
                      <w:szCs w:val="21"/>
                    </w:rPr>
                  </w:pPr>
                  <w:r>
                    <w:rPr>
                      <w:rFonts w:eastAsia="Times New Roman"/>
                      <w:color w:val="auto"/>
                      <w:spacing w:val="2"/>
                      <w:szCs w:val="21"/>
                    </w:rPr>
                    <w:t>0.00</w:t>
                  </w:r>
                  <w:r>
                    <w:rPr>
                      <w:rFonts w:hint="eastAsia"/>
                      <w:color w:val="auto"/>
                      <w:spacing w:val="2"/>
                      <w:szCs w:val="21"/>
                    </w:rPr>
                    <w:t>3</w:t>
                  </w:r>
                </w:p>
              </w:tc>
              <w:tc>
                <w:tcPr>
                  <w:tcW w:w="1119" w:type="dxa"/>
                  <w:tcBorders>
                    <w:tl2br w:val="nil"/>
                    <w:tr2bl w:val="nil"/>
                  </w:tcBorders>
                </w:tcPr>
                <w:p>
                  <w:pPr>
                    <w:spacing w:before="161" w:line="195" w:lineRule="auto"/>
                    <w:ind w:left="294"/>
                    <w:rPr>
                      <w:color w:val="auto"/>
                      <w:szCs w:val="21"/>
                    </w:rPr>
                  </w:pPr>
                  <w:r>
                    <w:rPr>
                      <w:rFonts w:eastAsia="Times New Roman"/>
                      <w:color w:val="auto"/>
                      <w:spacing w:val="2"/>
                      <w:szCs w:val="21"/>
                    </w:rPr>
                    <w:t>0.01</w:t>
                  </w:r>
                  <w:r>
                    <w:rPr>
                      <w:rFonts w:hint="eastAsia"/>
                      <w:color w:val="auto"/>
                      <w:spacing w:val="2"/>
                      <w:szCs w:val="21"/>
                    </w:rPr>
                    <w:t>2</w:t>
                  </w:r>
                </w:p>
              </w:tc>
              <w:tc>
                <w:tcPr>
                  <w:tcW w:w="1119" w:type="dxa"/>
                  <w:tcBorders>
                    <w:tl2br w:val="nil"/>
                    <w:tr2bl w:val="nil"/>
                  </w:tcBorders>
                </w:tcPr>
                <w:p>
                  <w:pPr>
                    <w:spacing w:before="161" w:line="195" w:lineRule="auto"/>
                    <w:ind w:left="295"/>
                    <w:rPr>
                      <w:rFonts w:eastAsia="Times New Roman"/>
                      <w:color w:val="auto"/>
                      <w:szCs w:val="21"/>
                    </w:rPr>
                  </w:pPr>
                  <w:r>
                    <w:rPr>
                      <w:rFonts w:eastAsia="Times New Roman"/>
                      <w:color w:val="auto"/>
                      <w:spacing w:val="2"/>
                      <w:szCs w:val="21"/>
                    </w:rPr>
                    <w:t>0.0</w:t>
                  </w:r>
                  <w:r>
                    <w:rPr>
                      <w:rFonts w:hint="eastAsia"/>
                      <w:color w:val="auto"/>
                      <w:spacing w:val="2"/>
                      <w:szCs w:val="21"/>
                    </w:rPr>
                    <w:t>38</w:t>
                  </w:r>
                </w:p>
              </w:tc>
              <w:tc>
                <w:tcPr>
                  <w:tcW w:w="1119" w:type="dxa"/>
                  <w:tcBorders>
                    <w:tl2br w:val="nil"/>
                    <w:tr2bl w:val="nil"/>
                  </w:tcBorders>
                </w:tcPr>
                <w:p>
                  <w:pPr>
                    <w:spacing w:before="161" w:line="195" w:lineRule="auto"/>
                    <w:ind w:left="398"/>
                    <w:rPr>
                      <w:color w:val="auto"/>
                      <w:szCs w:val="21"/>
                    </w:rPr>
                  </w:pPr>
                  <w:r>
                    <w:rPr>
                      <w:rFonts w:eastAsia="Times New Roman"/>
                      <w:color w:val="auto"/>
                      <w:spacing w:val="1"/>
                      <w:szCs w:val="21"/>
                    </w:rPr>
                    <w:t>0.</w:t>
                  </w:r>
                  <w:r>
                    <w:rPr>
                      <w:rFonts w:hint="eastAsia"/>
                      <w:color w:val="auto"/>
                      <w:spacing w:val="1"/>
                      <w:szCs w:val="21"/>
                    </w:rPr>
                    <w:t>5</w:t>
                  </w:r>
                </w:p>
              </w:tc>
              <w:tc>
                <w:tcPr>
                  <w:tcW w:w="1166" w:type="dxa"/>
                  <w:tcBorders>
                    <w:tl2br w:val="nil"/>
                    <w:tr2bl w:val="nil"/>
                  </w:tcBorders>
                </w:tcPr>
                <w:p>
                  <w:pPr>
                    <w:spacing w:before="161" w:line="195" w:lineRule="auto"/>
                    <w:ind w:left="314"/>
                    <w:rPr>
                      <w:color w:val="auto"/>
                      <w:szCs w:val="21"/>
                    </w:rPr>
                  </w:pPr>
                  <w:r>
                    <w:rPr>
                      <w:rFonts w:eastAsia="Times New Roman"/>
                      <w:color w:val="auto"/>
                      <w:spacing w:val="3"/>
                      <w:szCs w:val="21"/>
                    </w:rPr>
                    <w:t>0.</w:t>
                  </w:r>
                  <w:r>
                    <w:rPr>
                      <w:rFonts w:hint="eastAsia"/>
                      <w:color w:val="auto"/>
                      <w:spacing w:val="3"/>
                      <w:szCs w:val="21"/>
                    </w:rPr>
                    <w:t>101</w:t>
                  </w:r>
                </w:p>
              </w:tc>
              <w:tc>
                <w:tcPr>
                  <w:tcW w:w="1144" w:type="dxa"/>
                  <w:tcBorders>
                    <w:tl2br w:val="nil"/>
                    <w:tr2bl w:val="nil"/>
                  </w:tcBorders>
                </w:tcPr>
                <w:p>
                  <w:pPr>
                    <w:spacing w:before="161" w:line="195" w:lineRule="auto"/>
                    <w:ind w:left="299"/>
                    <w:rPr>
                      <w:color w:val="auto"/>
                      <w:szCs w:val="21"/>
                    </w:rPr>
                  </w:pPr>
                  <w:r>
                    <w:rPr>
                      <w:rFonts w:eastAsia="Times New Roman"/>
                      <w:color w:val="auto"/>
                      <w:spacing w:val="3"/>
                      <w:szCs w:val="21"/>
                    </w:rPr>
                    <w:t>0.02</w:t>
                  </w:r>
                  <w:r>
                    <w:rPr>
                      <w:rFonts w:hint="eastAsia"/>
                      <w:color w:val="auto"/>
                      <w:spacing w:val="3"/>
                      <w:szCs w:val="21"/>
                    </w:rPr>
                    <w:t>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spacing w:before="162"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.05</w:t>
                  </w:r>
                </w:p>
              </w:tc>
              <w:tc>
                <w:tcPr>
                  <w:tcW w:w="1119" w:type="dxa"/>
                  <w:tcBorders>
                    <w:tl2br w:val="nil"/>
                    <w:tr2bl w:val="nil"/>
                  </w:tcBorders>
                </w:tcPr>
                <w:p>
                  <w:pPr>
                    <w:spacing w:before="162" w:line="195" w:lineRule="auto"/>
                    <w:ind w:left="294"/>
                    <w:rPr>
                      <w:color w:val="auto"/>
                      <w:szCs w:val="21"/>
                    </w:rPr>
                  </w:pPr>
                  <w:r>
                    <w:rPr>
                      <w:rFonts w:eastAsia="Times New Roman"/>
                      <w:color w:val="auto"/>
                      <w:spacing w:val="2"/>
                      <w:szCs w:val="21"/>
                    </w:rPr>
                    <w:t>0.00</w:t>
                  </w:r>
                  <w:r>
                    <w:rPr>
                      <w:rFonts w:hint="eastAsia"/>
                      <w:color w:val="auto"/>
                      <w:spacing w:val="2"/>
                      <w:szCs w:val="21"/>
                    </w:rPr>
                    <w:t>3</w:t>
                  </w:r>
                </w:p>
              </w:tc>
              <w:tc>
                <w:tcPr>
                  <w:tcW w:w="1119" w:type="dxa"/>
                  <w:tcBorders>
                    <w:tl2br w:val="nil"/>
                    <w:tr2bl w:val="nil"/>
                  </w:tcBorders>
                </w:tcPr>
                <w:p>
                  <w:pPr>
                    <w:spacing w:before="162" w:line="195" w:lineRule="auto"/>
                    <w:ind w:left="297"/>
                    <w:rPr>
                      <w:color w:val="auto"/>
                      <w:szCs w:val="21"/>
                    </w:rPr>
                  </w:pPr>
                  <w:r>
                    <w:rPr>
                      <w:rFonts w:eastAsia="Times New Roman"/>
                      <w:color w:val="auto"/>
                      <w:spacing w:val="2"/>
                      <w:szCs w:val="21"/>
                    </w:rPr>
                    <w:t>0.01</w:t>
                  </w:r>
                  <w:r>
                    <w:rPr>
                      <w:rFonts w:hint="eastAsia"/>
                      <w:color w:val="auto"/>
                      <w:spacing w:val="2"/>
                      <w:szCs w:val="21"/>
                    </w:rPr>
                    <w:t>0</w:t>
                  </w:r>
                </w:p>
              </w:tc>
              <w:tc>
                <w:tcPr>
                  <w:tcW w:w="1119" w:type="dxa"/>
                  <w:tcBorders>
                    <w:tl2br w:val="nil"/>
                    <w:tr2bl w:val="nil"/>
                  </w:tcBorders>
                </w:tcPr>
                <w:p>
                  <w:pPr>
                    <w:spacing w:before="162" w:line="195" w:lineRule="auto"/>
                    <w:ind w:left="295"/>
                    <w:rPr>
                      <w:color w:val="auto"/>
                      <w:szCs w:val="21"/>
                    </w:rPr>
                  </w:pPr>
                  <w:r>
                    <w:rPr>
                      <w:rFonts w:eastAsia="Times New Roman"/>
                      <w:color w:val="auto"/>
                      <w:spacing w:val="2"/>
                      <w:szCs w:val="21"/>
                    </w:rPr>
                    <w:t>0.0</w:t>
                  </w:r>
                  <w:r>
                    <w:rPr>
                      <w:rFonts w:hint="eastAsia"/>
                      <w:color w:val="auto"/>
                      <w:spacing w:val="2"/>
                      <w:szCs w:val="21"/>
                    </w:rPr>
                    <w:t>25</w:t>
                  </w:r>
                </w:p>
              </w:tc>
              <w:tc>
                <w:tcPr>
                  <w:tcW w:w="1119" w:type="dxa"/>
                  <w:tcBorders>
                    <w:tl2br w:val="nil"/>
                    <w:tr2bl w:val="nil"/>
                  </w:tcBorders>
                </w:tcPr>
                <w:p>
                  <w:pPr>
                    <w:spacing w:before="162" w:line="195" w:lineRule="auto"/>
                    <w:ind w:left="398"/>
                    <w:rPr>
                      <w:color w:val="auto"/>
                      <w:szCs w:val="21"/>
                    </w:rPr>
                  </w:pPr>
                  <w:r>
                    <w:rPr>
                      <w:rFonts w:eastAsia="Times New Roman"/>
                      <w:color w:val="auto"/>
                      <w:spacing w:val="1"/>
                      <w:szCs w:val="21"/>
                    </w:rPr>
                    <w:t>0.</w:t>
                  </w:r>
                  <w:r>
                    <w:rPr>
                      <w:rFonts w:hint="eastAsia"/>
                      <w:color w:val="auto"/>
                      <w:spacing w:val="1"/>
                      <w:szCs w:val="21"/>
                    </w:rPr>
                    <w:t>5</w:t>
                  </w:r>
                </w:p>
              </w:tc>
              <w:tc>
                <w:tcPr>
                  <w:tcW w:w="1166" w:type="dxa"/>
                  <w:tcBorders>
                    <w:tl2br w:val="nil"/>
                    <w:tr2bl w:val="nil"/>
                  </w:tcBorders>
                </w:tcPr>
                <w:p>
                  <w:pPr>
                    <w:spacing w:before="162" w:line="195" w:lineRule="auto"/>
                    <w:ind w:left="314"/>
                    <w:rPr>
                      <w:color w:val="auto"/>
                      <w:szCs w:val="21"/>
                    </w:rPr>
                  </w:pPr>
                  <w:r>
                    <w:rPr>
                      <w:rFonts w:eastAsia="Times New Roman"/>
                      <w:color w:val="auto"/>
                      <w:spacing w:val="3"/>
                      <w:szCs w:val="21"/>
                    </w:rPr>
                    <w:t>0.</w:t>
                  </w:r>
                  <w:r>
                    <w:rPr>
                      <w:rFonts w:hint="eastAsia"/>
                      <w:color w:val="auto"/>
                      <w:spacing w:val="3"/>
                      <w:szCs w:val="21"/>
                    </w:rPr>
                    <w:t>105</w:t>
                  </w:r>
                </w:p>
              </w:tc>
              <w:tc>
                <w:tcPr>
                  <w:tcW w:w="1144" w:type="dxa"/>
                  <w:tcBorders>
                    <w:tl2br w:val="nil"/>
                    <w:tr2bl w:val="nil"/>
                  </w:tcBorders>
                </w:tcPr>
                <w:p>
                  <w:pPr>
                    <w:spacing w:before="162" w:line="195" w:lineRule="auto"/>
                    <w:ind w:left="299"/>
                    <w:rPr>
                      <w:color w:val="auto"/>
                      <w:szCs w:val="21"/>
                    </w:rPr>
                  </w:pPr>
                  <w:r>
                    <w:rPr>
                      <w:rFonts w:eastAsia="Times New Roman"/>
                      <w:color w:val="auto"/>
                      <w:spacing w:val="3"/>
                      <w:szCs w:val="21"/>
                    </w:rPr>
                    <w:t>0.0</w:t>
                  </w:r>
                  <w:r>
                    <w:rPr>
                      <w:rFonts w:hint="eastAsia"/>
                      <w:color w:val="auto"/>
                      <w:spacing w:val="3"/>
                      <w:szCs w:val="21"/>
                    </w:rPr>
                    <w:t>14</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26" w:hRule="atLeast"/>
                <w:jc w:val="center"/>
              </w:trPr>
              <w:tc>
                <w:tcPr>
                  <w:tcW w:w="1718" w:type="dxa"/>
                  <w:tcBorders>
                    <w:tl2br w:val="nil"/>
                    <w:tr2bl w:val="nil"/>
                  </w:tcBorders>
                </w:tcPr>
                <w:p>
                  <w:pPr>
                    <w:spacing w:before="165"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.06</w:t>
                  </w:r>
                </w:p>
              </w:tc>
              <w:tc>
                <w:tcPr>
                  <w:tcW w:w="1119" w:type="dxa"/>
                  <w:tcBorders>
                    <w:tl2br w:val="nil"/>
                    <w:tr2bl w:val="nil"/>
                  </w:tcBorders>
                </w:tcPr>
                <w:p>
                  <w:pPr>
                    <w:spacing w:before="165" w:line="195" w:lineRule="auto"/>
                    <w:ind w:left="294"/>
                    <w:rPr>
                      <w:color w:val="auto"/>
                      <w:szCs w:val="21"/>
                    </w:rPr>
                  </w:pPr>
                  <w:r>
                    <w:rPr>
                      <w:rFonts w:eastAsia="Times New Roman"/>
                      <w:color w:val="auto"/>
                      <w:spacing w:val="2"/>
                      <w:szCs w:val="21"/>
                    </w:rPr>
                    <w:t>0.00</w:t>
                  </w:r>
                  <w:r>
                    <w:rPr>
                      <w:rFonts w:hint="eastAsia"/>
                      <w:color w:val="auto"/>
                      <w:spacing w:val="2"/>
                      <w:szCs w:val="21"/>
                    </w:rPr>
                    <w:t>3</w:t>
                  </w:r>
                </w:p>
              </w:tc>
              <w:tc>
                <w:tcPr>
                  <w:tcW w:w="1119" w:type="dxa"/>
                  <w:tcBorders>
                    <w:tl2br w:val="nil"/>
                    <w:tr2bl w:val="nil"/>
                  </w:tcBorders>
                </w:tcPr>
                <w:p>
                  <w:pPr>
                    <w:spacing w:before="165" w:line="195" w:lineRule="auto"/>
                    <w:ind w:left="294"/>
                    <w:rPr>
                      <w:color w:val="auto"/>
                      <w:szCs w:val="21"/>
                    </w:rPr>
                  </w:pPr>
                  <w:r>
                    <w:rPr>
                      <w:rFonts w:eastAsia="Times New Roman"/>
                      <w:color w:val="auto"/>
                      <w:spacing w:val="2"/>
                      <w:szCs w:val="21"/>
                    </w:rPr>
                    <w:t>0.0</w:t>
                  </w:r>
                  <w:r>
                    <w:rPr>
                      <w:rFonts w:hint="eastAsia"/>
                      <w:color w:val="auto"/>
                      <w:spacing w:val="2"/>
                      <w:szCs w:val="21"/>
                    </w:rPr>
                    <w:t>09</w:t>
                  </w:r>
                </w:p>
              </w:tc>
              <w:tc>
                <w:tcPr>
                  <w:tcW w:w="1119" w:type="dxa"/>
                  <w:tcBorders>
                    <w:tl2br w:val="nil"/>
                    <w:tr2bl w:val="nil"/>
                  </w:tcBorders>
                </w:tcPr>
                <w:p>
                  <w:pPr>
                    <w:spacing w:before="165" w:line="195" w:lineRule="auto"/>
                    <w:ind w:left="295"/>
                    <w:rPr>
                      <w:color w:val="auto"/>
                      <w:szCs w:val="21"/>
                    </w:rPr>
                  </w:pPr>
                  <w:r>
                    <w:rPr>
                      <w:rFonts w:eastAsia="Times New Roman"/>
                      <w:color w:val="auto"/>
                      <w:spacing w:val="2"/>
                      <w:szCs w:val="21"/>
                    </w:rPr>
                    <w:t>0.0</w:t>
                  </w:r>
                  <w:r>
                    <w:rPr>
                      <w:rFonts w:hint="eastAsia"/>
                      <w:color w:val="auto"/>
                      <w:spacing w:val="2"/>
                      <w:szCs w:val="21"/>
                    </w:rPr>
                    <w:t>19</w:t>
                  </w:r>
                </w:p>
              </w:tc>
              <w:tc>
                <w:tcPr>
                  <w:tcW w:w="1119" w:type="dxa"/>
                  <w:tcBorders>
                    <w:tl2br w:val="nil"/>
                    <w:tr2bl w:val="nil"/>
                  </w:tcBorders>
                </w:tcPr>
                <w:p>
                  <w:pPr>
                    <w:spacing w:before="165" w:line="195" w:lineRule="auto"/>
                    <w:ind w:left="398"/>
                    <w:rPr>
                      <w:color w:val="auto"/>
                      <w:szCs w:val="21"/>
                    </w:rPr>
                  </w:pPr>
                  <w:r>
                    <w:rPr>
                      <w:rFonts w:eastAsia="Times New Roman"/>
                      <w:color w:val="auto"/>
                      <w:spacing w:val="1"/>
                      <w:szCs w:val="21"/>
                    </w:rPr>
                    <w:t>0.</w:t>
                  </w:r>
                  <w:r>
                    <w:rPr>
                      <w:rFonts w:hint="eastAsia"/>
                      <w:color w:val="auto"/>
                      <w:spacing w:val="1"/>
                      <w:szCs w:val="21"/>
                    </w:rPr>
                    <w:t>5</w:t>
                  </w:r>
                </w:p>
              </w:tc>
              <w:tc>
                <w:tcPr>
                  <w:tcW w:w="1166" w:type="dxa"/>
                  <w:tcBorders>
                    <w:tl2br w:val="nil"/>
                    <w:tr2bl w:val="nil"/>
                  </w:tcBorders>
                </w:tcPr>
                <w:p>
                  <w:pPr>
                    <w:spacing w:before="165" w:line="195" w:lineRule="auto"/>
                    <w:ind w:left="314"/>
                    <w:rPr>
                      <w:color w:val="auto"/>
                      <w:szCs w:val="21"/>
                    </w:rPr>
                  </w:pPr>
                  <w:r>
                    <w:rPr>
                      <w:rFonts w:eastAsia="Times New Roman"/>
                      <w:color w:val="auto"/>
                      <w:spacing w:val="3"/>
                      <w:szCs w:val="21"/>
                    </w:rPr>
                    <w:t>0.0</w:t>
                  </w:r>
                  <w:r>
                    <w:rPr>
                      <w:rFonts w:hint="eastAsia"/>
                      <w:color w:val="auto"/>
                      <w:spacing w:val="3"/>
                      <w:szCs w:val="21"/>
                    </w:rPr>
                    <w:t>85</w:t>
                  </w:r>
                </w:p>
              </w:tc>
              <w:tc>
                <w:tcPr>
                  <w:tcW w:w="1144" w:type="dxa"/>
                  <w:tcBorders>
                    <w:tl2br w:val="nil"/>
                    <w:tr2bl w:val="nil"/>
                  </w:tcBorders>
                </w:tcPr>
                <w:p>
                  <w:pPr>
                    <w:spacing w:before="165" w:line="195" w:lineRule="auto"/>
                    <w:ind w:left="299"/>
                    <w:rPr>
                      <w:color w:val="auto"/>
                      <w:szCs w:val="21"/>
                    </w:rPr>
                  </w:pPr>
                  <w:r>
                    <w:rPr>
                      <w:rFonts w:eastAsia="Times New Roman"/>
                      <w:color w:val="auto"/>
                      <w:spacing w:val="3"/>
                      <w:szCs w:val="21"/>
                    </w:rPr>
                    <w:t>0.01</w:t>
                  </w:r>
                  <w:r>
                    <w:rPr>
                      <w:rFonts w:hint="eastAsia"/>
                      <w:color w:val="auto"/>
                      <w:spacing w:val="3"/>
                      <w:szCs w:val="21"/>
                    </w:rPr>
                    <w:t>1</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2" w:hRule="atLeast"/>
                <w:jc w:val="center"/>
              </w:trPr>
              <w:tc>
                <w:tcPr>
                  <w:tcW w:w="1718" w:type="dxa"/>
                  <w:tcBorders>
                    <w:tl2br w:val="nil"/>
                    <w:tr2bl w:val="nil"/>
                  </w:tcBorders>
                </w:tcPr>
                <w:p>
                  <w:pPr>
                    <w:spacing w:before="166"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.07</w:t>
                  </w:r>
                </w:p>
              </w:tc>
              <w:tc>
                <w:tcPr>
                  <w:tcW w:w="1119" w:type="dxa"/>
                  <w:tcBorders>
                    <w:tl2br w:val="nil"/>
                    <w:tr2bl w:val="nil"/>
                  </w:tcBorders>
                </w:tcPr>
                <w:p>
                  <w:pPr>
                    <w:spacing w:before="166" w:line="195" w:lineRule="auto"/>
                    <w:ind w:left="294"/>
                    <w:rPr>
                      <w:color w:val="auto"/>
                      <w:szCs w:val="21"/>
                    </w:rPr>
                  </w:pPr>
                  <w:r>
                    <w:rPr>
                      <w:rFonts w:eastAsia="Times New Roman"/>
                      <w:color w:val="auto"/>
                      <w:spacing w:val="2"/>
                      <w:szCs w:val="21"/>
                    </w:rPr>
                    <w:t>0.00</w:t>
                  </w:r>
                  <w:r>
                    <w:rPr>
                      <w:rFonts w:hint="eastAsia"/>
                      <w:color w:val="auto"/>
                      <w:spacing w:val="2"/>
                      <w:szCs w:val="21"/>
                    </w:rPr>
                    <w:t>4</w:t>
                  </w:r>
                </w:p>
              </w:tc>
              <w:tc>
                <w:tcPr>
                  <w:tcW w:w="1119" w:type="dxa"/>
                  <w:tcBorders>
                    <w:tl2br w:val="nil"/>
                    <w:tr2bl w:val="nil"/>
                  </w:tcBorders>
                </w:tcPr>
                <w:p>
                  <w:pPr>
                    <w:spacing w:before="166" w:line="195" w:lineRule="auto"/>
                    <w:ind w:left="294"/>
                    <w:rPr>
                      <w:color w:val="auto"/>
                      <w:szCs w:val="21"/>
                    </w:rPr>
                  </w:pPr>
                  <w:r>
                    <w:rPr>
                      <w:rFonts w:eastAsia="Times New Roman"/>
                      <w:color w:val="auto"/>
                      <w:spacing w:val="2"/>
                      <w:szCs w:val="21"/>
                    </w:rPr>
                    <w:t>0.00</w:t>
                  </w:r>
                  <w:r>
                    <w:rPr>
                      <w:rFonts w:hint="eastAsia"/>
                      <w:color w:val="auto"/>
                      <w:spacing w:val="2"/>
                      <w:szCs w:val="21"/>
                    </w:rPr>
                    <w:t>6</w:t>
                  </w:r>
                </w:p>
              </w:tc>
              <w:tc>
                <w:tcPr>
                  <w:tcW w:w="1119" w:type="dxa"/>
                  <w:tcBorders>
                    <w:tl2br w:val="nil"/>
                    <w:tr2bl w:val="nil"/>
                  </w:tcBorders>
                </w:tcPr>
                <w:p>
                  <w:pPr>
                    <w:spacing w:before="166" w:line="195" w:lineRule="auto"/>
                    <w:ind w:left="295"/>
                    <w:rPr>
                      <w:color w:val="auto"/>
                      <w:szCs w:val="21"/>
                    </w:rPr>
                  </w:pPr>
                  <w:r>
                    <w:rPr>
                      <w:rFonts w:eastAsia="Times New Roman"/>
                      <w:color w:val="auto"/>
                      <w:spacing w:val="2"/>
                      <w:szCs w:val="21"/>
                    </w:rPr>
                    <w:t>0.0</w:t>
                  </w:r>
                  <w:r>
                    <w:rPr>
                      <w:rFonts w:hint="eastAsia"/>
                      <w:color w:val="auto"/>
                      <w:spacing w:val="2"/>
                      <w:szCs w:val="21"/>
                    </w:rPr>
                    <w:t>18</w:t>
                  </w:r>
                </w:p>
              </w:tc>
              <w:tc>
                <w:tcPr>
                  <w:tcW w:w="1119" w:type="dxa"/>
                  <w:tcBorders>
                    <w:tl2br w:val="nil"/>
                    <w:tr2bl w:val="nil"/>
                  </w:tcBorders>
                </w:tcPr>
                <w:p>
                  <w:pPr>
                    <w:spacing w:before="166" w:line="195" w:lineRule="auto"/>
                    <w:ind w:left="398"/>
                    <w:rPr>
                      <w:rFonts w:eastAsia="Times New Roman"/>
                      <w:color w:val="auto"/>
                      <w:szCs w:val="21"/>
                    </w:rPr>
                  </w:pPr>
                  <w:r>
                    <w:rPr>
                      <w:rFonts w:eastAsia="Times New Roman"/>
                      <w:color w:val="auto"/>
                      <w:spacing w:val="1"/>
                      <w:szCs w:val="21"/>
                    </w:rPr>
                    <w:t>0.4</w:t>
                  </w:r>
                </w:p>
              </w:tc>
              <w:tc>
                <w:tcPr>
                  <w:tcW w:w="1166" w:type="dxa"/>
                  <w:tcBorders>
                    <w:tl2br w:val="nil"/>
                    <w:tr2bl w:val="nil"/>
                  </w:tcBorders>
                </w:tcPr>
                <w:p>
                  <w:pPr>
                    <w:spacing w:before="166" w:line="195" w:lineRule="auto"/>
                    <w:ind w:left="314"/>
                    <w:rPr>
                      <w:color w:val="auto"/>
                      <w:szCs w:val="21"/>
                    </w:rPr>
                  </w:pPr>
                  <w:r>
                    <w:rPr>
                      <w:rFonts w:eastAsia="Times New Roman"/>
                      <w:color w:val="auto"/>
                      <w:spacing w:val="3"/>
                      <w:szCs w:val="21"/>
                    </w:rPr>
                    <w:t>0.0</w:t>
                  </w:r>
                  <w:r>
                    <w:rPr>
                      <w:rFonts w:hint="eastAsia"/>
                      <w:color w:val="auto"/>
                      <w:spacing w:val="3"/>
                      <w:szCs w:val="21"/>
                    </w:rPr>
                    <w:t>81</w:t>
                  </w:r>
                </w:p>
              </w:tc>
              <w:tc>
                <w:tcPr>
                  <w:tcW w:w="1144" w:type="dxa"/>
                  <w:tcBorders>
                    <w:tl2br w:val="nil"/>
                    <w:tr2bl w:val="nil"/>
                  </w:tcBorders>
                </w:tcPr>
                <w:p>
                  <w:pPr>
                    <w:spacing w:before="166" w:line="195" w:lineRule="auto"/>
                    <w:ind w:left="299"/>
                    <w:rPr>
                      <w:color w:val="auto"/>
                      <w:szCs w:val="21"/>
                    </w:rPr>
                  </w:pPr>
                  <w:r>
                    <w:rPr>
                      <w:rFonts w:eastAsia="Times New Roman"/>
                      <w:color w:val="auto"/>
                      <w:spacing w:val="3"/>
                      <w:szCs w:val="21"/>
                    </w:rPr>
                    <w:t>0.0</w:t>
                  </w:r>
                  <w:r>
                    <w:rPr>
                      <w:rFonts w:hint="eastAsia"/>
                      <w:color w:val="auto"/>
                      <w:spacing w:val="3"/>
                      <w:szCs w:val="21"/>
                    </w:rPr>
                    <w:t>09</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4" w:hRule="atLeast"/>
                <w:jc w:val="center"/>
              </w:trPr>
              <w:tc>
                <w:tcPr>
                  <w:tcW w:w="1718" w:type="dxa"/>
                  <w:tcBorders>
                    <w:tl2br w:val="nil"/>
                    <w:tr2bl w:val="nil"/>
                  </w:tcBorders>
                </w:tcPr>
                <w:p>
                  <w:pPr>
                    <w:spacing w:before="168"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.08</w:t>
                  </w:r>
                </w:p>
              </w:tc>
              <w:tc>
                <w:tcPr>
                  <w:tcW w:w="1119" w:type="dxa"/>
                  <w:tcBorders>
                    <w:tl2br w:val="nil"/>
                    <w:tr2bl w:val="nil"/>
                  </w:tcBorders>
                </w:tcPr>
                <w:p>
                  <w:pPr>
                    <w:spacing w:before="168" w:line="195" w:lineRule="auto"/>
                    <w:ind w:left="294"/>
                    <w:rPr>
                      <w:color w:val="auto"/>
                      <w:szCs w:val="21"/>
                    </w:rPr>
                  </w:pPr>
                  <w:r>
                    <w:rPr>
                      <w:rFonts w:eastAsia="Times New Roman"/>
                      <w:color w:val="auto"/>
                      <w:spacing w:val="2"/>
                      <w:szCs w:val="21"/>
                    </w:rPr>
                    <w:t>0.00</w:t>
                  </w:r>
                  <w:r>
                    <w:rPr>
                      <w:rFonts w:hint="eastAsia"/>
                      <w:color w:val="auto"/>
                      <w:spacing w:val="2"/>
                      <w:szCs w:val="21"/>
                    </w:rPr>
                    <w:t>4</w:t>
                  </w:r>
                </w:p>
              </w:tc>
              <w:tc>
                <w:tcPr>
                  <w:tcW w:w="1119" w:type="dxa"/>
                  <w:tcBorders>
                    <w:tl2br w:val="nil"/>
                    <w:tr2bl w:val="nil"/>
                  </w:tcBorders>
                </w:tcPr>
                <w:p>
                  <w:pPr>
                    <w:spacing w:before="168" w:line="195" w:lineRule="auto"/>
                    <w:ind w:left="294"/>
                    <w:rPr>
                      <w:color w:val="auto"/>
                      <w:szCs w:val="21"/>
                    </w:rPr>
                  </w:pPr>
                  <w:r>
                    <w:rPr>
                      <w:rFonts w:eastAsia="Times New Roman"/>
                      <w:color w:val="auto"/>
                      <w:spacing w:val="2"/>
                      <w:szCs w:val="21"/>
                    </w:rPr>
                    <w:t>0.0</w:t>
                  </w:r>
                  <w:r>
                    <w:rPr>
                      <w:rFonts w:hint="eastAsia"/>
                      <w:color w:val="auto"/>
                      <w:spacing w:val="2"/>
                      <w:szCs w:val="21"/>
                    </w:rPr>
                    <w:t>09</w:t>
                  </w:r>
                </w:p>
              </w:tc>
              <w:tc>
                <w:tcPr>
                  <w:tcW w:w="1119" w:type="dxa"/>
                  <w:tcBorders>
                    <w:tl2br w:val="nil"/>
                    <w:tr2bl w:val="nil"/>
                  </w:tcBorders>
                </w:tcPr>
                <w:p>
                  <w:pPr>
                    <w:spacing w:before="168" w:line="195" w:lineRule="auto"/>
                    <w:ind w:left="295"/>
                    <w:rPr>
                      <w:color w:val="auto"/>
                      <w:szCs w:val="21"/>
                    </w:rPr>
                  </w:pPr>
                  <w:r>
                    <w:rPr>
                      <w:rFonts w:eastAsia="Times New Roman"/>
                      <w:color w:val="auto"/>
                      <w:spacing w:val="2"/>
                      <w:szCs w:val="21"/>
                    </w:rPr>
                    <w:t>0.0</w:t>
                  </w:r>
                  <w:r>
                    <w:rPr>
                      <w:rFonts w:hint="eastAsia"/>
                      <w:color w:val="auto"/>
                      <w:spacing w:val="2"/>
                      <w:szCs w:val="21"/>
                    </w:rPr>
                    <w:t>30</w:t>
                  </w:r>
                </w:p>
              </w:tc>
              <w:tc>
                <w:tcPr>
                  <w:tcW w:w="1119" w:type="dxa"/>
                  <w:tcBorders>
                    <w:tl2br w:val="nil"/>
                    <w:tr2bl w:val="nil"/>
                  </w:tcBorders>
                </w:tcPr>
                <w:p>
                  <w:pPr>
                    <w:spacing w:before="168" w:line="195" w:lineRule="auto"/>
                    <w:ind w:left="398"/>
                    <w:rPr>
                      <w:color w:val="auto"/>
                      <w:szCs w:val="21"/>
                    </w:rPr>
                  </w:pPr>
                  <w:r>
                    <w:rPr>
                      <w:rFonts w:eastAsia="Times New Roman"/>
                      <w:color w:val="auto"/>
                      <w:spacing w:val="1"/>
                      <w:szCs w:val="21"/>
                    </w:rPr>
                    <w:t>0.</w:t>
                  </w:r>
                  <w:r>
                    <w:rPr>
                      <w:rFonts w:hint="eastAsia"/>
                      <w:color w:val="auto"/>
                      <w:spacing w:val="1"/>
                      <w:szCs w:val="21"/>
                    </w:rPr>
                    <w:t>6</w:t>
                  </w:r>
                </w:p>
              </w:tc>
              <w:tc>
                <w:tcPr>
                  <w:tcW w:w="1166" w:type="dxa"/>
                  <w:tcBorders>
                    <w:tl2br w:val="nil"/>
                    <w:tr2bl w:val="nil"/>
                  </w:tcBorders>
                </w:tcPr>
                <w:p>
                  <w:pPr>
                    <w:spacing w:before="168" w:line="195" w:lineRule="auto"/>
                    <w:ind w:left="314"/>
                    <w:rPr>
                      <w:color w:val="auto"/>
                      <w:szCs w:val="21"/>
                    </w:rPr>
                  </w:pPr>
                  <w:r>
                    <w:rPr>
                      <w:rFonts w:eastAsia="Times New Roman"/>
                      <w:color w:val="auto"/>
                      <w:spacing w:val="3"/>
                      <w:szCs w:val="21"/>
                    </w:rPr>
                    <w:t>0.</w:t>
                  </w:r>
                  <w:r>
                    <w:rPr>
                      <w:rFonts w:hint="eastAsia"/>
                      <w:color w:val="auto"/>
                      <w:spacing w:val="3"/>
                      <w:szCs w:val="21"/>
                    </w:rPr>
                    <w:t>109</w:t>
                  </w:r>
                </w:p>
              </w:tc>
              <w:tc>
                <w:tcPr>
                  <w:tcW w:w="1144" w:type="dxa"/>
                  <w:tcBorders>
                    <w:tl2br w:val="nil"/>
                    <w:tr2bl w:val="nil"/>
                  </w:tcBorders>
                </w:tcPr>
                <w:p>
                  <w:pPr>
                    <w:spacing w:before="168" w:line="195" w:lineRule="auto"/>
                    <w:ind w:left="299"/>
                    <w:rPr>
                      <w:color w:val="auto"/>
                      <w:szCs w:val="21"/>
                    </w:rPr>
                  </w:pPr>
                  <w:r>
                    <w:rPr>
                      <w:rFonts w:eastAsia="Times New Roman"/>
                      <w:color w:val="auto"/>
                      <w:spacing w:val="3"/>
                      <w:szCs w:val="21"/>
                    </w:rPr>
                    <w:t>0.</w:t>
                  </w:r>
                  <w:r>
                    <w:rPr>
                      <w:rFonts w:hint="eastAsia"/>
                      <w:color w:val="auto"/>
                      <w:spacing w:val="3"/>
                      <w:szCs w:val="21"/>
                    </w:rPr>
                    <w:t>017</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14" w:hRule="atLeast"/>
                <w:jc w:val="center"/>
              </w:trPr>
              <w:tc>
                <w:tcPr>
                  <w:tcW w:w="1718" w:type="dxa"/>
                  <w:tcBorders>
                    <w:tl2br w:val="nil"/>
                    <w:tr2bl w:val="nil"/>
                  </w:tcBorders>
                </w:tcPr>
                <w:p>
                  <w:pPr>
                    <w:spacing w:before="168"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.09</w:t>
                  </w:r>
                </w:p>
              </w:tc>
              <w:tc>
                <w:tcPr>
                  <w:tcW w:w="1119" w:type="dxa"/>
                  <w:tcBorders>
                    <w:tl2br w:val="nil"/>
                    <w:tr2bl w:val="nil"/>
                  </w:tcBorders>
                </w:tcPr>
                <w:p>
                  <w:pPr>
                    <w:spacing w:before="168" w:line="195" w:lineRule="auto"/>
                    <w:ind w:left="294"/>
                    <w:rPr>
                      <w:color w:val="auto"/>
                      <w:szCs w:val="21"/>
                    </w:rPr>
                  </w:pPr>
                  <w:r>
                    <w:rPr>
                      <w:rFonts w:eastAsia="Times New Roman"/>
                      <w:color w:val="auto"/>
                      <w:spacing w:val="2"/>
                      <w:szCs w:val="21"/>
                    </w:rPr>
                    <w:t>0.00</w:t>
                  </w:r>
                  <w:r>
                    <w:rPr>
                      <w:rFonts w:hint="eastAsia"/>
                      <w:color w:val="auto"/>
                      <w:spacing w:val="2"/>
                      <w:szCs w:val="21"/>
                    </w:rPr>
                    <w:t>3</w:t>
                  </w:r>
                </w:p>
              </w:tc>
              <w:tc>
                <w:tcPr>
                  <w:tcW w:w="1119" w:type="dxa"/>
                  <w:tcBorders>
                    <w:tl2br w:val="nil"/>
                    <w:tr2bl w:val="nil"/>
                  </w:tcBorders>
                </w:tcPr>
                <w:p>
                  <w:pPr>
                    <w:spacing w:before="168" w:line="195" w:lineRule="auto"/>
                    <w:ind w:left="294"/>
                    <w:rPr>
                      <w:color w:val="auto"/>
                      <w:szCs w:val="21"/>
                    </w:rPr>
                  </w:pPr>
                  <w:r>
                    <w:rPr>
                      <w:rFonts w:eastAsia="Times New Roman"/>
                      <w:color w:val="auto"/>
                      <w:spacing w:val="2"/>
                      <w:szCs w:val="21"/>
                    </w:rPr>
                    <w:t>0.0</w:t>
                  </w:r>
                  <w:r>
                    <w:rPr>
                      <w:rFonts w:hint="eastAsia"/>
                      <w:color w:val="auto"/>
                      <w:spacing w:val="2"/>
                      <w:szCs w:val="21"/>
                    </w:rPr>
                    <w:t>06</w:t>
                  </w:r>
                </w:p>
              </w:tc>
              <w:tc>
                <w:tcPr>
                  <w:tcW w:w="1119" w:type="dxa"/>
                  <w:tcBorders>
                    <w:tl2br w:val="nil"/>
                    <w:tr2bl w:val="nil"/>
                  </w:tcBorders>
                </w:tcPr>
                <w:p>
                  <w:pPr>
                    <w:spacing w:before="168" w:line="195" w:lineRule="auto"/>
                    <w:ind w:left="295"/>
                    <w:rPr>
                      <w:color w:val="auto"/>
                      <w:szCs w:val="21"/>
                    </w:rPr>
                  </w:pPr>
                  <w:r>
                    <w:rPr>
                      <w:rFonts w:eastAsia="Times New Roman"/>
                      <w:color w:val="auto"/>
                      <w:spacing w:val="2"/>
                      <w:szCs w:val="21"/>
                    </w:rPr>
                    <w:t>0.0</w:t>
                  </w:r>
                  <w:r>
                    <w:rPr>
                      <w:rFonts w:hint="eastAsia"/>
                      <w:color w:val="auto"/>
                      <w:spacing w:val="2"/>
                      <w:szCs w:val="21"/>
                    </w:rPr>
                    <w:t>19</w:t>
                  </w:r>
                </w:p>
              </w:tc>
              <w:tc>
                <w:tcPr>
                  <w:tcW w:w="1119" w:type="dxa"/>
                  <w:tcBorders>
                    <w:tl2br w:val="nil"/>
                    <w:tr2bl w:val="nil"/>
                  </w:tcBorders>
                </w:tcPr>
                <w:p>
                  <w:pPr>
                    <w:spacing w:before="168" w:line="195" w:lineRule="auto"/>
                    <w:ind w:left="398"/>
                    <w:rPr>
                      <w:color w:val="auto"/>
                      <w:szCs w:val="21"/>
                    </w:rPr>
                  </w:pPr>
                  <w:r>
                    <w:rPr>
                      <w:rFonts w:eastAsia="Times New Roman"/>
                      <w:color w:val="auto"/>
                      <w:spacing w:val="1"/>
                      <w:szCs w:val="21"/>
                    </w:rPr>
                    <w:t>0.</w:t>
                  </w:r>
                  <w:r>
                    <w:rPr>
                      <w:rFonts w:hint="eastAsia"/>
                      <w:color w:val="auto"/>
                      <w:spacing w:val="1"/>
                      <w:szCs w:val="21"/>
                    </w:rPr>
                    <w:t>5</w:t>
                  </w:r>
                </w:p>
              </w:tc>
              <w:tc>
                <w:tcPr>
                  <w:tcW w:w="1166" w:type="dxa"/>
                  <w:tcBorders>
                    <w:tl2br w:val="nil"/>
                    <w:tr2bl w:val="nil"/>
                  </w:tcBorders>
                </w:tcPr>
                <w:p>
                  <w:pPr>
                    <w:spacing w:before="168" w:line="195" w:lineRule="auto"/>
                    <w:ind w:left="314"/>
                    <w:rPr>
                      <w:color w:val="auto"/>
                      <w:szCs w:val="21"/>
                    </w:rPr>
                  </w:pPr>
                  <w:r>
                    <w:rPr>
                      <w:rFonts w:eastAsia="Times New Roman"/>
                      <w:color w:val="auto"/>
                      <w:spacing w:val="3"/>
                      <w:szCs w:val="21"/>
                    </w:rPr>
                    <w:t>0.0</w:t>
                  </w:r>
                  <w:r>
                    <w:rPr>
                      <w:rFonts w:hint="eastAsia"/>
                      <w:color w:val="auto"/>
                      <w:spacing w:val="3"/>
                      <w:szCs w:val="21"/>
                    </w:rPr>
                    <w:t>95</w:t>
                  </w:r>
                </w:p>
              </w:tc>
              <w:tc>
                <w:tcPr>
                  <w:tcW w:w="1144" w:type="dxa"/>
                  <w:tcBorders>
                    <w:tl2br w:val="nil"/>
                    <w:tr2bl w:val="nil"/>
                  </w:tcBorders>
                </w:tcPr>
                <w:p>
                  <w:pPr>
                    <w:spacing w:before="168" w:line="195" w:lineRule="auto"/>
                    <w:ind w:left="299"/>
                    <w:rPr>
                      <w:color w:val="auto"/>
                      <w:szCs w:val="21"/>
                    </w:rPr>
                  </w:pPr>
                  <w:r>
                    <w:rPr>
                      <w:rFonts w:eastAsia="Times New Roman"/>
                      <w:color w:val="auto"/>
                      <w:spacing w:val="3"/>
                      <w:szCs w:val="21"/>
                    </w:rPr>
                    <w:t>0.01</w:t>
                  </w:r>
                  <w:r>
                    <w:rPr>
                      <w:rFonts w:hint="eastAsia"/>
                      <w:color w:val="auto"/>
                      <w:spacing w:val="3"/>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spacing w:before="171"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4"/>
                      <w:szCs w:val="21"/>
                    </w:rPr>
                    <w:t>.10</w:t>
                  </w:r>
                </w:p>
              </w:tc>
              <w:tc>
                <w:tcPr>
                  <w:tcW w:w="1119" w:type="dxa"/>
                  <w:tcBorders>
                    <w:tl2br w:val="nil"/>
                    <w:tr2bl w:val="nil"/>
                  </w:tcBorders>
                </w:tcPr>
                <w:p>
                  <w:pPr>
                    <w:spacing w:before="171" w:line="195" w:lineRule="auto"/>
                    <w:ind w:left="294"/>
                    <w:rPr>
                      <w:color w:val="auto"/>
                      <w:szCs w:val="21"/>
                    </w:rPr>
                  </w:pPr>
                  <w:r>
                    <w:rPr>
                      <w:rFonts w:eastAsia="Times New Roman"/>
                      <w:color w:val="auto"/>
                      <w:spacing w:val="2"/>
                      <w:szCs w:val="21"/>
                    </w:rPr>
                    <w:t>0.00</w:t>
                  </w:r>
                  <w:r>
                    <w:rPr>
                      <w:rFonts w:hint="eastAsia"/>
                      <w:color w:val="auto"/>
                      <w:spacing w:val="2"/>
                      <w:szCs w:val="21"/>
                    </w:rPr>
                    <w:t>2</w:t>
                  </w:r>
                </w:p>
              </w:tc>
              <w:tc>
                <w:tcPr>
                  <w:tcW w:w="1119" w:type="dxa"/>
                  <w:tcBorders>
                    <w:tl2br w:val="nil"/>
                    <w:tr2bl w:val="nil"/>
                  </w:tcBorders>
                </w:tcPr>
                <w:p>
                  <w:pPr>
                    <w:spacing w:before="171" w:line="195" w:lineRule="auto"/>
                    <w:ind w:left="294"/>
                    <w:rPr>
                      <w:color w:val="auto"/>
                      <w:szCs w:val="21"/>
                    </w:rPr>
                  </w:pPr>
                  <w:r>
                    <w:rPr>
                      <w:rFonts w:eastAsia="Times New Roman"/>
                      <w:color w:val="auto"/>
                      <w:spacing w:val="2"/>
                      <w:szCs w:val="21"/>
                    </w:rPr>
                    <w:t>0.00</w:t>
                  </w:r>
                  <w:r>
                    <w:rPr>
                      <w:rFonts w:hint="eastAsia"/>
                      <w:color w:val="auto"/>
                      <w:spacing w:val="2"/>
                      <w:szCs w:val="21"/>
                    </w:rPr>
                    <w:t>8</w:t>
                  </w:r>
                </w:p>
              </w:tc>
              <w:tc>
                <w:tcPr>
                  <w:tcW w:w="1119" w:type="dxa"/>
                  <w:tcBorders>
                    <w:tl2br w:val="nil"/>
                    <w:tr2bl w:val="nil"/>
                  </w:tcBorders>
                </w:tcPr>
                <w:p>
                  <w:pPr>
                    <w:spacing w:before="171" w:line="195" w:lineRule="auto"/>
                    <w:ind w:left="295"/>
                    <w:rPr>
                      <w:color w:val="auto"/>
                      <w:szCs w:val="21"/>
                    </w:rPr>
                  </w:pPr>
                  <w:r>
                    <w:rPr>
                      <w:rFonts w:eastAsia="Times New Roman"/>
                      <w:color w:val="auto"/>
                      <w:spacing w:val="2"/>
                      <w:szCs w:val="21"/>
                    </w:rPr>
                    <w:t>0.02</w:t>
                  </w:r>
                  <w:r>
                    <w:rPr>
                      <w:rFonts w:hint="eastAsia"/>
                      <w:color w:val="auto"/>
                      <w:spacing w:val="2"/>
                      <w:szCs w:val="21"/>
                    </w:rPr>
                    <w:t>2</w:t>
                  </w:r>
                </w:p>
              </w:tc>
              <w:tc>
                <w:tcPr>
                  <w:tcW w:w="1119" w:type="dxa"/>
                  <w:tcBorders>
                    <w:tl2br w:val="nil"/>
                    <w:tr2bl w:val="nil"/>
                  </w:tcBorders>
                </w:tcPr>
                <w:p>
                  <w:pPr>
                    <w:spacing w:before="171" w:line="195" w:lineRule="auto"/>
                    <w:ind w:left="398"/>
                    <w:rPr>
                      <w:color w:val="auto"/>
                      <w:szCs w:val="21"/>
                    </w:rPr>
                  </w:pPr>
                  <w:r>
                    <w:rPr>
                      <w:rFonts w:eastAsia="Times New Roman"/>
                      <w:color w:val="auto"/>
                      <w:spacing w:val="1"/>
                      <w:szCs w:val="21"/>
                    </w:rPr>
                    <w:t>0.</w:t>
                  </w:r>
                  <w:r>
                    <w:rPr>
                      <w:rFonts w:hint="eastAsia"/>
                      <w:color w:val="auto"/>
                      <w:spacing w:val="1"/>
                      <w:szCs w:val="21"/>
                    </w:rPr>
                    <w:t>2</w:t>
                  </w:r>
                </w:p>
              </w:tc>
              <w:tc>
                <w:tcPr>
                  <w:tcW w:w="1166" w:type="dxa"/>
                  <w:tcBorders>
                    <w:tl2br w:val="nil"/>
                    <w:tr2bl w:val="nil"/>
                  </w:tcBorders>
                </w:tcPr>
                <w:p>
                  <w:pPr>
                    <w:spacing w:before="171" w:line="195" w:lineRule="auto"/>
                    <w:ind w:left="314"/>
                    <w:rPr>
                      <w:color w:val="auto"/>
                      <w:szCs w:val="21"/>
                    </w:rPr>
                  </w:pPr>
                  <w:r>
                    <w:rPr>
                      <w:rFonts w:eastAsia="Times New Roman"/>
                      <w:color w:val="auto"/>
                      <w:spacing w:val="3"/>
                      <w:szCs w:val="21"/>
                    </w:rPr>
                    <w:t>0.0</w:t>
                  </w:r>
                  <w:r>
                    <w:rPr>
                      <w:rFonts w:hint="eastAsia"/>
                      <w:color w:val="auto"/>
                      <w:spacing w:val="3"/>
                      <w:szCs w:val="21"/>
                    </w:rPr>
                    <w:t>85</w:t>
                  </w:r>
                </w:p>
              </w:tc>
              <w:tc>
                <w:tcPr>
                  <w:tcW w:w="1144" w:type="dxa"/>
                  <w:tcBorders>
                    <w:tl2br w:val="nil"/>
                    <w:tr2bl w:val="nil"/>
                  </w:tcBorders>
                </w:tcPr>
                <w:p>
                  <w:pPr>
                    <w:spacing w:before="171" w:line="195" w:lineRule="auto"/>
                    <w:ind w:left="299"/>
                    <w:rPr>
                      <w:color w:val="auto"/>
                      <w:szCs w:val="21"/>
                    </w:rPr>
                  </w:pPr>
                  <w:r>
                    <w:rPr>
                      <w:rFonts w:eastAsia="Times New Roman"/>
                      <w:color w:val="auto"/>
                      <w:spacing w:val="3"/>
                      <w:szCs w:val="21"/>
                    </w:rPr>
                    <w:t>0.0</w:t>
                  </w:r>
                  <w:r>
                    <w:rPr>
                      <w:rFonts w:hint="eastAsia"/>
                      <w:color w:val="auto"/>
                      <w:spacing w:val="3"/>
                      <w:szCs w:val="21"/>
                    </w:rPr>
                    <w:t>13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spacing w:before="171" w:line="195" w:lineRule="auto"/>
                    <w:ind w:left="473"/>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pacing w:val="-1"/>
                      <w:szCs w:val="21"/>
                    </w:rPr>
                    <w:t>.11</w:t>
                  </w:r>
                </w:p>
              </w:tc>
              <w:tc>
                <w:tcPr>
                  <w:tcW w:w="1119" w:type="dxa"/>
                  <w:tcBorders>
                    <w:tl2br w:val="nil"/>
                    <w:tr2bl w:val="nil"/>
                  </w:tcBorders>
                </w:tcPr>
                <w:p>
                  <w:pPr>
                    <w:spacing w:before="171" w:line="195" w:lineRule="auto"/>
                    <w:ind w:left="294"/>
                    <w:rPr>
                      <w:color w:val="auto"/>
                      <w:szCs w:val="21"/>
                    </w:rPr>
                  </w:pPr>
                  <w:r>
                    <w:rPr>
                      <w:rFonts w:eastAsia="Times New Roman"/>
                      <w:color w:val="auto"/>
                      <w:spacing w:val="2"/>
                      <w:szCs w:val="21"/>
                    </w:rPr>
                    <w:t>0.00</w:t>
                  </w:r>
                  <w:r>
                    <w:rPr>
                      <w:rFonts w:hint="eastAsia"/>
                      <w:color w:val="auto"/>
                      <w:spacing w:val="2"/>
                      <w:szCs w:val="21"/>
                    </w:rPr>
                    <w:t>2</w:t>
                  </w:r>
                </w:p>
              </w:tc>
              <w:tc>
                <w:tcPr>
                  <w:tcW w:w="1119" w:type="dxa"/>
                  <w:tcBorders>
                    <w:tl2br w:val="nil"/>
                    <w:tr2bl w:val="nil"/>
                  </w:tcBorders>
                </w:tcPr>
                <w:p>
                  <w:pPr>
                    <w:spacing w:before="171" w:line="195" w:lineRule="auto"/>
                    <w:ind w:left="294"/>
                    <w:rPr>
                      <w:color w:val="auto"/>
                      <w:szCs w:val="21"/>
                    </w:rPr>
                  </w:pPr>
                  <w:r>
                    <w:rPr>
                      <w:rFonts w:eastAsia="Times New Roman"/>
                      <w:color w:val="auto"/>
                      <w:spacing w:val="2"/>
                      <w:szCs w:val="21"/>
                    </w:rPr>
                    <w:t>0.</w:t>
                  </w:r>
                  <w:r>
                    <w:rPr>
                      <w:rFonts w:hint="eastAsia"/>
                      <w:color w:val="auto"/>
                      <w:spacing w:val="2"/>
                      <w:szCs w:val="21"/>
                    </w:rPr>
                    <w:t>009</w:t>
                  </w:r>
                </w:p>
              </w:tc>
              <w:tc>
                <w:tcPr>
                  <w:tcW w:w="1119" w:type="dxa"/>
                  <w:tcBorders>
                    <w:tl2br w:val="nil"/>
                    <w:tr2bl w:val="nil"/>
                  </w:tcBorders>
                </w:tcPr>
                <w:p>
                  <w:pPr>
                    <w:spacing w:before="171" w:line="195" w:lineRule="auto"/>
                    <w:ind w:left="295"/>
                    <w:rPr>
                      <w:color w:val="auto"/>
                      <w:szCs w:val="21"/>
                    </w:rPr>
                  </w:pPr>
                  <w:r>
                    <w:rPr>
                      <w:rFonts w:eastAsia="Times New Roman"/>
                      <w:color w:val="auto"/>
                      <w:spacing w:val="2"/>
                      <w:szCs w:val="21"/>
                    </w:rPr>
                    <w:t>0.0</w:t>
                  </w:r>
                  <w:r>
                    <w:rPr>
                      <w:rFonts w:hint="eastAsia"/>
                      <w:color w:val="auto"/>
                      <w:spacing w:val="2"/>
                      <w:szCs w:val="21"/>
                    </w:rPr>
                    <w:t>24</w:t>
                  </w:r>
                </w:p>
              </w:tc>
              <w:tc>
                <w:tcPr>
                  <w:tcW w:w="1119" w:type="dxa"/>
                  <w:tcBorders>
                    <w:tl2br w:val="nil"/>
                    <w:tr2bl w:val="nil"/>
                  </w:tcBorders>
                </w:tcPr>
                <w:p>
                  <w:pPr>
                    <w:spacing w:before="171" w:line="195" w:lineRule="auto"/>
                    <w:ind w:left="398"/>
                    <w:rPr>
                      <w:color w:val="auto"/>
                      <w:szCs w:val="21"/>
                    </w:rPr>
                  </w:pPr>
                  <w:r>
                    <w:rPr>
                      <w:rFonts w:eastAsia="Times New Roman"/>
                      <w:color w:val="auto"/>
                      <w:spacing w:val="1"/>
                      <w:szCs w:val="21"/>
                    </w:rPr>
                    <w:t>0.</w:t>
                  </w:r>
                  <w:r>
                    <w:rPr>
                      <w:rFonts w:hint="eastAsia"/>
                      <w:color w:val="auto"/>
                      <w:spacing w:val="1"/>
                      <w:szCs w:val="21"/>
                    </w:rPr>
                    <w:t>3</w:t>
                  </w:r>
                </w:p>
              </w:tc>
              <w:tc>
                <w:tcPr>
                  <w:tcW w:w="1166" w:type="dxa"/>
                  <w:tcBorders>
                    <w:tl2br w:val="nil"/>
                    <w:tr2bl w:val="nil"/>
                  </w:tcBorders>
                </w:tcPr>
                <w:p>
                  <w:pPr>
                    <w:spacing w:before="171" w:line="195" w:lineRule="auto"/>
                    <w:ind w:left="314"/>
                    <w:rPr>
                      <w:color w:val="auto"/>
                      <w:szCs w:val="21"/>
                    </w:rPr>
                  </w:pPr>
                  <w:r>
                    <w:rPr>
                      <w:rFonts w:eastAsia="Times New Roman"/>
                      <w:color w:val="auto"/>
                      <w:spacing w:val="3"/>
                      <w:szCs w:val="21"/>
                    </w:rPr>
                    <w:t>0.</w:t>
                  </w:r>
                  <w:r>
                    <w:rPr>
                      <w:rFonts w:hint="eastAsia"/>
                      <w:color w:val="auto"/>
                      <w:spacing w:val="3"/>
                      <w:szCs w:val="21"/>
                    </w:rPr>
                    <w:t>104</w:t>
                  </w:r>
                </w:p>
              </w:tc>
              <w:tc>
                <w:tcPr>
                  <w:tcW w:w="1144" w:type="dxa"/>
                  <w:tcBorders>
                    <w:tl2br w:val="nil"/>
                    <w:tr2bl w:val="nil"/>
                  </w:tcBorders>
                </w:tcPr>
                <w:p>
                  <w:pPr>
                    <w:spacing w:before="171" w:line="195" w:lineRule="auto"/>
                    <w:ind w:left="299"/>
                    <w:rPr>
                      <w:color w:val="auto"/>
                      <w:szCs w:val="21"/>
                    </w:rPr>
                  </w:pPr>
                  <w:r>
                    <w:rPr>
                      <w:rFonts w:eastAsia="Times New Roman"/>
                      <w:color w:val="auto"/>
                      <w:spacing w:val="3"/>
                      <w:szCs w:val="21"/>
                    </w:rPr>
                    <w:t>0.01</w:t>
                  </w:r>
                  <w:r>
                    <w:rPr>
                      <w:rFonts w:hint="eastAsia"/>
                      <w:color w:val="auto"/>
                      <w:spacing w:val="3"/>
                      <w:szCs w:val="21"/>
                    </w:rPr>
                    <w:t>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spacing w:before="173" w:line="195" w:lineRule="auto"/>
                    <w:ind w:left="468"/>
                    <w:rPr>
                      <w:rFonts w:eastAsia="Times New Roman"/>
                      <w:color w:val="auto"/>
                      <w:szCs w:val="21"/>
                    </w:rPr>
                  </w:pPr>
                  <w:r>
                    <w:rPr>
                      <w:rFonts w:eastAsia="Times New Roman"/>
                      <w:color w:val="auto"/>
                      <w:spacing w:val="4"/>
                      <w:szCs w:val="21"/>
                    </w:rPr>
                    <w:t>202</w:t>
                  </w:r>
                  <w:r>
                    <w:rPr>
                      <w:rFonts w:hint="eastAsia"/>
                      <w:color w:val="auto"/>
                      <w:spacing w:val="4"/>
                      <w:szCs w:val="21"/>
                    </w:rPr>
                    <w:t>4</w:t>
                  </w:r>
                  <w:r>
                    <w:rPr>
                      <w:rFonts w:eastAsia="Times New Roman"/>
                      <w:color w:val="auto"/>
                      <w:szCs w:val="21"/>
                    </w:rPr>
                    <w:t>.12</w:t>
                  </w:r>
                </w:p>
              </w:tc>
              <w:tc>
                <w:tcPr>
                  <w:tcW w:w="1119" w:type="dxa"/>
                  <w:tcBorders>
                    <w:tl2br w:val="nil"/>
                    <w:tr2bl w:val="nil"/>
                  </w:tcBorders>
                </w:tcPr>
                <w:p>
                  <w:pPr>
                    <w:spacing w:before="173" w:line="195" w:lineRule="auto"/>
                    <w:ind w:left="294"/>
                    <w:rPr>
                      <w:color w:val="auto"/>
                      <w:szCs w:val="21"/>
                    </w:rPr>
                  </w:pPr>
                  <w:r>
                    <w:rPr>
                      <w:rFonts w:eastAsia="Times New Roman"/>
                      <w:color w:val="auto"/>
                      <w:spacing w:val="2"/>
                      <w:szCs w:val="21"/>
                    </w:rPr>
                    <w:t>0.00</w:t>
                  </w:r>
                  <w:r>
                    <w:rPr>
                      <w:rFonts w:hint="eastAsia"/>
                      <w:color w:val="auto"/>
                      <w:spacing w:val="2"/>
                      <w:szCs w:val="21"/>
                    </w:rPr>
                    <w:t>2</w:t>
                  </w:r>
                </w:p>
              </w:tc>
              <w:tc>
                <w:tcPr>
                  <w:tcW w:w="1119" w:type="dxa"/>
                  <w:tcBorders>
                    <w:tl2br w:val="nil"/>
                    <w:tr2bl w:val="nil"/>
                  </w:tcBorders>
                </w:tcPr>
                <w:p>
                  <w:pPr>
                    <w:spacing w:before="173" w:line="195" w:lineRule="auto"/>
                    <w:ind w:left="294"/>
                    <w:rPr>
                      <w:color w:val="auto"/>
                      <w:szCs w:val="21"/>
                    </w:rPr>
                  </w:pPr>
                  <w:r>
                    <w:rPr>
                      <w:rFonts w:eastAsia="Times New Roman"/>
                      <w:color w:val="auto"/>
                      <w:spacing w:val="2"/>
                      <w:szCs w:val="21"/>
                    </w:rPr>
                    <w:t>0.0</w:t>
                  </w:r>
                  <w:r>
                    <w:rPr>
                      <w:rFonts w:hint="eastAsia"/>
                      <w:color w:val="auto"/>
                      <w:spacing w:val="2"/>
                      <w:szCs w:val="21"/>
                    </w:rPr>
                    <w:t>11</w:t>
                  </w:r>
                </w:p>
              </w:tc>
              <w:tc>
                <w:tcPr>
                  <w:tcW w:w="1119" w:type="dxa"/>
                  <w:tcBorders>
                    <w:tl2br w:val="nil"/>
                    <w:tr2bl w:val="nil"/>
                  </w:tcBorders>
                </w:tcPr>
                <w:p>
                  <w:pPr>
                    <w:spacing w:before="173" w:line="195" w:lineRule="auto"/>
                    <w:ind w:left="295"/>
                    <w:rPr>
                      <w:color w:val="auto"/>
                      <w:szCs w:val="21"/>
                    </w:rPr>
                  </w:pPr>
                  <w:r>
                    <w:rPr>
                      <w:rFonts w:eastAsia="Times New Roman"/>
                      <w:color w:val="auto"/>
                      <w:spacing w:val="2"/>
                      <w:szCs w:val="21"/>
                    </w:rPr>
                    <w:t>0.0</w:t>
                  </w:r>
                  <w:r>
                    <w:rPr>
                      <w:rFonts w:hint="eastAsia"/>
                      <w:color w:val="auto"/>
                      <w:spacing w:val="2"/>
                      <w:szCs w:val="21"/>
                    </w:rPr>
                    <w:t>30</w:t>
                  </w:r>
                </w:p>
              </w:tc>
              <w:tc>
                <w:tcPr>
                  <w:tcW w:w="1119" w:type="dxa"/>
                  <w:tcBorders>
                    <w:tl2br w:val="nil"/>
                    <w:tr2bl w:val="nil"/>
                  </w:tcBorders>
                </w:tcPr>
                <w:p>
                  <w:pPr>
                    <w:spacing w:before="173" w:line="195" w:lineRule="auto"/>
                    <w:ind w:left="398"/>
                    <w:rPr>
                      <w:color w:val="auto"/>
                      <w:szCs w:val="21"/>
                    </w:rPr>
                  </w:pPr>
                  <w:r>
                    <w:rPr>
                      <w:rFonts w:eastAsia="Times New Roman"/>
                      <w:color w:val="auto"/>
                      <w:spacing w:val="1"/>
                      <w:szCs w:val="21"/>
                    </w:rPr>
                    <w:t>0.</w:t>
                  </w:r>
                  <w:r>
                    <w:rPr>
                      <w:rFonts w:hint="eastAsia"/>
                      <w:color w:val="auto"/>
                      <w:spacing w:val="1"/>
                      <w:szCs w:val="21"/>
                    </w:rPr>
                    <w:t>6</w:t>
                  </w:r>
                </w:p>
              </w:tc>
              <w:tc>
                <w:tcPr>
                  <w:tcW w:w="1166" w:type="dxa"/>
                  <w:tcBorders>
                    <w:tl2br w:val="nil"/>
                    <w:tr2bl w:val="nil"/>
                  </w:tcBorders>
                </w:tcPr>
                <w:p>
                  <w:pPr>
                    <w:spacing w:before="173" w:line="195" w:lineRule="auto"/>
                    <w:ind w:left="314"/>
                    <w:rPr>
                      <w:color w:val="auto"/>
                      <w:szCs w:val="21"/>
                    </w:rPr>
                  </w:pPr>
                  <w:r>
                    <w:rPr>
                      <w:rFonts w:eastAsia="Times New Roman"/>
                      <w:color w:val="auto"/>
                      <w:spacing w:val="3"/>
                      <w:szCs w:val="21"/>
                    </w:rPr>
                    <w:t>0.</w:t>
                  </w:r>
                  <w:r>
                    <w:rPr>
                      <w:rFonts w:hint="eastAsia"/>
                      <w:color w:val="auto"/>
                      <w:spacing w:val="3"/>
                      <w:szCs w:val="21"/>
                    </w:rPr>
                    <w:t>110</w:t>
                  </w:r>
                </w:p>
              </w:tc>
              <w:tc>
                <w:tcPr>
                  <w:tcW w:w="1144" w:type="dxa"/>
                  <w:tcBorders>
                    <w:tl2br w:val="nil"/>
                    <w:tr2bl w:val="nil"/>
                  </w:tcBorders>
                </w:tcPr>
                <w:p>
                  <w:pPr>
                    <w:spacing w:before="173" w:line="195" w:lineRule="auto"/>
                    <w:ind w:left="299"/>
                    <w:rPr>
                      <w:color w:val="auto"/>
                      <w:szCs w:val="21"/>
                    </w:rPr>
                  </w:pPr>
                  <w:r>
                    <w:rPr>
                      <w:rFonts w:eastAsia="Times New Roman"/>
                      <w:color w:val="auto"/>
                      <w:spacing w:val="3"/>
                      <w:szCs w:val="21"/>
                    </w:rPr>
                    <w:t>0.0</w:t>
                  </w:r>
                  <w:r>
                    <w:rPr>
                      <w:rFonts w:hint="eastAsia"/>
                      <w:color w:val="auto"/>
                      <w:spacing w:val="3"/>
                      <w:szCs w:val="21"/>
                    </w:rPr>
                    <w:t>16</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pStyle w:val="159"/>
                    <w:spacing w:before="137" w:line="228" w:lineRule="auto"/>
                    <w:ind w:left="411"/>
                    <w:rPr>
                      <w:rFonts w:ascii="Times New Roman" w:hAnsi="Times New Roman" w:eastAsia="Times New Roman" w:cs="Times New Roman"/>
                      <w:color w:val="auto"/>
                      <w:sz w:val="21"/>
                      <w:szCs w:val="21"/>
                      <w:lang w:eastAsia="zh-CN"/>
                    </w:rPr>
                  </w:pPr>
                  <w:r>
                    <w:rPr>
                      <w:rFonts w:ascii="Times New Roman" w:hAnsi="Times New Roman" w:cs="Times New Roman"/>
                      <w:color w:val="auto"/>
                      <w:spacing w:val="7"/>
                      <w:sz w:val="21"/>
                      <w:szCs w:val="21"/>
                      <w:lang w:eastAsia="zh-CN"/>
                    </w:rPr>
                    <w:t>超标率</w:t>
                  </w:r>
                  <w:r>
                    <w:rPr>
                      <w:rFonts w:ascii="Times New Roman" w:hAnsi="Times New Roman" w:eastAsia="Times New Roman" w:cs="Times New Roman"/>
                      <w:color w:val="auto"/>
                      <w:spacing w:val="7"/>
                      <w:sz w:val="21"/>
                      <w:szCs w:val="21"/>
                      <w:lang w:eastAsia="zh-CN"/>
                    </w:rPr>
                    <w:t>%</w:t>
                  </w:r>
                </w:p>
              </w:tc>
              <w:tc>
                <w:tcPr>
                  <w:tcW w:w="1119" w:type="dxa"/>
                  <w:tcBorders>
                    <w:tl2br w:val="nil"/>
                    <w:tr2bl w:val="nil"/>
                  </w:tcBorders>
                </w:tcPr>
                <w:p>
                  <w:pPr>
                    <w:spacing w:before="173" w:line="195" w:lineRule="auto"/>
                    <w:ind w:left="477"/>
                    <w:rPr>
                      <w:rFonts w:eastAsia="Times New Roman"/>
                      <w:color w:val="auto"/>
                      <w:szCs w:val="21"/>
                    </w:rPr>
                  </w:pPr>
                  <w:r>
                    <w:rPr>
                      <w:rFonts w:eastAsia="Times New Roman"/>
                      <w:color w:val="auto"/>
                      <w:szCs w:val="21"/>
                    </w:rPr>
                    <w:t>0</w:t>
                  </w:r>
                </w:p>
              </w:tc>
              <w:tc>
                <w:tcPr>
                  <w:tcW w:w="1119" w:type="dxa"/>
                  <w:tcBorders>
                    <w:tl2br w:val="nil"/>
                    <w:tr2bl w:val="nil"/>
                  </w:tcBorders>
                </w:tcPr>
                <w:p>
                  <w:pPr>
                    <w:spacing w:before="173" w:line="195" w:lineRule="auto"/>
                    <w:ind w:left="477"/>
                    <w:rPr>
                      <w:rFonts w:eastAsia="Times New Roman"/>
                      <w:color w:val="auto"/>
                      <w:szCs w:val="21"/>
                    </w:rPr>
                  </w:pPr>
                  <w:r>
                    <w:rPr>
                      <w:rFonts w:eastAsia="Times New Roman"/>
                      <w:color w:val="auto"/>
                      <w:szCs w:val="21"/>
                    </w:rPr>
                    <w:t>0</w:t>
                  </w:r>
                </w:p>
              </w:tc>
              <w:tc>
                <w:tcPr>
                  <w:tcW w:w="1119" w:type="dxa"/>
                  <w:tcBorders>
                    <w:tl2br w:val="nil"/>
                    <w:tr2bl w:val="nil"/>
                  </w:tcBorders>
                </w:tcPr>
                <w:p>
                  <w:pPr>
                    <w:spacing w:before="173" w:line="195" w:lineRule="auto"/>
                    <w:ind w:left="477"/>
                    <w:rPr>
                      <w:rFonts w:eastAsia="Times New Roman"/>
                      <w:color w:val="auto"/>
                      <w:szCs w:val="21"/>
                    </w:rPr>
                  </w:pPr>
                  <w:r>
                    <w:rPr>
                      <w:rFonts w:eastAsia="Times New Roman"/>
                      <w:color w:val="auto"/>
                      <w:szCs w:val="21"/>
                    </w:rPr>
                    <w:t>0</w:t>
                  </w:r>
                </w:p>
              </w:tc>
              <w:tc>
                <w:tcPr>
                  <w:tcW w:w="1119" w:type="dxa"/>
                  <w:tcBorders>
                    <w:tl2br w:val="nil"/>
                    <w:tr2bl w:val="nil"/>
                  </w:tcBorders>
                </w:tcPr>
                <w:p>
                  <w:pPr>
                    <w:spacing w:before="173" w:line="195" w:lineRule="auto"/>
                    <w:ind w:left="477"/>
                    <w:rPr>
                      <w:rFonts w:eastAsia="Times New Roman"/>
                      <w:color w:val="auto"/>
                      <w:szCs w:val="21"/>
                    </w:rPr>
                  </w:pPr>
                  <w:r>
                    <w:rPr>
                      <w:rFonts w:eastAsia="Times New Roman"/>
                      <w:color w:val="auto"/>
                      <w:szCs w:val="21"/>
                    </w:rPr>
                    <w:t>0</w:t>
                  </w:r>
                </w:p>
              </w:tc>
              <w:tc>
                <w:tcPr>
                  <w:tcW w:w="1166" w:type="dxa"/>
                  <w:tcBorders>
                    <w:tl2br w:val="nil"/>
                    <w:tr2bl w:val="nil"/>
                  </w:tcBorders>
                </w:tcPr>
                <w:p>
                  <w:pPr>
                    <w:spacing w:before="173" w:line="195" w:lineRule="auto"/>
                    <w:ind w:left="499"/>
                    <w:rPr>
                      <w:rFonts w:eastAsia="Times New Roman"/>
                      <w:color w:val="auto"/>
                      <w:szCs w:val="21"/>
                    </w:rPr>
                  </w:pPr>
                  <w:r>
                    <w:rPr>
                      <w:rFonts w:eastAsia="Times New Roman"/>
                      <w:color w:val="auto"/>
                      <w:szCs w:val="21"/>
                    </w:rPr>
                    <w:t>0</w:t>
                  </w:r>
                </w:p>
              </w:tc>
              <w:tc>
                <w:tcPr>
                  <w:tcW w:w="1144" w:type="dxa"/>
                  <w:tcBorders>
                    <w:tl2br w:val="nil"/>
                    <w:tr2bl w:val="nil"/>
                  </w:tcBorders>
                </w:tcPr>
                <w:p>
                  <w:pPr>
                    <w:spacing w:before="173" w:line="195" w:lineRule="auto"/>
                    <w:ind w:left="484"/>
                    <w:rPr>
                      <w:rFonts w:eastAsia="Times New Roman"/>
                      <w:color w:val="auto"/>
                      <w:szCs w:val="21"/>
                    </w:rPr>
                  </w:pPr>
                  <w:r>
                    <w:rPr>
                      <w:rFonts w:eastAsia="Times New Roman"/>
                      <w:color w:val="auto"/>
                      <w:szCs w:val="21"/>
                    </w:rPr>
                    <w:t>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pStyle w:val="159"/>
                    <w:spacing w:before="140" w:line="226" w:lineRule="auto"/>
                    <w:ind w:left="499"/>
                    <w:rPr>
                      <w:rFonts w:ascii="Times New Roman" w:hAnsi="Times New Roman" w:cs="Times New Roman"/>
                      <w:color w:val="auto"/>
                      <w:sz w:val="21"/>
                      <w:szCs w:val="21"/>
                      <w:lang w:eastAsia="zh-CN"/>
                    </w:rPr>
                  </w:pPr>
                  <w:r>
                    <w:rPr>
                      <w:rFonts w:ascii="Times New Roman" w:hAnsi="Times New Roman" w:cs="Times New Roman"/>
                      <w:color w:val="auto"/>
                      <w:spacing w:val="6"/>
                      <w:sz w:val="21"/>
                      <w:szCs w:val="21"/>
                      <w:lang w:eastAsia="zh-CN"/>
                    </w:rPr>
                    <w:t>标准值</w:t>
                  </w:r>
                </w:p>
              </w:tc>
              <w:tc>
                <w:tcPr>
                  <w:tcW w:w="1119" w:type="dxa"/>
                  <w:tcBorders>
                    <w:tl2br w:val="nil"/>
                    <w:tr2bl w:val="nil"/>
                  </w:tcBorders>
                </w:tcPr>
                <w:p>
                  <w:pPr>
                    <w:spacing w:before="175" w:line="195" w:lineRule="auto"/>
                    <w:ind w:left="294"/>
                    <w:rPr>
                      <w:rFonts w:eastAsia="Times New Roman"/>
                      <w:color w:val="auto"/>
                      <w:szCs w:val="21"/>
                    </w:rPr>
                  </w:pPr>
                  <w:r>
                    <w:rPr>
                      <w:rFonts w:eastAsia="Times New Roman"/>
                      <w:color w:val="auto"/>
                      <w:spacing w:val="2"/>
                      <w:szCs w:val="21"/>
                    </w:rPr>
                    <w:t>0.060</w:t>
                  </w:r>
                </w:p>
              </w:tc>
              <w:tc>
                <w:tcPr>
                  <w:tcW w:w="1119" w:type="dxa"/>
                  <w:tcBorders>
                    <w:tl2br w:val="nil"/>
                    <w:tr2bl w:val="nil"/>
                  </w:tcBorders>
                </w:tcPr>
                <w:p>
                  <w:pPr>
                    <w:spacing w:before="175" w:line="195" w:lineRule="auto"/>
                    <w:ind w:left="294"/>
                    <w:rPr>
                      <w:rFonts w:eastAsia="Times New Roman"/>
                      <w:color w:val="auto"/>
                      <w:szCs w:val="21"/>
                    </w:rPr>
                  </w:pPr>
                  <w:r>
                    <w:rPr>
                      <w:rFonts w:eastAsia="Times New Roman"/>
                      <w:color w:val="auto"/>
                      <w:spacing w:val="2"/>
                      <w:szCs w:val="21"/>
                    </w:rPr>
                    <w:t>0.040</w:t>
                  </w:r>
                </w:p>
              </w:tc>
              <w:tc>
                <w:tcPr>
                  <w:tcW w:w="1119" w:type="dxa"/>
                  <w:tcBorders>
                    <w:tl2br w:val="nil"/>
                    <w:tr2bl w:val="nil"/>
                  </w:tcBorders>
                </w:tcPr>
                <w:p>
                  <w:pPr>
                    <w:spacing w:before="175" w:line="195" w:lineRule="auto"/>
                    <w:ind w:left="345"/>
                    <w:rPr>
                      <w:rFonts w:eastAsia="Times New Roman"/>
                      <w:color w:val="auto"/>
                      <w:szCs w:val="21"/>
                    </w:rPr>
                  </w:pPr>
                  <w:r>
                    <w:rPr>
                      <w:rFonts w:eastAsia="Times New Roman"/>
                      <w:color w:val="auto"/>
                      <w:spacing w:val="2"/>
                      <w:szCs w:val="21"/>
                    </w:rPr>
                    <w:t>0.07</w:t>
                  </w:r>
                </w:p>
              </w:tc>
              <w:tc>
                <w:tcPr>
                  <w:tcW w:w="1119" w:type="dxa"/>
                  <w:tcBorders>
                    <w:tl2br w:val="nil"/>
                    <w:tr2bl w:val="nil"/>
                  </w:tcBorders>
                </w:tcPr>
                <w:p>
                  <w:pPr>
                    <w:spacing w:before="175" w:line="195" w:lineRule="auto"/>
                    <w:ind w:left="288"/>
                    <w:rPr>
                      <w:rFonts w:eastAsia="Times New Roman"/>
                      <w:color w:val="auto"/>
                      <w:szCs w:val="21"/>
                    </w:rPr>
                  </w:pPr>
                  <w:r>
                    <w:rPr>
                      <w:rFonts w:eastAsia="Times New Roman"/>
                      <w:color w:val="auto"/>
                      <w:spacing w:val="4"/>
                      <w:szCs w:val="21"/>
                    </w:rPr>
                    <w:t>4.000</w:t>
                  </w:r>
                </w:p>
              </w:tc>
              <w:tc>
                <w:tcPr>
                  <w:tcW w:w="1166" w:type="dxa"/>
                  <w:tcBorders>
                    <w:tl2br w:val="nil"/>
                    <w:tr2bl w:val="nil"/>
                  </w:tcBorders>
                </w:tcPr>
                <w:p>
                  <w:pPr>
                    <w:spacing w:before="175" w:line="195" w:lineRule="auto"/>
                    <w:ind w:left="384"/>
                    <w:rPr>
                      <w:rFonts w:eastAsia="Times New Roman"/>
                      <w:color w:val="auto"/>
                      <w:szCs w:val="21"/>
                    </w:rPr>
                  </w:pPr>
                  <w:r>
                    <w:rPr>
                      <w:rFonts w:eastAsia="Times New Roman"/>
                      <w:color w:val="auto"/>
                      <w:spacing w:val="-2"/>
                      <w:szCs w:val="21"/>
                    </w:rPr>
                    <w:t>1.60</w:t>
                  </w:r>
                </w:p>
              </w:tc>
              <w:tc>
                <w:tcPr>
                  <w:tcW w:w="1144" w:type="dxa"/>
                  <w:tcBorders>
                    <w:tl2br w:val="nil"/>
                    <w:tr2bl w:val="nil"/>
                  </w:tcBorders>
                </w:tcPr>
                <w:p>
                  <w:pPr>
                    <w:spacing w:before="175" w:line="195" w:lineRule="auto"/>
                    <w:ind w:left="299"/>
                    <w:rPr>
                      <w:rFonts w:eastAsia="Times New Roman"/>
                      <w:color w:val="auto"/>
                      <w:szCs w:val="21"/>
                    </w:rPr>
                  </w:pPr>
                  <w:r>
                    <w:rPr>
                      <w:rFonts w:eastAsia="Times New Roman"/>
                      <w:color w:val="auto"/>
                      <w:spacing w:val="3"/>
                      <w:szCs w:val="21"/>
                    </w:rPr>
                    <w:t>0.350</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718" w:type="dxa"/>
                  <w:tcBorders>
                    <w:tl2br w:val="nil"/>
                    <w:tr2bl w:val="nil"/>
                  </w:tcBorders>
                </w:tcPr>
                <w:p>
                  <w:pPr>
                    <w:pStyle w:val="159"/>
                    <w:spacing w:before="141" w:line="228" w:lineRule="auto"/>
                    <w:ind w:left="392"/>
                    <w:rPr>
                      <w:rFonts w:ascii="Times New Roman" w:hAnsi="Times New Roman" w:cs="Times New Roman"/>
                      <w:color w:val="auto"/>
                      <w:sz w:val="21"/>
                      <w:szCs w:val="21"/>
                      <w:lang w:eastAsia="zh-CN"/>
                    </w:rPr>
                  </w:pPr>
                  <w:r>
                    <w:rPr>
                      <w:rFonts w:ascii="Times New Roman" w:hAnsi="Times New Roman" w:cs="Times New Roman"/>
                      <w:color w:val="auto"/>
                      <w:spacing w:val="7"/>
                      <w:sz w:val="21"/>
                      <w:szCs w:val="21"/>
                      <w:lang w:eastAsia="zh-CN"/>
                    </w:rPr>
                    <w:t>达标情况</w:t>
                  </w:r>
                </w:p>
              </w:tc>
              <w:tc>
                <w:tcPr>
                  <w:tcW w:w="1119" w:type="dxa"/>
                  <w:tcBorders>
                    <w:tl2br w:val="nil"/>
                    <w:tr2bl w:val="nil"/>
                  </w:tcBorders>
                </w:tcPr>
                <w:p>
                  <w:pPr>
                    <w:pStyle w:val="159"/>
                    <w:spacing w:before="141" w:line="228" w:lineRule="auto"/>
                    <w:ind w:left="320"/>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达标</w:t>
                  </w:r>
                </w:p>
              </w:tc>
              <w:tc>
                <w:tcPr>
                  <w:tcW w:w="1119" w:type="dxa"/>
                  <w:tcBorders>
                    <w:tl2br w:val="nil"/>
                    <w:tr2bl w:val="nil"/>
                  </w:tcBorders>
                </w:tcPr>
                <w:p>
                  <w:pPr>
                    <w:pStyle w:val="159"/>
                    <w:spacing w:before="141" w:line="228" w:lineRule="auto"/>
                    <w:ind w:left="318"/>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达标</w:t>
                  </w:r>
                </w:p>
              </w:tc>
              <w:tc>
                <w:tcPr>
                  <w:tcW w:w="1119" w:type="dxa"/>
                  <w:tcBorders>
                    <w:tl2br w:val="nil"/>
                    <w:tr2bl w:val="nil"/>
                  </w:tcBorders>
                </w:tcPr>
                <w:p>
                  <w:pPr>
                    <w:pStyle w:val="159"/>
                    <w:spacing w:before="141" w:line="228" w:lineRule="auto"/>
                    <w:ind w:left="318"/>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达标</w:t>
                  </w:r>
                </w:p>
              </w:tc>
              <w:tc>
                <w:tcPr>
                  <w:tcW w:w="1119" w:type="dxa"/>
                  <w:tcBorders>
                    <w:tl2br w:val="nil"/>
                    <w:tr2bl w:val="nil"/>
                  </w:tcBorders>
                </w:tcPr>
                <w:p>
                  <w:pPr>
                    <w:pStyle w:val="159"/>
                    <w:spacing w:before="141" w:line="228" w:lineRule="auto"/>
                    <w:ind w:left="318"/>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达标</w:t>
                  </w:r>
                </w:p>
              </w:tc>
              <w:tc>
                <w:tcPr>
                  <w:tcW w:w="1166" w:type="dxa"/>
                  <w:tcBorders>
                    <w:tl2br w:val="nil"/>
                    <w:tr2bl w:val="nil"/>
                  </w:tcBorders>
                </w:tcPr>
                <w:p>
                  <w:pPr>
                    <w:pStyle w:val="159"/>
                    <w:spacing w:before="141" w:line="228" w:lineRule="auto"/>
                    <w:ind w:left="340"/>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达标</w:t>
                  </w:r>
                </w:p>
              </w:tc>
              <w:tc>
                <w:tcPr>
                  <w:tcW w:w="1144" w:type="dxa"/>
                  <w:tcBorders>
                    <w:tl2br w:val="nil"/>
                    <w:tr2bl w:val="nil"/>
                  </w:tcBorders>
                </w:tcPr>
                <w:p>
                  <w:pPr>
                    <w:pStyle w:val="159"/>
                    <w:spacing w:before="141" w:line="228" w:lineRule="auto"/>
                    <w:ind w:left="327"/>
                    <w:rPr>
                      <w:rFonts w:ascii="Times New Roman" w:hAnsi="Times New Roman" w:cs="Times New Roman"/>
                      <w:color w:val="auto"/>
                      <w:sz w:val="21"/>
                      <w:szCs w:val="21"/>
                      <w:lang w:eastAsia="zh-CN"/>
                    </w:rPr>
                  </w:pPr>
                  <w:r>
                    <w:rPr>
                      <w:rFonts w:ascii="Times New Roman" w:hAnsi="Times New Roman" w:cs="Times New Roman"/>
                      <w:color w:val="auto"/>
                      <w:spacing w:val="5"/>
                      <w:sz w:val="21"/>
                      <w:szCs w:val="21"/>
                      <w:lang w:eastAsia="zh-CN"/>
                    </w:rPr>
                    <w:t>达标</w:t>
                  </w:r>
                </w:p>
              </w:tc>
            </w:tr>
          </w:tbl>
          <w:p>
            <w:pPr>
              <w:spacing w:line="360" w:lineRule="auto"/>
              <w:ind w:firstLine="480" w:firstLineChars="200"/>
              <w:jc w:val="left"/>
              <w:rPr>
                <w:color w:val="auto"/>
                <w:sz w:val="24"/>
              </w:rPr>
            </w:pPr>
            <w:r>
              <w:rPr>
                <w:rFonts w:hint="eastAsia" w:ascii="宋体" w:hAnsi="宋体"/>
                <w:color w:val="auto"/>
                <w:sz w:val="24"/>
              </w:rPr>
              <w:t>由上表可知，</w:t>
            </w:r>
            <w:r>
              <w:rPr>
                <w:rFonts w:hint="eastAsia" w:ascii="TimesNewRomanPSMT" w:hAnsi="TimesNewRomanPSMT" w:eastAsia="TimesNewRomanPSMT"/>
                <w:color w:val="auto"/>
                <w:sz w:val="24"/>
              </w:rPr>
              <w:t>202</w:t>
            </w:r>
            <w:r>
              <w:rPr>
                <w:rFonts w:hint="eastAsia" w:ascii="TimesNewRomanPSMT" w:hAnsi="TimesNewRomanPSMT"/>
                <w:color w:val="auto"/>
                <w:sz w:val="24"/>
              </w:rPr>
              <w:t>4</w:t>
            </w:r>
            <w:r>
              <w:rPr>
                <w:rFonts w:hint="eastAsia" w:ascii="宋体" w:hAnsi="宋体"/>
                <w:color w:val="auto"/>
                <w:sz w:val="24"/>
              </w:rPr>
              <w:t>年全年长乐区</w:t>
            </w:r>
            <w:r>
              <w:rPr>
                <w:rFonts w:hint="eastAsia" w:ascii="TimesNewRomanPSMT" w:hAnsi="TimesNewRomanPSMT" w:eastAsia="TimesNewRomanPSMT"/>
                <w:color w:val="auto"/>
                <w:sz w:val="24"/>
              </w:rPr>
              <w:t>SO</w:t>
            </w:r>
            <w:r>
              <w:rPr>
                <w:rFonts w:hint="eastAsia" w:ascii="TimesNewRomanPSMT" w:hAnsi="TimesNewRomanPSMT" w:eastAsia="TimesNewRomanPSMT"/>
                <w:color w:val="auto"/>
                <w:sz w:val="16"/>
              </w:rPr>
              <w:t>2</w:t>
            </w:r>
            <w:r>
              <w:rPr>
                <w:rFonts w:hint="eastAsia" w:ascii="宋体" w:hAnsi="宋体"/>
                <w:color w:val="auto"/>
                <w:sz w:val="24"/>
              </w:rPr>
              <w:t>、</w:t>
            </w:r>
            <w:r>
              <w:rPr>
                <w:rFonts w:hint="eastAsia" w:ascii="TimesNewRomanPSMT" w:hAnsi="TimesNewRomanPSMT" w:eastAsia="TimesNewRomanPSMT"/>
                <w:color w:val="auto"/>
                <w:sz w:val="24"/>
              </w:rPr>
              <w:t>NO</w:t>
            </w:r>
            <w:r>
              <w:rPr>
                <w:rFonts w:hint="eastAsia" w:ascii="TimesNewRomanPSMT" w:hAnsi="TimesNewRomanPSMT" w:eastAsia="TimesNewRomanPSMT"/>
                <w:color w:val="auto"/>
                <w:sz w:val="16"/>
              </w:rPr>
              <w:t>2</w:t>
            </w:r>
            <w:r>
              <w:rPr>
                <w:rFonts w:hint="eastAsia" w:ascii="宋体" w:hAnsi="宋体"/>
                <w:color w:val="auto"/>
                <w:sz w:val="24"/>
              </w:rPr>
              <w:t>、</w:t>
            </w:r>
            <w:r>
              <w:rPr>
                <w:rFonts w:hint="eastAsia" w:ascii="TimesNewRomanPSMT" w:hAnsi="TimesNewRomanPSMT" w:eastAsia="TimesNewRomanPSMT"/>
                <w:color w:val="auto"/>
                <w:sz w:val="24"/>
              </w:rPr>
              <w:t>PM</w:t>
            </w:r>
            <w:r>
              <w:rPr>
                <w:rFonts w:hint="eastAsia" w:ascii="TimesNewRomanPSMT" w:hAnsi="TimesNewRomanPSMT" w:eastAsia="TimesNewRomanPSMT"/>
                <w:color w:val="auto"/>
                <w:sz w:val="16"/>
              </w:rPr>
              <w:t>10</w:t>
            </w:r>
            <w:r>
              <w:rPr>
                <w:rFonts w:hint="eastAsia" w:ascii="宋体" w:hAnsi="宋体"/>
                <w:color w:val="auto"/>
                <w:sz w:val="24"/>
              </w:rPr>
              <w:t>、</w:t>
            </w:r>
            <w:r>
              <w:rPr>
                <w:rFonts w:hint="eastAsia" w:ascii="TimesNewRomanPSMT" w:hAnsi="TimesNewRomanPSMT" w:eastAsia="TimesNewRomanPSMT"/>
                <w:color w:val="auto"/>
                <w:sz w:val="24"/>
              </w:rPr>
              <w:t>CO</w:t>
            </w:r>
            <w:r>
              <w:rPr>
                <w:rFonts w:hint="eastAsia" w:ascii="宋体" w:hAnsi="宋体"/>
                <w:color w:val="auto"/>
                <w:sz w:val="24"/>
              </w:rPr>
              <w:t>、</w:t>
            </w:r>
            <w:r>
              <w:rPr>
                <w:rFonts w:hint="eastAsia" w:ascii="TimesNewRomanPSMT" w:hAnsi="TimesNewRomanPSMT" w:eastAsia="TimesNewRomanPSMT"/>
                <w:color w:val="auto"/>
                <w:sz w:val="24"/>
              </w:rPr>
              <w:t>O</w:t>
            </w:r>
            <w:r>
              <w:rPr>
                <w:rFonts w:hint="eastAsia" w:ascii="TimesNewRomanPSMT" w:hAnsi="TimesNewRomanPSMT" w:eastAsia="TimesNewRomanPSMT"/>
                <w:color w:val="auto"/>
                <w:sz w:val="16"/>
              </w:rPr>
              <w:t>3</w:t>
            </w:r>
            <w:r>
              <w:rPr>
                <w:rFonts w:hint="eastAsia" w:ascii="宋体" w:hAnsi="宋体"/>
                <w:color w:val="auto"/>
                <w:sz w:val="24"/>
              </w:rPr>
              <w:t>、</w:t>
            </w:r>
            <w:r>
              <w:rPr>
                <w:rFonts w:hint="eastAsia" w:ascii="TimesNewRomanPSMT" w:hAnsi="TimesNewRomanPSMT" w:eastAsia="TimesNewRomanPSMT"/>
                <w:color w:val="auto"/>
                <w:sz w:val="24"/>
              </w:rPr>
              <w:t>PM</w:t>
            </w:r>
            <w:r>
              <w:rPr>
                <w:rFonts w:hint="eastAsia" w:ascii="TimesNewRomanPSMT" w:hAnsi="TimesNewRomanPSMT" w:eastAsia="TimesNewRomanPSMT"/>
                <w:color w:val="auto"/>
                <w:sz w:val="16"/>
              </w:rPr>
              <w:t>2.5</w:t>
            </w:r>
            <w:r>
              <w:rPr>
                <w:rFonts w:hint="eastAsia" w:ascii="宋体" w:hAnsi="宋体"/>
                <w:color w:val="auto"/>
                <w:sz w:val="24"/>
              </w:rPr>
              <w:t>六项污染物均满足《环境空气质量标准》（</w:t>
            </w:r>
            <w:r>
              <w:rPr>
                <w:rFonts w:hint="eastAsia" w:ascii="TimesNewRomanPSMT" w:hAnsi="TimesNewRomanPSMT" w:eastAsia="TimesNewRomanPSMT"/>
                <w:color w:val="auto"/>
                <w:sz w:val="24"/>
              </w:rPr>
              <w:t>GB3095-2012</w:t>
            </w:r>
            <w:r>
              <w:rPr>
                <w:rFonts w:hint="eastAsia" w:ascii="宋体" w:hAnsi="宋体"/>
                <w:color w:val="auto"/>
                <w:sz w:val="24"/>
              </w:rPr>
              <w:t>）及其修改单中的二级标准要求，项</w:t>
            </w:r>
            <w:r>
              <w:rPr>
                <w:rFonts w:hint="eastAsia"/>
                <w:color w:val="auto"/>
                <w:sz w:val="24"/>
              </w:rPr>
              <w:t>目所在区域属于环境空气达标区。</w:t>
            </w:r>
          </w:p>
          <w:p>
            <w:pPr>
              <w:adjustRightInd w:val="0"/>
              <w:snapToGrid w:val="0"/>
              <w:spacing w:line="360" w:lineRule="auto"/>
              <w:ind w:left="420" w:leftChars="200"/>
              <w:rPr>
                <w:color w:val="auto"/>
                <w:sz w:val="24"/>
              </w:rPr>
            </w:pPr>
            <w:r>
              <w:rPr>
                <w:rFonts w:hint="eastAsia"/>
                <w:color w:val="auto"/>
                <w:sz w:val="24"/>
              </w:rPr>
              <w:t>B、引用资料的可行性分析</w:t>
            </w:r>
          </w:p>
          <w:p>
            <w:pPr>
              <w:adjustRightInd w:val="0"/>
              <w:snapToGrid w:val="0"/>
              <w:spacing w:line="360" w:lineRule="auto"/>
              <w:ind w:firstLine="480" w:firstLineChars="200"/>
              <w:rPr>
                <w:color w:val="auto"/>
                <w:sz w:val="24"/>
              </w:rPr>
            </w:pPr>
            <w:r>
              <w:rPr>
                <w:color w:val="auto"/>
                <w:sz w:val="24"/>
              </w:rPr>
              <w:t>根据《环境影响评价技术导则大气环境》（HJ2.2-2018）的6.2.1.2要求：“大气环境质量现状调查可采用评价范围内国家或地方环境空气质量监测网中评价基准年连续1年的监测数据，或采用生态环境主管部门发布的环境空气质量现状数据”，本次评价选取福州长乐区人民政府网址发布环境空气质量环境状况信息，符合《环境影响评价技术导则大气环境》（HJ2.2-2018）的要求，环境现状监测数据可行。</w:t>
            </w:r>
          </w:p>
          <w:p>
            <w:pPr>
              <w:adjustRightInd w:val="0"/>
              <w:snapToGrid w:val="0"/>
              <w:spacing w:line="360" w:lineRule="auto"/>
              <w:ind w:left="420" w:leftChars="200"/>
              <w:rPr>
                <w:color w:val="auto"/>
                <w:sz w:val="24"/>
              </w:rPr>
            </w:pPr>
            <w:r>
              <w:rPr>
                <w:rFonts w:hint="eastAsia"/>
                <w:color w:val="auto"/>
                <w:sz w:val="24"/>
              </w:rPr>
              <w:t>（2）其他废气污染因子不检测的说明</w:t>
            </w:r>
          </w:p>
          <w:p>
            <w:pPr>
              <w:wordWrap w:val="0"/>
              <w:spacing w:line="360" w:lineRule="auto"/>
              <w:ind w:firstLine="480" w:firstLineChars="200"/>
              <w:jc w:val="left"/>
              <w:rPr>
                <w:color w:val="auto"/>
                <w:sz w:val="24"/>
              </w:rPr>
            </w:pPr>
            <w:r>
              <w:rPr>
                <w:color w:val="auto"/>
                <w:sz w:val="24"/>
              </w:rPr>
              <w:t>根据环境影响评价网(生态环境部环境工程评估中心)发布的关于《建设项目环境影响报告表》内容、格式及编制技术指南常见问题解答：“技术指南中提到“排放国家、地方环境空气质量标准中有标准限值要求的特征污染物”，其中环境空气质量标准指《环境空气质量标准》(GB3095)和地方的环境空气质量标准，不包括《环境影响评价技术导则大气环境》(HJ2.2-2018)附录D、《工业企业设计卫生标准》(TJ36-97)、《前苏联居住区标准》(CH245-71)、《环境影响评价技术导则制药建设项目》(HJ611-2011)、《大气污染物综合排放标准详解》等导则或参考资料。排放的特征污染物需要在国家、地方环境空气质量标准中有限值要求才涉及现状监测，且优先引用现有监测数据”(网址详见：http://www.china-eia.com/xmhp/hpzcbz/202110/t20211020_957221.shtml)。</w:t>
            </w:r>
          </w:p>
          <w:p>
            <w:pPr>
              <w:spacing w:line="360" w:lineRule="auto"/>
              <w:ind w:firstLine="480" w:firstLineChars="200"/>
              <w:jc w:val="left"/>
              <w:rPr>
                <w:color w:val="auto"/>
                <w:sz w:val="24"/>
              </w:rPr>
            </w:pPr>
            <w:r>
              <w:rPr>
                <w:rFonts w:hint="eastAsia"/>
                <w:color w:val="auto"/>
                <w:sz w:val="24"/>
              </w:rPr>
              <w:t>本项目排放的其他特征污染物为非甲烷总烃，不属于《环境空气质量标准》(GB3095-2012)和地方的环境空气质量中有标准限值要求的污染物，因此，不进行现状检测评价。</w:t>
            </w:r>
          </w:p>
          <w:p>
            <w:pPr>
              <w:spacing w:line="360" w:lineRule="auto"/>
              <w:jc w:val="center"/>
              <w:rPr>
                <w:color w:val="auto"/>
                <w:sz w:val="24"/>
              </w:rPr>
            </w:pPr>
            <w:r>
              <w:rPr>
                <w:color w:val="auto"/>
              </w:rPr>
              <w:drawing>
                <wp:inline distT="0" distB="0" distL="114300" distR="114300">
                  <wp:extent cx="5321300" cy="5456555"/>
                  <wp:effectExtent l="0" t="0" r="12700" b="10795"/>
                  <wp:docPr id="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
                          <pic:cNvPicPr>
                            <a:picLocks noChangeAspect="1"/>
                          </pic:cNvPicPr>
                        </pic:nvPicPr>
                        <pic:blipFill>
                          <a:blip r:embed="rId25"/>
                          <a:stretch>
                            <a:fillRect/>
                          </a:stretch>
                        </pic:blipFill>
                        <pic:spPr>
                          <a:xfrm>
                            <a:off x="0" y="0"/>
                            <a:ext cx="5321300" cy="5456555"/>
                          </a:xfrm>
                          <a:prstGeom prst="rect">
                            <a:avLst/>
                          </a:prstGeom>
                          <a:noFill/>
                          <a:ln>
                            <a:noFill/>
                          </a:ln>
                        </pic:spPr>
                      </pic:pic>
                    </a:graphicData>
                  </a:graphic>
                </wp:inline>
              </w:drawing>
            </w:r>
          </w:p>
          <w:p>
            <w:pPr>
              <w:adjustRightInd w:val="0"/>
              <w:snapToGrid w:val="0"/>
              <w:spacing w:line="360" w:lineRule="auto"/>
              <w:rPr>
                <w:b/>
                <w:bCs/>
                <w:color w:val="auto"/>
                <w:sz w:val="30"/>
                <w:szCs w:val="30"/>
              </w:rPr>
            </w:pPr>
            <w:r>
              <w:rPr>
                <w:b/>
                <w:bCs/>
                <w:color w:val="auto"/>
                <w:sz w:val="30"/>
                <w:szCs w:val="30"/>
              </w:rPr>
              <w:t>3.</w:t>
            </w:r>
            <w:r>
              <w:rPr>
                <w:rFonts w:hint="eastAsia"/>
                <w:b/>
                <w:bCs/>
                <w:color w:val="auto"/>
                <w:sz w:val="30"/>
                <w:szCs w:val="30"/>
              </w:rPr>
              <w:t>2地表水环境质量现状</w:t>
            </w:r>
          </w:p>
          <w:p>
            <w:pPr>
              <w:pStyle w:val="4"/>
              <w:spacing w:before="140" w:after="60" w:line="360" w:lineRule="auto"/>
              <w:ind w:left="0" w:firstLine="0"/>
              <w:rPr>
                <w:rFonts w:ascii="Times New Roman" w:hAnsi="Times New Roman" w:eastAsia="宋体" w:cs="Times New Roman"/>
                <w:color w:val="auto"/>
                <w:lang w:val="en-US"/>
              </w:rPr>
            </w:pPr>
            <w:r>
              <w:rPr>
                <w:rFonts w:ascii="Times New Roman" w:hAnsi="Times New Roman" w:eastAsia="宋体" w:cs="Times New Roman"/>
                <w:color w:val="auto"/>
                <w:lang w:val="en-US"/>
              </w:rPr>
              <w:t>3.</w:t>
            </w:r>
            <w:r>
              <w:rPr>
                <w:rFonts w:hint="eastAsia" w:ascii="Times New Roman" w:hAnsi="Times New Roman" w:eastAsia="宋体" w:cs="Times New Roman"/>
                <w:color w:val="auto"/>
                <w:lang w:val="en-US"/>
              </w:rPr>
              <w:t>2</w:t>
            </w:r>
            <w:r>
              <w:rPr>
                <w:rFonts w:ascii="Times New Roman" w:hAnsi="Times New Roman" w:eastAsia="宋体" w:cs="Times New Roman"/>
                <w:color w:val="auto"/>
                <w:lang w:val="en-US"/>
              </w:rPr>
              <w:t>.</w:t>
            </w:r>
            <w:r>
              <w:rPr>
                <w:rFonts w:hint="eastAsia" w:ascii="Times New Roman" w:hAnsi="Times New Roman" w:eastAsia="宋体" w:cs="Times New Roman"/>
                <w:color w:val="auto"/>
                <w:lang w:val="en-US"/>
              </w:rPr>
              <w:t>1地表水功能区划</w:t>
            </w:r>
          </w:p>
          <w:p>
            <w:pPr>
              <w:adjustRightInd w:val="0"/>
              <w:snapToGrid w:val="0"/>
              <w:spacing w:line="360" w:lineRule="auto"/>
              <w:ind w:left="420" w:leftChars="200"/>
              <w:rPr>
                <w:color w:val="auto"/>
                <w:sz w:val="24"/>
              </w:rPr>
            </w:pPr>
            <w:r>
              <w:rPr>
                <w:rFonts w:hint="eastAsia"/>
                <w:color w:val="auto"/>
                <w:sz w:val="24"/>
              </w:rPr>
              <w:t>（1）水环境</w:t>
            </w:r>
          </w:p>
          <w:p>
            <w:pPr>
              <w:adjustRightInd w:val="0"/>
              <w:snapToGrid w:val="0"/>
              <w:spacing w:line="360" w:lineRule="auto"/>
              <w:ind w:firstLine="480" w:firstLineChars="200"/>
              <w:rPr>
                <w:color w:val="auto"/>
                <w:sz w:val="24"/>
              </w:rPr>
            </w:pPr>
            <w:r>
              <w:rPr>
                <w:color w:val="auto"/>
                <w:sz w:val="24"/>
              </w:rPr>
              <w:t>项目周边地表水属于陈塘港水域，为北洋水网，根据福建省人民政府闽政文</w:t>
            </w:r>
            <w:r>
              <w:rPr>
                <w:rFonts w:hint="eastAsia"/>
                <w:color w:val="auto"/>
                <w:sz w:val="24"/>
                <w:lang w:eastAsia="zh-CN"/>
              </w:rPr>
              <w:t>〔2006〕133号</w:t>
            </w:r>
            <w:r>
              <w:rPr>
                <w:color w:val="auto"/>
                <w:sz w:val="24"/>
              </w:rPr>
              <w:t>批准《福州市地表水环境功能区划定方案》，北洋水网全河段水体主要功能为一般景观用水，环境功能区划为Ⅴ类，水质目标执行《地表水环境质量标准》（GB3838-2002）V类标准，详见</w:t>
            </w:r>
            <w:r>
              <w:rPr>
                <w:b/>
                <w:bCs/>
                <w:color w:val="auto"/>
                <w:sz w:val="24"/>
              </w:rPr>
              <w:t>表3.2-1</w:t>
            </w:r>
            <w:r>
              <w:rPr>
                <w:color w:val="auto"/>
                <w:sz w:val="24"/>
              </w:rPr>
              <w:t>。</w:t>
            </w:r>
          </w:p>
          <w:p>
            <w:pPr>
              <w:pStyle w:val="181"/>
              <w:spacing w:before="0" w:beforeLines="0"/>
              <w:rPr>
                <w:color w:val="auto"/>
                <w:szCs w:val="24"/>
              </w:rPr>
            </w:pPr>
            <w:r>
              <w:rPr>
                <w:color w:val="auto"/>
                <w:szCs w:val="24"/>
              </w:rPr>
              <w:t>表3.</w:t>
            </w:r>
            <w:r>
              <w:rPr>
                <w:rFonts w:hint="eastAsia"/>
                <w:color w:val="auto"/>
                <w:szCs w:val="24"/>
              </w:rPr>
              <w:t>2</w:t>
            </w:r>
            <w:r>
              <w:rPr>
                <w:color w:val="auto"/>
                <w:szCs w:val="24"/>
              </w:rPr>
              <w:t>-</w:t>
            </w:r>
            <w:r>
              <w:rPr>
                <w:rFonts w:hint="eastAsia"/>
                <w:color w:val="auto"/>
                <w:szCs w:val="24"/>
              </w:rPr>
              <w:t xml:space="preserve">1  </w:t>
            </w:r>
            <w:r>
              <w:rPr>
                <w:color w:val="auto"/>
                <w:szCs w:val="24"/>
              </w:rPr>
              <w:t>《地表水环境质量标准》</w:t>
            </w:r>
            <w:r>
              <w:rPr>
                <w:rFonts w:hint="eastAsia"/>
                <w:color w:val="auto"/>
                <w:szCs w:val="24"/>
              </w:rPr>
              <w:t>（</w:t>
            </w:r>
            <w:r>
              <w:rPr>
                <w:color w:val="auto"/>
                <w:szCs w:val="24"/>
              </w:rPr>
              <w:t>GB3838-2002</w:t>
            </w:r>
            <w:r>
              <w:rPr>
                <w:rFonts w:hint="eastAsia"/>
                <w:color w:val="auto"/>
                <w:szCs w:val="24"/>
              </w:rPr>
              <w:t>）</w:t>
            </w:r>
            <w:r>
              <w:rPr>
                <w:color w:val="auto"/>
                <w:szCs w:val="24"/>
              </w:rPr>
              <w:t>表1</w:t>
            </w:r>
            <w:r>
              <w:rPr>
                <w:rFonts w:hint="eastAsia"/>
                <w:color w:val="auto"/>
                <w:szCs w:val="24"/>
              </w:rPr>
              <w:t>（</w:t>
            </w:r>
            <w:r>
              <w:rPr>
                <w:color w:val="auto"/>
                <w:szCs w:val="24"/>
              </w:rPr>
              <w:t>摘录</w:t>
            </w:r>
            <w:r>
              <w:rPr>
                <w:rFonts w:hint="eastAsia"/>
                <w:color w:val="auto"/>
                <w:szCs w:val="24"/>
              </w:rPr>
              <w:t>）</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28" w:type="dxa"/>
                <w:bottom w:w="0" w:type="dxa"/>
                <w:right w:w="28" w:type="dxa"/>
              </w:tblCellMar>
            </w:tblPr>
            <w:tblGrid>
              <w:gridCol w:w="3049"/>
              <w:gridCol w:w="1463"/>
              <w:gridCol w:w="1332"/>
              <w:gridCol w:w="1330"/>
              <w:gridCol w:w="1330"/>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40" w:hRule="atLeast"/>
                <w:jc w:val="center"/>
              </w:trPr>
              <w:tc>
                <w:tcPr>
                  <w:tcW w:w="3049" w:type="dxa"/>
                  <w:tcBorders>
                    <w:tl2br w:val="nil"/>
                    <w:tr2bl w:val="nil"/>
                  </w:tcBorders>
                  <w:vAlign w:val="center"/>
                </w:tcPr>
                <w:p>
                  <w:pPr>
                    <w:spacing w:line="340" w:lineRule="atLeast"/>
                    <w:jc w:val="center"/>
                    <w:rPr>
                      <w:color w:val="auto"/>
                      <w:szCs w:val="21"/>
                    </w:rPr>
                  </w:pPr>
                  <w:r>
                    <w:rPr>
                      <w:color w:val="auto"/>
                      <w:szCs w:val="21"/>
                    </w:rPr>
                    <w:t>项目</w:t>
                  </w:r>
                </w:p>
              </w:tc>
              <w:tc>
                <w:tcPr>
                  <w:tcW w:w="1463" w:type="dxa"/>
                  <w:tcBorders>
                    <w:tl2br w:val="nil"/>
                    <w:tr2bl w:val="nil"/>
                  </w:tcBorders>
                  <w:vAlign w:val="center"/>
                </w:tcPr>
                <w:p>
                  <w:pPr>
                    <w:spacing w:line="340" w:lineRule="atLeast"/>
                    <w:jc w:val="center"/>
                    <w:rPr>
                      <w:color w:val="auto"/>
                      <w:szCs w:val="21"/>
                    </w:rPr>
                  </w:pPr>
                  <w:r>
                    <w:rPr>
                      <w:color w:val="auto"/>
                      <w:szCs w:val="21"/>
                    </w:rPr>
                    <w:t>Ⅱ类</w:t>
                  </w:r>
                </w:p>
              </w:tc>
              <w:tc>
                <w:tcPr>
                  <w:tcW w:w="1332" w:type="dxa"/>
                  <w:tcBorders>
                    <w:tl2br w:val="nil"/>
                    <w:tr2bl w:val="nil"/>
                  </w:tcBorders>
                  <w:vAlign w:val="center"/>
                </w:tcPr>
                <w:p>
                  <w:pPr>
                    <w:spacing w:line="340" w:lineRule="atLeast"/>
                    <w:jc w:val="center"/>
                    <w:rPr>
                      <w:color w:val="auto"/>
                      <w:szCs w:val="21"/>
                    </w:rPr>
                  </w:pPr>
                  <w:r>
                    <w:rPr>
                      <w:color w:val="auto"/>
                      <w:szCs w:val="21"/>
                    </w:rPr>
                    <w:t>Ⅲ类</w:t>
                  </w:r>
                </w:p>
              </w:tc>
              <w:tc>
                <w:tcPr>
                  <w:tcW w:w="1330" w:type="dxa"/>
                  <w:tcBorders>
                    <w:tl2br w:val="nil"/>
                    <w:tr2bl w:val="nil"/>
                  </w:tcBorders>
                  <w:vAlign w:val="center"/>
                </w:tcPr>
                <w:p>
                  <w:pPr>
                    <w:spacing w:line="340" w:lineRule="atLeast"/>
                    <w:jc w:val="center"/>
                    <w:rPr>
                      <w:color w:val="auto"/>
                      <w:szCs w:val="21"/>
                    </w:rPr>
                  </w:pPr>
                  <w:r>
                    <w:rPr>
                      <w:color w:val="auto"/>
                      <w:szCs w:val="21"/>
                    </w:rPr>
                    <w:t>Ⅳ类</w:t>
                  </w:r>
                </w:p>
              </w:tc>
              <w:tc>
                <w:tcPr>
                  <w:tcW w:w="1330" w:type="dxa"/>
                  <w:tcBorders>
                    <w:tl2br w:val="nil"/>
                    <w:tr2bl w:val="nil"/>
                  </w:tcBorders>
                  <w:shd w:val="clear" w:color="auto" w:fill="EEECE1" w:themeFill="background2"/>
                  <w:vAlign w:val="center"/>
                </w:tcPr>
                <w:p>
                  <w:pPr>
                    <w:spacing w:line="340" w:lineRule="atLeast"/>
                    <w:jc w:val="center"/>
                    <w:rPr>
                      <w:color w:val="auto"/>
                      <w:szCs w:val="21"/>
                    </w:rPr>
                  </w:pPr>
                  <w:r>
                    <w:rPr>
                      <w:color w:val="auto"/>
                      <w:szCs w:val="21"/>
                    </w:rPr>
                    <w:t>Ⅴ类</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40" w:hRule="atLeast"/>
                <w:jc w:val="center"/>
              </w:trPr>
              <w:tc>
                <w:tcPr>
                  <w:tcW w:w="3049" w:type="dxa"/>
                  <w:tcBorders>
                    <w:tl2br w:val="nil"/>
                    <w:tr2bl w:val="nil"/>
                  </w:tcBorders>
                  <w:vAlign w:val="center"/>
                </w:tcPr>
                <w:p>
                  <w:pPr>
                    <w:pStyle w:val="182"/>
                    <w:snapToGrid/>
                    <w:spacing w:line="340" w:lineRule="atLeast"/>
                    <w:rPr>
                      <w:color w:val="auto"/>
                      <w:szCs w:val="21"/>
                    </w:rPr>
                  </w:pPr>
                  <w:r>
                    <w:rPr>
                      <w:snapToGrid w:val="0"/>
                      <w:color w:val="auto"/>
                      <w:kern w:val="18"/>
                      <w:szCs w:val="21"/>
                    </w:rPr>
                    <w:t>pH</w:t>
                  </w:r>
                  <w:r>
                    <w:rPr>
                      <w:rFonts w:hint="eastAsia"/>
                      <w:snapToGrid w:val="0"/>
                      <w:color w:val="auto"/>
                      <w:kern w:val="18"/>
                      <w:szCs w:val="21"/>
                    </w:rPr>
                    <w:t>（</w:t>
                  </w:r>
                  <w:r>
                    <w:rPr>
                      <w:snapToGrid w:val="0"/>
                      <w:color w:val="auto"/>
                      <w:kern w:val="18"/>
                      <w:szCs w:val="21"/>
                    </w:rPr>
                    <w:t>无量纲</w:t>
                  </w:r>
                  <w:r>
                    <w:rPr>
                      <w:rFonts w:hint="eastAsia"/>
                      <w:snapToGrid w:val="0"/>
                      <w:color w:val="auto"/>
                      <w:kern w:val="18"/>
                      <w:szCs w:val="21"/>
                    </w:rPr>
                    <w:t>）</w:t>
                  </w:r>
                </w:p>
              </w:tc>
              <w:tc>
                <w:tcPr>
                  <w:tcW w:w="5455" w:type="dxa"/>
                  <w:gridSpan w:val="4"/>
                  <w:tcBorders>
                    <w:tl2br w:val="nil"/>
                    <w:tr2bl w:val="nil"/>
                  </w:tcBorders>
                  <w:shd w:val="clear" w:color="auto" w:fill="EEECE1" w:themeFill="background2"/>
                  <w:vAlign w:val="center"/>
                </w:tcPr>
                <w:p>
                  <w:pPr>
                    <w:spacing w:line="340" w:lineRule="atLeast"/>
                    <w:jc w:val="center"/>
                    <w:rPr>
                      <w:color w:val="auto"/>
                      <w:szCs w:val="21"/>
                    </w:rPr>
                  </w:pPr>
                  <w:r>
                    <w:rPr>
                      <w:color w:val="auto"/>
                      <w:szCs w:val="21"/>
                    </w:rPr>
                    <w:t>6～9</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40" w:hRule="atLeast"/>
                <w:jc w:val="center"/>
              </w:trPr>
              <w:tc>
                <w:tcPr>
                  <w:tcW w:w="3049" w:type="dxa"/>
                  <w:tcBorders>
                    <w:tl2br w:val="nil"/>
                    <w:tr2bl w:val="nil"/>
                  </w:tcBorders>
                  <w:vAlign w:val="center"/>
                </w:tcPr>
                <w:p>
                  <w:pPr>
                    <w:pStyle w:val="182"/>
                    <w:snapToGrid/>
                    <w:spacing w:line="340" w:lineRule="atLeast"/>
                    <w:rPr>
                      <w:color w:val="auto"/>
                      <w:szCs w:val="21"/>
                    </w:rPr>
                  </w:pPr>
                  <w:r>
                    <w:rPr>
                      <w:snapToGrid w:val="0"/>
                      <w:color w:val="auto"/>
                      <w:kern w:val="18"/>
                      <w:szCs w:val="21"/>
                    </w:rPr>
                    <w:t>溶解氧</w:t>
                  </w:r>
                  <w:r>
                    <w:rPr>
                      <w:rFonts w:hint="eastAsia"/>
                      <w:snapToGrid w:val="0"/>
                      <w:color w:val="auto"/>
                      <w:kern w:val="18"/>
                      <w:szCs w:val="21"/>
                    </w:rPr>
                    <w:t>（</w:t>
                  </w:r>
                  <w:r>
                    <w:rPr>
                      <w:snapToGrid w:val="0"/>
                      <w:color w:val="auto"/>
                      <w:kern w:val="18"/>
                      <w:szCs w:val="21"/>
                    </w:rPr>
                    <w:t>DO</w:t>
                  </w:r>
                  <w:r>
                    <w:rPr>
                      <w:rFonts w:hint="eastAsia"/>
                      <w:snapToGrid w:val="0"/>
                      <w:color w:val="auto"/>
                      <w:kern w:val="18"/>
                      <w:szCs w:val="21"/>
                    </w:rPr>
                    <w:t>）</w:t>
                  </w:r>
                  <w:r>
                    <w:rPr>
                      <w:snapToGrid w:val="0"/>
                      <w:color w:val="auto"/>
                      <w:kern w:val="18"/>
                      <w:szCs w:val="21"/>
                    </w:rPr>
                    <w:t>≥</w:t>
                  </w:r>
                </w:p>
              </w:tc>
              <w:tc>
                <w:tcPr>
                  <w:tcW w:w="1463" w:type="dxa"/>
                  <w:tcBorders>
                    <w:tl2br w:val="nil"/>
                    <w:tr2bl w:val="nil"/>
                  </w:tcBorders>
                  <w:vAlign w:val="center"/>
                </w:tcPr>
                <w:p>
                  <w:pPr>
                    <w:spacing w:line="340" w:lineRule="atLeast"/>
                    <w:jc w:val="center"/>
                    <w:rPr>
                      <w:color w:val="auto"/>
                      <w:szCs w:val="21"/>
                    </w:rPr>
                  </w:pPr>
                  <w:r>
                    <w:rPr>
                      <w:color w:val="auto"/>
                      <w:szCs w:val="21"/>
                    </w:rPr>
                    <w:t>6</w:t>
                  </w:r>
                </w:p>
              </w:tc>
              <w:tc>
                <w:tcPr>
                  <w:tcW w:w="1332" w:type="dxa"/>
                  <w:tcBorders>
                    <w:tl2br w:val="nil"/>
                    <w:tr2bl w:val="nil"/>
                  </w:tcBorders>
                  <w:vAlign w:val="center"/>
                </w:tcPr>
                <w:p>
                  <w:pPr>
                    <w:spacing w:line="340" w:lineRule="atLeast"/>
                    <w:jc w:val="center"/>
                    <w:rPr>
                      <w:color w:val="auto"/>
                      <w:szCs w:val="21"/>
                    </w:rPr>
                  </w:pPr>
                  <w:r>
                    <w:rPr>
                      <w:color w:val="auto"/>
                      <w:szCs w:val="21"/>
                    </w:rPr>
                    <w:t>5</w:t>
                  </w:r>
                </w:p>
              </w:tc>
              <w:tc>
                <w:tcPr>
                  <w:tcW w:w="1330" w:type="dxa"/>
                  <w:tcBorders>
                    <w:tl2br w:val="nil"/>
                    <w:tr2bl w:val="nil"/>
                  </w:tcBorders>
                  <w:vAlign w:val="center"/>
                </w:tcPr>
                <w:p>
                  <w:pPr>
                    <w:spacing w:line="340" w:lineRule="atLeast"/>
                    <w:jc w:val="center"/>
                    <w:rPr>
                      <w:color w:val="auto"/>
                      <w:szCs w:val="21"/>
                    </w:rPr>
                  </w:pPr>
                  <w:r>
                    <w:rPr>
                      <w:color w:val="auto"/>
                      <w:szCs w:val="21"/>
                    </w:rPr>
                    <w:t>3</w:t>
                  </w:r>
                </w:p>
              </w:tc>
              <w:tc>
                <w:tcPr>
                  <w:tcW w:w="1330" w:type="dxa"/>
                  <w:tcBorders>
                    <w:tl2br w:val="nil"/>
                    <w:tr2bl w:val="nil"/>
                  </w:tcBorders>
                  <w:shd w:val="clear" w:color="auto" w:fill="EEECE1" w:themeFill="background2"/>
                  <w:vAlign w:val="center"/>
                </w:tcPr>
                <w:p>
                  <w:pPr>
                    <w:pStyle w:val="182"/>
                    <w:snapToGrid/>
                    <w:spacing w:line="340" w:lineRule="atLeast"/>
                    <w:rPr>
                      <w:color w:val="auto"/>
                      <w:szCs w:val="21"/>
                    </w:rPr>
                  </w:pPr>
                  <w:r>
                    <w:rPr>
                      <w:snapToGrid w:val="0"/>
                      <w:color w:val="auto"/>
                      <w:kern w:val="18"/>
                      <w:szCs w:val="21"/>
                    </w:rPr>
                    <w:t>2</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40" w:hRule="atLeast"/>
                <w:jc w:val="center"/>
              </w:trPr>
              <w:tc>
                <w:tcPr>
                  <w:tcW w:w="3049" w:type="dxa"/>
                  <w:tcBorders>
                    <w:tl2br w:val="nil"/>
                    <w:tr2bl w:val="nil"/>
                  </w:tcBorders>
                  <w:vAlign w:val="center"/>
                </w:tcPr>
                <w:p>
                  <w:pPr>
                    <w:pStyle w:val="182"/>
                    <w:snapToGrid/>
                    <w:spacing w:line="340" w:lineRule="atLeast"/>
                    <w:rPr>
                      <w:color w:val="auto"/>
                      <w:szCs w:val="21"/>
                    </w:rPr>
                  </w:pPr>
                  <w:r>
                    <w:rPr>
                      <w:snapToGrid w:val="0"/>
                      <w:color w:val="auto"/>
                      <w:kern w:val="18"/>
                      <w:szCs w:val="21"/>
                    </w:rPr>
                    <w:t>高锰酸盐指数≤</w:t>
                  </w:r>
                </w:p>
              </w:tc>
              <w:tc>
                <w:tcPr>
                  <w:tcW w:w="1463" w:type="dxa"/>
                  <w:tcBorders>
                    <w:tl2br w:val="nil"/>
                    <w:tr2bl w:val="nil"/>
                  </w:tcBorders>
                  <w:vAlign w:val="center"/>
                </w:tcPr>
                <w:p>
                  <w:pPr>
                    <w:spacing w:line="340" w:lineRule="atLeast"/>
                    <w:jc w:val="center"/>
                    <w:rPr>
                      <w:color w:val="auto"/>
                      <w:szCs w:val="21"/>
                    </w:rPr>
                  </w:pPr>
                  <w:r>
                    <w:rPr>
                      <w:color w:val="auto"/>
                      <w:szCs w:val="21"/>
                    </w:rPr>
                    <w:t>4</w:t>
                  </w:r>
                </w:p>
              </w:tc>
              <w:tc>
                <w:tcPr>
                  <w:tcW w:w="1332" w:type="dxa"/>
                  <w:tcBorders>
                    <w:tl2br w:val="nil"/>
                    <w:tr2bl w:val="nil"/>
                  </w:tcBorders>
                  <w:vAlign w:val="center"/>
                </w:tcPr>
                <w:p>
                  <w:pPr>
                    <w:spacing w:line="340" w:lineRule="atLeast"/>
                    <w:jc w:val="center"/>
                    <w:rPr>
                      <w:color w:val="auto"/>
                      <w:szCs w:val="21"/>
                    </w:rPr>
                  </w:pPr>
                  <w:r>
                    <w:rPr>
                      <w:color w:val="auto"/>
                      <w:szCs w:val="21"/>
                    </w:rPr>
                    <w:t>6</w:t>
                  </w:r>
                </w:p>
              </w:tc>
              <w:tc>
                <w:tcPr>
                  <w:tcW w:w="1330" w:type="dxa"/>
                  <w:tcBorders>
                    <w:tl2br w:val="nil"/>
                    <w:tr2bl w:val="nil"/>
                  </w:tcBorders>
                  <w:vAlign w:val="center"/>
                </w:tcPr>
                <w:p>
                  <w:pPr>
                    <w:spacing w:line="340" w:lineRule="atLeast"/>
                    <w:jc w:val="center"/>
                    <w:rPr>
                      <w:color w:val="auto"/>
                      <w:szCs w:val="21"/>
                    </w:rPr>
                  </w:pPr>
                  <w:r>
                    <w:rPr>
                      <w:color w:val="auto"/>
                      <w:szCs w:val="21"/>
                    </w:rPr>
                    <w:t>10</w:t>
                  </w:r>
                </w:p>
              </w:tc>
              <w:tc>
                <w:tcPr>
                  <w:tcW w:w="1330" w:type="dxa"/>
                  <w:tcBorders>
                    <w:tl2br w:val="nil"/>
                    <w:tr2bl w:val="nil"/>
                  </w:tcBorders>
                  <w:shd w:val="clear" w:color="auto" w:fill="EEECE1" w:themeFill="background2"/>
                  <w:vAlign w:val="center"/>
                </w:tcPr>
                <w:p>
                  <w:pPr>
                    <w:pStyle w:val="182"/>
                    <w:snapToGrid/>
                    <w:spacing w:line="340" w:lineRule="atLeast"/>
                    <w:rPr>
                      <w:color w:val="auto"/>
                      <w:szCs w:val="21"/>
                    </w:rPr>
                  </w:pPr>
                  <w:r>
                    <w:rPr>
                      <w:snapToGrid w:val="0"/>
                      <w:color w:val="auto"/>
                      <w:kern w:val="18"/>
                      <w:szCs w:val="21"/>
                    </w:rPr>
                    <w:t>15</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40" w:hRule="atLeast"/>
                <w:jc w:val="center"/>
              </w:trPr>
              <w:tc>
                <w:tcPr>
                  <w:tcW w:w="3049" w:type="dxa"/>
                  <w:tcBorders>
                    <w:tl2br w:val="nil"/>
                    <w:tr2bl w:val="nil"/>
                  </w:tcBorders>
                  <w:vAlign w:val="center"/>
                </w:tcPr>
                <w:p>
                  <w:pPr>
                    <w:spacing w:line="340" w:lineRule="atLeast"/>
                    <w:jc w:val="center"/>
                    <w:rPr>
                      <w:color w:val="auto"/>
                      <w:szCs w:val="21"/>
                    </w:rPr>
                  </w:pPr>
                  <w:r>
                    <w:rPr>
                      <w:color w:val="auto"/>
                      <w:szCs w:val="21"/>
                    </w:rPr>
                    <w:t>五日生化需氧量</w:t>
                  </w:r>
                  <w:r>
                    <w:rPr>
                      <w:rFonts w:hint="eastAsia"/>
                      <w:color w:val="auto"/>
                      <w:szCs w:val="21"/>
                    </w:rPr>
                    <w:t>（</w:t>
                  </w:r>
                  <w:r>
                    <w:rPr>
                      <w:color w:val="auto"/>
                      <w:szCs w:val="21"/>
                    </w:rPr>
                    <w:t>BOD</w:t>
                  </w:r>
                  <w:r>
                    <w:rPr>
                      <w:color w:val="auto"/>
                      <w:szCs w:val="21"/>
                      <w:vertAlign w:val="subscript"/>
                    </w:rPr>
                    <w:t>5</w:t>
                  </w:r>
                  <w:r>
                    <w:rPr>
                      <w:rFonts w:hint="eastAsia"/>
                      <w:color w:val="auto"/>
                      <w:szCs w:val="21"/>
                    </w:rPr>
                    <w:t>）</w:t>
                  </w:r>
                  <w:r>
                    <w:rPr>
                      <w:snapToGrid w:val="0"/>
                      <w:color w:val="auto"/>
                      <w:kern w:val="18"/>
                      <w:szCs w:val="21"/>
                    </w:rPr>
                    <w:t>≤</w:t>
                  </w:r>
                </w:p>
              </w:tc>
              <w:tc>
                <w:tcPr>
                  <w:tcW w:w="1463" w:type="dxa"/>
                  <w:tcBorders>
                    <w:tl2br w:val="nil"/>
                    <w:tr2bl w:val="nil"/>
                  </w:tcBorders>
                  <w:vAlign w:val="center"/>
                </w:tcPr>
                <w:p>
                  <w:pPr>
                    <w:spacing w:line="340" w:lineRule="atLeast"/>
                    <w:jc w:val="center"/>
                    <w:rPr>
                      <w:color w:val="auto"/>
                      <w:szCs w:val="21"/>
                    </w:rPr>
                  </w:pPr>
                  <w:r>
                    <w:rPr>
                      <w:color w:val="auto"/>
                      <w:szCs w:val="21"/>
                    </w:rPr>
                    <w:t>3</w:t>
                  </w:r>
                </w:p>
              </w:tc>
              <w:tc>
                <w:tcPr>
                  <w:tcW w:w="1332" w:type="dxa"/>
                  <w:tcBorders>
                    <w:tl2br w:val="nil"/>
                    <w:tr2bl w:val="nil"/>
                  </w:tcBorders>
                  <w:vAlign w:val="center"/>
                </w:tcPr>
                <w:p>
                  <w:pPr>
                    <w:spacing w:line="340" w:lineRule="atLeast"/>
                    <w:jc w:val="center"/>
                    <w:rPr>
                      <w:color w:val="auto"/>
                      <w:szCs w:val="21"/>
                    </w:rPr>
                  </w:pPr>
                  <w:r>
                    <w:rPr>
                      <w:color w:val="auto"/>
                      <w:szCs w:val="21"/>
                    </w:rPr>
                    <w:t>4</w:t>
                  </w:r>
                </w:p>
              </w:tc>
              <w:tc>
                <w:tcPr>
                  <w:tcW w:w="1330" w:type="dxa"/>
                  <w:tcBorders>
                    <w:tl2br w:val="nil"/>
                    <w:tr2bl w:val="nil"/>
                  </w:tcBorders>
                  <w:vAlign w:val="center"/>
                </w:tcPr>
                <w:p>
                  <w:pPr>
                    <w:spacing w:line="340" w:lineRule="atLeast"/>
                    <w:jc w:val="center"/>
                    <w:rPr>
                      <w:color w:val="auto"/>
                      <w:szCs w:val="21"/>
                    </w:rPr>
                  </w:pPr>
                  <w:r>
                    <w:rPr>
                      <w:color w:val="auto"/>
                      <w:szCs w:val="21"/>
                    </w:rPr>
                    <w:t>6</w:t>
                  </w:r>
                </w:p>
              </w:tc>
              <w:tc>
                <w:tcPr>
                  <w:tcW w:w="1330" w:type="dxa"/>
                  <w:tcBorders>
                    <w:tl2br w:val="nil"/>
                    <w:tr2bl w:val="nil"/>
                  </w:tcBorders>
                  <w:shd w:val="clear" w:color="auto" w:fill="EEECE1" w:themeFill="background2"/>
                  <w:vAlign w:val="center"/>
                </w:tcPr>
                <w:p>
                  <w:pPr>
                    <w:pStyle w:val="182"/>
                    <w:snapToGrid/>
                    <w:spacing w:line="340" w:lineRule="atLeast"/>
                    <w:rPr>
                      <w:color w:val="auto"/>
                      <w:szCs w:val="21"/>
                    </w:rPr>
                  </w:pPr>
                  <w:r>
                    <w:rPr>
                      <w:snapToGrid w:val="0"/>
                      <w:color w:val="auto"/>
                      <w:kern w:val="18"/>
                      <w:szCs w:val="21"/>
                    </w:rPr>
                    <w:t>10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40" w:hRule="atLeast"/>
                <w:jc w:val="center"/>
              </w:trPr>
              <w:tc>
                <w:tcPr>
                  <w:tcW w:w="3049" w:type="dxa"/>
                  <w:tcBorders>
                    <w:tl2br w:val="nil"/>
                    <w:tr2bl w:val="nil"/>
                  </w:tcBorders>
                  <w:vAlign w:val="center"/>
                </w:tcPr>
                <w:p>
                  <w:pPr>
                    <w:spacing w:line="340" w:lineRule="atLeast"/>
                    <w:jc w:val="center"/>
                    <w:rPr>
                      <w:color w:val="auto"/>
                      <w:szCs w:val="21"/>
                    </w:rPr>
                  </w:pPr>
                  <w:r>
                    <w:rPr>
                      <w:color w:val="auto"/>
                      <w:szCs w:val="21"/>
                    </w:rPr>
                    <w:t>化学需氧量</w:t>
                  </w:r>
                  <w:r>
                    <w:rPr>
                      <w:rFonts w:hint="eastAsia"/>
                      <w:color w:val="auto"/>
                      <w:szCs w:val="21"/>
                    </w:rPr>
                    <w:t>（</w:t>
                  </w:r>
                  <w:r>
                    <w:rPr>
                      <w:color w:val="auto"/>
                      <w:szCs w:val="21"/>
                    </w:rPr>
                    <w:t>COD</w:t>
                  </w:r>
                  <w:r>
                    <w:rPr>
                      <w:rFonts w:hint="eastAsia"/>
                      <w:color w:val="auto"/>
                      <w:szCs w:val="21"/>
                    </w:rPr>
                    <w:t>）</w:t>
                  </w:r>
                  <w:r>
                    <w:rPr>
                      <w:snapToGrid w:val="0"/>
                      <w:color w:val="auto"/>
                      <w:kern w:val="18"/>
                      <w:szCs w:val="21"/>
                    </w:rPr>
                    <w:t>≤</w:t>
                  </w:r>
                </w:p>
              </w:tc>
              <w:tc>
                <w:tcPr>
                  <w:tcW w:w="1463" w:type="dxa"/>
                  <w:tcBorders>
                    <w:tl2br w:val="nil"/>
                    <w:tr2bl w:val="nil"/>
                  </w:tcBorders>
                  <w:vAlign w:val="center"/>
                </w:tcPr>
                <w:p>
                  <w:pPr>
                    <w:spacing w:line="340" w:lineRule="atLeast"/>
                    <w:jc w:val="center"/>
                    <w:rPr>
                      <w:color w:val="auto"/>
                      <w:szCs w:val="21"/>
                    </w:rPr>
                  </w:pPr>
                  <w:r>
                    <w:rPr>
                      <w:color w:val="auto"/>
                      <w:szCs w:val="21"/>
                    </w:rPr>
                    <w:t>15</w:t>
                  </w:r>
                </w:p>
              </w:tc>
              <w:tc>
                <w:tcPr>
                  <w:tcW w:w="1332" w:type="dxa"/>
                  <w:tcBorders>
                    <w:tl2br w:val="nil"/>
                    <w:tr2bl w:val="nil"/>
                  </w:tcBorders>
                  <w:vAlign w:val="center"/>
                </w:tcPr>
                <w:p>
                  <w:pPr>
                    <w:spacing w:line="340" w:lineRule="atLeast"/>
                    <w:jc w:val="center"/>
                    <w:rPr>
                      <w:color w:val="auto"/>
                      <w:szCs w:val="21"/>
                    </w:rPr>
                  </w:pPr>
                  <w:r>
                    <w:rPr>
                      <w:color w:val="auto"/>
                      <w:szCs w:val="21"/>
                    </w:rPr>
                    <w:t>20</w:t>
                  </w:r>
                </w:p>
              </w:tc>
              <w:tc>
                <w:tcPr>
                  <w:tcW w:w="1330" w:type="dxa"/>
                  <w:tcBorders>
                    <w:tl2br w:val="nil"/>
                    <w:tr2bl w:val="nil"/>
                  </w:tcBorders>
                  <w:vAlign w:val="center"/>
                </w:tcPr>
                <w:p>
                  <w:pPr>
                    <w:spacing w:line="340" w:lineRule="atLeast"/>
                    <w:jc w:val="center"/>
                    <w:rPr>
                      <w:color w:val="auto"/>
                      <w:szCs w:val="21"/>
                    </w:rPr>
                  </w:pPr>
                  <w:r>
                    <w:rPr>
                      <w:color w:val="auto"/>
                      <w:szCs w:val="21"/>
                    </w:rPr>
                    <w:t>30</w:t>
                  </w:r>
                </w:p>
              </w:tc>
              <w:tc>
                <w:tcPr>
                  <w:tcW w:w="1330" w:type="dxa"/>
                  <w:tcBorders>
                    <w:tl2br w:val="nil"/>
                    <w:tr2bl w:val="nil"/>
                  </w:tcBorders>
                  <w:shd w:val="clear" w:color="auto" w:fill="EEECE1" w:themeFill="background2"/>
                  <w:vAlign w:val="center"/>
                </w:tcPr>
                <w:p>
                  <w:pPr>
                    <w:pStyle w:val="182"/>
                    <w:snapToGrid/>
                    <w:spacing w:line="340" w:lineRule="atLeast"/>
                    <w:rPr>
                      <w:color w:val="auto"/>
                      <w:szCs w:val="21"/>
                    </w:rPr>
                  </w:pPr>
                  <w:r>
                    <w:rPr>
                      <w:snapToGrid w:val="0"/>
                      <w:color w:val="auto"/>
                      <w:kern w:val="18"/>
                      <w:szCs w:val="21"/>
                    </w:rPr>
                    <w:t>40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40" w:hRule="atLeast"/>
                <w:jc w:val="center"/>
              </w:trPr>
              <w:tc>
                <w:tcPr>
                  <w:tcW w:w="3049" w:type="dxa"/>
                  <w:tcBorders>
                    <w:tl2br w:val="nil"/>
                    <w:tr2bl w:val="nil"/>
                  </w:tcBorders>
                  <w:vAlign w:val="center"/>
                </w:tcPr>
                <w:p>
                  <w:pPr>
                    <w:pStyle w:val="182"/>
                    <w:snapToGrid/>
                    <w:spacing w:line="340" w:lineRule="atLeast"/>
                    <w:rPr>
                      <w:color w:val="auto"/>
                      <w:szCs w:val="21"/>
                    </w:rPr>
                  </w:pPr>
                  <w:r>
                    <w:rPr>
                      <w:snapToGrid w:val="0"/>
                      <w:color w:val="auto"/>
                      <w:kern w:val="18"/>
                      <w:szCs w:val="21"/>
                    </w:rPr>
                    <w:t>氨氮</w:t>
                  </w:r>
                  <w:r>
                    <w:rPr>
                      <w:rFonts w:hint="eastAsia"/>
                      <w:snapToGrid w:val="0"/>
                      <w:color w:val="auto"/>
                      <w:kern w:val="18"/>
                      <w:szCs w:val="21"/>
                    </w:rPr>
                    <w:t>（</w:t>
                  </w:r>
                  <w:r>
                    <w:rPr>
                      <w:snapToGrid w:val="0"/>
                      <w:color w:val="auto"/>
                      <w:kern w:val="18"/>
                      <w:szCs w:val="21"/>
                    </w:rPr>
                    <w:t>NH</w:t>
                  </w:r>
                  <w:r>
                    <w:rPr>
                      <w:snapToGrid w:val="0"/>
                      <w:color w:val="auto"/>
                      <w:kern w:val="18"/>
                      <w:szCs w:val="21"/>
                      <w:vertAlign w:val="subscript"/>
                    </w:rPr>
                    <w:t>3</w:t>
                  </w:r>
                  <w:r>
                    <w:rPr>
                      <w:snapToGrid w:val="0"/>
                      <w:color w:val="auto"/>
                      <w:kern w:val="18"/>
                      <w:szCs w:val="21"/>
                    </w:rPr>
                    <w:t>-N</w:t>
                  </w:r>
                  <w:r>
                    <w:rPr>
                      <w:rFonts w:hint="eastAsia"/>
                      <w:snapToGrid w:val="0"/>
                      <w:color w:val="auto"/>
                      <w:kern w:val="18"/>
                      <w:szCs w:val="21"/>
                    </w:rPr>
                    <w:t>）</w:t>
                  </w:r>
                  <w:r>
                    <w:rPr>
                      <w:snapToGrid w:val="0"/>
                      <w:color w:val="auto"/>
                      <w:kern w:val="18"/>
                      <w:szCs w:val="21"/>
                    </w:rPr>
                    <w:t>≤</w:t>
                  </w:r>
                </w:p>
              </w:tc>
              <w:tc>
                <w:tcPr>
                  <w:tcW w:w="1463" w:type="dxa"/>
                  <w:tcBorders>
                    <w:tl2br w:val="nil"/>
                    <w:tr2bl w:val="nil"/>
                  </w:tcBorders>
                  <w:vAlign w:val="center"/>
                </w:tcPr>
                <w:p>
                  <w:pPr>
                    <w:spacing w:line="340" w:lineRule="atLeast"/>
                    <w:jc w:val="center"/>
                    <w:rPr>
                      <w:color w:val="auto"/>
                      <w:szCs w:val="21"/>
                    </w:rPr>
                  </w:pPr>
                  <w:r>
                    <w:rPr>
                      <w:color w:val="auto"/>
                      <w:szCs w:val="21"/>
                    </w:rPr>
                    <w:t>0.5</w:t>
                  </w:r>
                </w:p>
              </w:tc>
              <w:tc>
                <w:tcPr>
                  <w:tcW w:w="1332" w:type="dxa"/>
                  <w:tcBorders>
                    <w:tl2br w:val="nil"/>
                    <w:tr2bl w:val="nil"/>
                  </w:tcBorders>
                  <w:vAlign w:val="center"/>
                </w:tcPr>
                <w:p>
                  <w:pPr>
                    <w:spacing w:line="340" w:lineRule="atLeast"/>
                    <w:jc w:val="center"/>
                    <w:rPr>
                      <w:color w:val="auto"/>
                      <w:szCs w:val="21"/>
                    </w:rPr>
                  </w:pPr>
                  <w:r>
                    <w:rPr>
                      <w:color w:val="auto"/>
                      <w:szCs w:val="21"/>
                    </w:rPr>
                    <w:t>1.0</w:t>
                  </w:r>
                </w:p>
              </w:tc>
              <w:tc>
                <w:tcPr>
                  <w:tcW w:w="1330" w:type="dxa"/>
                  <w:tcBorders>
                    <w:tl2br w:val="nil"/>
                    <w:tr2bl w:val="nil"/>
                  </w:tcBorders>
                  <w:vAlign w:val="center"/>
                </w:tcPr>
                <w:p>
                  <w:pPr>
                    <w:spacing w:line="340" w:lineRule="atLeast"/>
                    <w:jc w:val="center"/>
                    <w:rPr>
                      <w:color w:val="auto"/>
                      <w:szCs w:val="21"/>
                    </w:rPr>
                  </w:pPr>
                  <w:r>
                    <w:rPr>
                      <w:color w:val="auto"/>
                      <w:szCs w:val="21"/>
                    </w:rPr>
                    <w:t>1.5</w:t>
                  </w:r>
                </w:p>
              </w:tc>
              <w:tc>
                <w:tcPr>
                  <w:tcW w:w="1330" w:type="dxa"/>
                  <w:tcBorders>
                    <w:tl2br w:val="nil"/>
                    <w:tr2bl w:val="nil"/>
                  </w:tcBorders>
                  <w:shd w:val="clear" w:color="auto" w:fill="EEECE1" w:themeFill="background2"/>
                  <w:vAlign w:val="center"/>
                </w:tcPr>
                <w:p>
                  <w:pPr>
                    <w:pStyle w:val="182"/>
                    <w:snapToGrid/>
                    <w:spacing w:line="340" w:lineRule="atLeast"/>
                    <w:rPr>
                      <w:color w:val="auto"/>
                      <w:szCs w:val="21"/>
                    </w:rPr>
                  </w:pPr>
                  <w:r>
                    <w:rPr>
                      <w:snapToGrid w:val="0"/>
                      <w:color w:val="auto"/>
                      <w:kern w:val="18"/>
                      <w:szCs w:val="21"/>
                    </w:rPr>
                    <w:t>2.0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40" w:hRule="atLeast"/>
                <w:jc w:val="center"/>
              </w:trPr>
              <w:tc>
                <w:tcPr>
                  <w:tcW w:w="3049" w:type="dxa"/>
                  <w:tcBorders>
                    <w:tl2br w:val="nil"/>
                    <w:tr2bl w:val="nil"/>
                  </w:tcBorders>
                  <w:vAlign w:val="center"/>
                </w:tcPr>
                <w:p>
                  <w:pPr>
                    <w:pStyle w:val="182"/>
                    <w:snapToGrid/>
                    <w:spacing w:line="340" w:lineRule="atLeast"/>
                    <w:rPr>
                      <w:color w:val="auto"/>
                      <w:szCs w:val="21"/>
                    </w:rPr>
                  </w:pPr>
                  <w:r>
                    <w:rPr>
                      <w:snapToGrid w:val="0"/>
                      <w:color w:val="auto"/>
                      <w:kern w:val="18"/>
                      <w:szCs w:val="21"/>
                    </w:rPr>
                    <w:t>总磷</w:t>
                  </w:r>
                  <w:r>
                    <w:rPr>
                      <w:rFonts w:hint="eastAsia"/>
                      <w:snapToGrid w:val="0"/>
                      <w:color w:val="auto"/>
                      <w:kern w:val="18"/>
                      <w:szCs w:val="21"/>
                    </w:rPr>
                    <w:t>（</w:t>
                  </w:r>
                  <w:r>
                    <w:rPr>
                      <w:snapToGrid w:val="0"/>
                      <w:color w:val="auto"/>
                      <w:kern w:val="18"/>
                      <w:szCs w:val="21"/>
                    </w:rPr>
                    <w:t>TP</w:t>
                  </w:r>
                  <w:r>
                    <w:rPr>
                      <w:rFonts w:hint="eastAsia"/>
                      <w:snapToGrid w:val="0"/>
                      <w:color w:val="auto"/>
                      <w:kern w:val="18"/>
                      <w:szCs w:val="21"/>
                    </w:rPr>
                    <w:t>）</w:t>
                  </w:r>
                  <w:r>
                    <w:rPr>
                      <w:snapToGrid w:val="0"/>
                      <w:color w:val="auto"/>
                      <w:kern w:val="18"/>
                      <w:szCs w:val="21"/>
                    </w:rPr>
                    <w:t>≤</w:t>
                  </w:r>
                </w:p>
              </w:tc>
              <w:tc>
                <w:tcPr>
                  <w:tcW w:w="1463" w:type="dxa"/>
                  <w:tcBorders>
                    <w:tl2br w:val="nil"/>
                    <w:tr2bl w:val="nil"/>
                  </w:tcBorders>
                  <w:vAlign w:val="center"/>
                </w:tcPr>
                <w:p>
                  <w:pPr>
                    <w:spacing w:line="340" w:lineRule="atLeast"/>
                    <w:jc w:val="center"/>
                    <w:rPr>
                      <w:color w:val="auto"/>
                      <w:szCs w:val="21"/>
                    </w:rPr>
                  </w:pPr>
                  <w:r>
                    <w:rPr>
                      <w:color w:val="auto"/>
                      <w:szCs w:val="21"/>
                    </w:rPr>
                    <w:t>0.1</w:t>
                  </w:r>
                </w:p>
              </w:tc>
              <w:tc>
                <w:tcPr>
                  <w:tcW w:w="1332" w:type="dxa"/>
                  <w:tcBorders>
                    <w:tl2br w:val="nil"/>
                    <w:tr2bl w:val="nil"/>
                  </w:tcBorders>
                  <w:vAlign w:val="center"/>
                </w:tcPr>
                <w:p>
                  <w:pPr>
                    <w:spacing w:line="340" w:lineRule="atLeast"/>
                    <w:jc w:val="center"/>
                    <w:rPr>
                      <w:color w:val="auto"/>
                      <w:szCs w:val="21"/>
                    </w:rPr>
                  </w:pPr>
                  <w:r>
                    <w:rPr>
                      <w:snapToGrid w:val="0"/>
                      <w:color w:val="auto"/>
                      <w:kern w:val="18"/>
                      <w:szCs w:val="21"/>
                    </w:rPr>
                    <w:t>0.2</w:t>
                  </w:r>
                </w:p>
              </w:tc>
              <w:tc>
                <w:tcPr>
                  <w:tcW w:w="1330" w:type="dxa"/>
                  <w:tcBorders>
                    <w:tl2br w:val="nil"/>
                    <w:tr2bl w:val="nil"/>
                  </w:tcBorders>
                  <w:vAlign w:val="center"/>
                </w:tcPr>
                <w:p>
                  <w:pPr>
                    <w:spacing w:line="340" w:lineRule="atLeast"/>
                    <w:jc w:val="center"/>
                    <w:rPr>
                      <w:color w:val="auto"/>
                      <w:szCs w:val="21"/>
                    </w:rPr>
                  </w:pPr>
                  <w:r>
                    <w:rPr>
                      <w:color w:val="auto"/>
                      <w:szCs w:val="21"/>
                    </w:rPr>
                    <w:t>0.3</w:t>
                  </w:r>
                </w:p>
              </w:tc>
              <w:tc>
                <w:tcPr>
                  <w:tcW w:w="1330" w:type="dxa"/>
                  <w:tcBorders>
                    <w:tl2br w:val="nil"/>
                    <w:tr2bl w:val="nil"/>
                  </w:tcBorders>
                  <w:shd w:val="clear" w:color="auto" w:fill="EEECE1" w:themeFill="background2"/>
                  <w:vAlign w:val="center"/>
                </w:tcPr>
                <w:p>
                  <w:pPr>
                    <w:pStyle w:val="182"/>
                    <w:snapToGrid/>
                    <w:spacing w:line="340" w:lineRule="atLeast"/>
                    <w:rPr>
                      <w:color w:val="auto"/>
                      <w:szCs w:val="21"/>
                    </w:rPr>
                  </w:pPr>
                  <w:r>
                    <w:rPr>
                      <w:snapToGrid w:val="0"/>
                      <w:color w:val="auto"/>
                      <w:kern w:val="18"/>
                      <w:szCs w:val="21"/>
                    </w:rPr>
                    <w:t>0.4</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28" w:type="dxa"/>
                  <w:bottom w:w="0" w:type="dxa"/>
                  <w:right w:w="28" w:type="dxa"/>
                </w:tblCellMar>
              </w:tblPrEx>
              <w:trPr>
                <w:cantSplit/>
                <w:trHeight w:val="340" w:hRule="atLeast"/>
                <w:jc w:val="center"/>
              </w:trPr>
              <w:tc>
                <w:tcPr>
                  <w:tcW w:w="3049" w:type="dxa"/>
                  <w:tcBorders>
                    <w:tl2br w:val="nil"/>
                    <w:tr2bl w:val="nil"/>
                  </w:tcBorders>
                  <w:vAlign w:val="center"/>
                </w:tcPr>
                <w:p>
                  <w:pPr>
                    <w:pStyle w:val="182"/>
                    <w:snapToGrid/>
                    <w:spacing w:line="340" w:lineRule="atLeast"/>
                    <w:rPr>
                      <w:snapToGrid w:val="0"/>
                      <w:color w:val="auto"/>
                      <w:kern w:val="18"/>
                      <w:szCs w:val="21"/>
                    </w:rPr>
                  </w:pPr>
                  <w:r>
                    <w:rPr>
                      <w:snapToGrid w:val="0"/>
                      <w:color w:val="auto"/>
                      <w:kern w:val="18"/>
                      <w:szCs w:val="21"/>
                    </w:rPr>
                    <w:t>石油类≤</w:t>
                  </w:r>
                </w:p>
              </w:tc>
              <w:tc>
                <w:tcPr>
                  <w:tcW w:w="1463" w:type="dxa"/>
                  <w:tcBorders>
                    <w:tl2br w:val="nil"/>
                    <w:tr2bl w:val="nil"/>
                  </w:tcBorders>
                  <w:vAlign w:val="center"/>
                </w:tcPr>
                <w:p>
                  <w:pPr>
                    <w:spacing w:line="340" w:lineRule="atLeast"/>
                    <w:jc w:val="center"/>
                    <w:rPr>
                      <w:color w:val="auto"/>
                      <w:szCs w:val="21"/>
                    </w:rPr>
                  </w:pPr>
                  <w:r>
                    <w:rPr>
                      <w:color w:val="auto"/>
                      <w:szCs w:val="21"/>
                    </w:rPr>
                    <w:t>0.05</w:t>
                  </w:r>
                </w:p>
              </w:tc>
              <w:tc>
                <w:tcPr>
                  <w:tcW w:w="1332" w:type="dxa"/>
                  <w:tcBorders>
                    <w:tl2br w:val="nil"/>
                    <w:tr2bl w:val="nil"/>
                  </w:tcBorders>
                  <w:vAlign w:val="center"/>
                </w:tcPr>
                <w:p>
                  <w:pPr>
                    <w:spacing w:line="340" w:lineRule="atLeast"/>
                    <w:jc w:val="center"/>
                    <w:rPr>
                      <w:snapToGrid w:val="0"/>
                      <w:color w:val="auto"/>
                      <w:kern w:val="18"/>
                      <w:szCs w:val="21"/>
                    </w:rPr>
                  </w:pPr>
                  <w:r>
                    <w:rPr>
                      <w:snapToGrid w:val="0"/>
                      <w:color w:val="auto"/>
                      <w:kern w:val="18"/>
                      <w:szCs w:val="21"/>
                    </w:rPr>
                    <w:t>0.05</w:t>
                  </w:r>
                </w:p>
              </w:tc>
              <w:tc>
                <w:tcPr>
                  <w:tcW w:w="1330" w:type="dxa"/>
                  <w:tcBorders>
                    <w:tl2br w:val="nil"/>
                    <w:tr2bl w:val="nil"/>
                  </w:tcBorders>
                  <w:vAlign w:val="center"/>
                </w:tcPr>
                <w:p>
                  <w:pPr>
                    <w:spacing w:line="340" w:lineRule="atLeast"/>
                    <w:jc w:val="center"/>
                    <w:rPr>
                      <w:color w:val="auto"/>
                      <w:szCs w:val="21"/>
                    </w:rPr>
                  </w:pPr>
                  <w:r>
                    <w:rPr>
                      <w:color w:val="auto"/>
                      <w:szCs w:val="21"/>
                    </w:rPr>
                    <w:t>0.5</w:t>
                  </w:r>
                </w:p>
              </w:tc>
              <w:tc>
                <w:tcPr>
                  <w:tcW w:w="1330" w:type="dxa"/>
                  <w:tcBorders>
                    <w:tl2br w:val="nil"/>
                    <w:tr2bl w:val="nil"/>
                  </w:tcBorders>
                  <w:shd w:val="clear" w:color="auto" w:fill="EEECE1" w:themeFill="background2"/>
                  <w:vAlign w:val="center"/>
                </w:tcPr>
                <w:p>
                  <w:pPr>
                    <w:pStyle w:val="182"/>
                    <w:snapToGrid/>
                    <w:spacing w:line="340" w:lineRule="atLeast"/>
                    <w:rPr>
                      <w:snapToGrid w:val="0"/>
                      <w:color w:val="auto"/>
                      <w:kern w:val="18"/>
                      <w:szCs w:val="21"/>
                    </w:rPr>
                  </w:pPr>
                  <w:r>
                    <w:rPr>
                      <w:snapToGrid w:val="0"/>
                      <w:color w:val="auto"/>
                      <w:kern w:val="18"/>
                      <w:szCs w:val="21"/>
                    </w:rPr>
                    <w:t>1.0</w:t>
                  </w:r>
                </w:p>
              </w:tc>
            </w:tr>
          </w:tbl>
          <w:p>
            <w:pPr>
              <w:pStyle w:val="4"/>
              <w:spacing w:before="140" w:after="60" w:line="360" w:lineRule="auto"/>
              <w:ind w:left="0" w:firstLine="0"/>
              <w:rPr>
                <w:rFonts w:ascii="Times New Roman" w:hAnsi="Times New Roman" w:eastAsia="宋体" w:cs="Times New Roman"/>
                <w:color w:val="auto"/>
                <w:lang w:val="en-US"/>
              </w:rPr>
            </w:pPr>
            <w:r>
              <w:rPr>
                <w:rFonts w:ascii="Times New Roman" w:hAnsi="Times New Roman" w:eastAsia="宋体" w:cs="Times New Roman"/>
                <w:color w:val="auto"/>
                <w:lang w:val="en-US"/>
              </w:rPr>
              <w:t>3.</w:t>
            </w:r>
            <w:r>
              <w:rPr>
                <w:rFonts w:hint="eastAsia" w:ascii="Times New Roman" w:hAnsi="Times New Roman" w:eastAsia="宋体" w:cs="Times New Roman"/>
                <w:color w:val="auto"/>
                <w:lang w:val="en-US"/>
              </w:rPr>
              <w:t>2</w:t>
            </w:r>
            <w:r>
              <w:rPr>
                <w:rFonts w:ascii="Times New Roman" w:hAnsi="Times New Roman" w:eastAsia="宋体" w:cs="Times New Roman"/>
                <w:color w:val="auto"/>
                <w:lang w:val="en-US"/>
              </w:rPr>
              <w:t>.</w:t>
            </w:r>
            <w:r>
              <w:rPr>
                <w:rFonts w:hint="eastAsia" w:ascii="Times New Roman" w:hAnsi="Times New Roman" w:eastAsia="宋体" w:cs="Times New Roman"/>
                <w:color w:val="auto"/>
                <w:lang w:val="en-US"/>
              </w:rPr>
              <w:t>2地表水环境质量现状</w:t>
            </w:r>
          </w:p>
          <w:p>
            <w:pPr>
              <w:adjustRightInd w:val="0"/>
              <w:snapToGrid w:val="0"/>
              <w:spacing w:line="360" w:lineRule="auto"/>
              <w:ind w:firstLine="480" w:firstLineChars="200"/>
              <w:rPr>
                <w:color w:val="auto"/>
                <w:sz w:val="24"/>
              </w:rPr>
            </w:pPr>
            <w:r>
              <w:rPr>
                <w:color w:val="auto"/>
                <w:sz w:val="24"/>
              </w:rPr>
              <w:t>（1）地表水水质现状调查</w:t>
            </w:r>
          </w:p>
          <w:p>
            <w:pPr>
              <w:wordWrap w:val="0"/>
              <w:adjustRightInd w:val="0"/>
              <w:snapToGrid w:val="0"/>
              <w:spacing w:line="360" w:lineRule="auto"/>
              <w:ind w:firstLine="480" w:firstLineChars="200"/>
              <w:jc w:val="left"/>
              <w:rPr>
                <w:color w:val="auto"/>
                <w:sz w:val="24"/>
              </w:rPr>
            </w:pPr>
            <w:r>
              <w:rPr>
                <w:color w:val="auto"/>
                <w:sz w:val="24"/>
              </w:rPr>
              <w:t>为了解建设项目周边区域陈塘港水域水环境质量现状，本评价引用福建省生态厅发布的《福建省流域水环境质量状况（2024年）》(网址详见：https://sthjt.fujian.gov.cn/ztzl/hjzl/shjzl/zylyshjzl_39961/202502/t20250208_6712426.htm)，2024年，全省主要流域总体水质为优。国控断面Ⅰ～Ⅲ类水质比例100%，其中Ⅰ～Ⅱ类水质比例77.1%；国控及省控断面Ⅰ～Ⅲ类水质比例99.7%，其中Ⅰ～Ⅱ类水质比例80%。各类水质比例如下：Ⅰ类占2.4%，Ⅱ类占77.6%，Ⅲ类占19.7%，Ⅳ类占0.3%，无Ⅴ类和劣Ⅴ类水</w:t>
            </w:r>
            <w:r>
              <w:rPr>
                <w:rFonts w:hint="eastAsia"/>
                <w:color w:val="auto"/>
                <w:sz w:val="24"/>
              </w:rPr>
              <w:t>，则建设项目周边区域水环境质量较好。</w:t>
            </w:r>
          </w:p>
          <w:p>
            <w:pPr>
              <w:adjustRightInd w:val="0"/>
              <w:snapToGrid w:val="0"/>
              <w:spacing w:line="360" w:lineRule="auto"/>
              <w:ind w:firstLine="480" w:firstLineChars="200"/>
              <w:rPr>
                <w:color w:val="auto"/>
                <w:sz w:val="24"/>
              </w:rPr>
            </w:pPr>
            <w:r>
              <w:rPr>
                <w:rFonts w:hint="eastAsia"/>
                <w:color w:val="auto"/>
                <w:sz w:val="24"/>
              </w:rPr>
              <w:t>（2）</w:t>
            </w:r>
            <w:r>
              <w:rPr>
                <w:color w:val="auto"/>
                <w:sz w:val="24"/>
              </w:rPr>
              <w:t>引用资料的可行性分析</w:t>
            </w:r>
          </w:p>
          <w:p>
            <w:pPr>
              <w:adjustRightInd w:val="0"/>
              <w:snapToGrid w:val="0"/>
              <w:spacing w:line="360" w:lineRule="auto"/>
              <w:ind w:firstLine="480" w:firstLineChars="200"/>
              <w:rPr>
                <w:color w:val="auto"/>
                <w:sz w:val="24"/>
              </w:rPr>
            </w:pPr>
            <w:r>
              <w:rPr>
                <w:color w:val="auto"/>
                <w:sz w:val="24"/>
              </w:rPr>
              <w:t>根据《建设项目环境影响报告表编制技术指南(污染影响类)(试行)》(环办环评〔2020〕33号)的要求：“地表水环境区域环境质量现状引用与建设项目距离近的有效数据，包括近3年的规划环境影响评价的监测数据，所在流域控制单元内国家、地方控制断面监测数据，生态环境主管部门发布的水环境质量数据或地表水达标情况的结论”。本评价引用福建省厅发布的福建省流域水环境质量状况，基本符合《建设项目环境影响报告表编制技术指南(污染影响类)(试行)》(环办环评〔2020〕33号)的要求。</w:t>
            </w:r>
          </w:p>
          <w:p>
            <w:pPr>
              <w:wordWrap w:val="0"/>
              <w:adjustRightInd w:val="0"/>
              <w:snapToGrid w:val="0"/>
              <w:spacing w:line="360" w:lineRule="auto"/>
              <w:jc w:val="left"/>
              <w:rPr>
                <w:color w:val="auto"/>
                <w:sz w:val="24"/>
              </w:rPr>
            </w:pPr>
            <w:r>
              <w:rPr>
                <w:color w:val="auto"/>
              </w:rPr>
              <w:drawing>
                <wp:inline distT="0" distB="0" distL="114300" distR="114300">
                  <wp:extent cx="5315585" cy="4303395"/>
                  <wp:effectExtent l="0" t="0" r="18415" b="1905"/>
                  <wp:docPr id="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2"/>
                          <pic:cNvPicPr>
                            <a:picLocks noChangeAspect="1"/>
                          </pic:cNvPicPr>
                        </pic:nvPicPr>
                        <pic:blipFill>
                          <a:blip r:embed="rId26"/>
                          <a:stretch>
                            <a:fillRect/>
                          </a:stretch>
                        </pic:blipFill>
                        <pic:spPr>
                          <a:xfrm>
                            <a:off x="0" y="0"/>
                            <a:ext cx="5315585" cy="4303395"/>
                          </a:xfrm>
                          <a:prstGeom prst="rect">
                            <a:avLst/>
                          </a:prstGeom>
                          <a:noFill/>
                          <a:ln>
                            <a:noFill/>
                          </a:ln>
                        </pic:spPr>
                      </pic:pic>
                    </a:graphicData>
                  </a:graphic>
                </wp:inline>
              </w:drawing>
            </w:r>
          </w:p>
          <w:p>
            <w:pPr>
              <w:adjustRightInd w:val="0"/>
              <w:snapToGrid w:val="0"/>
              <w:spacing w:line="360" w:lineRule="auto"/>
              <w:rPr>
                <w:b/>
                <w:bCs/>
                <w:color w:val="auto"/>
                <w:sz w:val="30"/>
                <w:szCs w:val="30"/>
              </w:rPr>
            </w:pPr>
            <w:r>
              <w:rPr>
                <w:b/>
                <w:bCs/>
                <w:color w:val="auto"/>
                <w:sz w:val="30"/>
                <w:szCs w:val="30"/>
              </w:rPr>
              <w:t>3.</w:t>
            </w:r>
            <w:r>
              <w:rPr>
                <w:rFonts w:hint="eastAsia"/>
                <w:b/>
                <w:bCs/>
                <w:color w:val="auto"/>
                <w:sz w:val="30"/>
                <w:szCs w:val="30"/>
              </w:rPr>
              <w:t>3声环境质量现状</w:t>
            </w:r>
          </w:p>
          <w:p>
            <w:pPr>
              <w:pStyle w:val="4"/>
              <w:spacing w:before="140" w:after="60" w:line="360" w:lineRule="auto"/>
              <w:ind w:left="0" w:firstLine="0"/>
              <w:rPr>
                <w:rFonts w:ascii="Times New Roman" w:hAnsi="Times New Roman" w:eastAsia="宋体" w:cs="Times New Roman"/>
                <w:color w:val="auto"/>
                <w:lang w:val="en-US"/>
              </w:rPr>
            </w:pPr>
            <w:r>
              <w:rPr>
                <w:rFonts w:ascii="Times New Roman" w:hAnsi="Times New Roman" w:eastAsia="宋体" w:cs="Times New Roman"/>
                <w:color w:val="auto"/>
                <w:lang w:val="en-US"/>
              </w:rPr>
              <w:t>3.</w:t>
            </w:r>
            <w:r>
              <w:rPr>
                <w:rFonts w:hint="eastAsia" w:ascii="Times New Roman" w:hAnsi="Times New Roman" w:eastAsia="宋体" w:cs="Times New Roman"/>
                <w:color w:val="auto"/>
                <w:lang w:val="en-US"/>
              </w:rPr>
              <w:t>3</w:t>
            </w:r>
            <w:r>
              <w:rPr>
                <w:rFonts w:ascii="Times New Roman" w:hAnsi="Times New Roman" w:eastAsia="宋体" w:cs="Times New Roman"/>
                <w:color w:val="auto"/>
                <w:lang w:val="en-US"/>
              </w:rPr>
              <w:t>.</w:t>
            </w:r>
            <w:r>
              <w:rPr>
                <w:rFonts w:hint="eastAsia" w:ascii="Times New Roman" w:hAnsi="Times New Roman" w:eastAsia="宋体" w:cs="Times New Roman"/>
                <w:color w:val="auto"/>
                <w:lang w:val="en-US"/>
              </w:rPr>
              <w:t>1声环境功能区划</w:t>
            </w:r>
          </w:p>
          <w:p>
            <w:pPr>
              <w:adjustRightInd w:val="0"/>
              <w:snapToGrid w:val="0"/>
              <w:spacing w:line="360" w:lineRule="auto"/>
              <w:ind w:firstLine="480" w:firstLineChars="200"/>
              <w:rPr>
                <w:color w:val="auto"/>
                <w:sz w:val="24"/>
              </w:rPr>
            </w:pPr>
            <w:r>
              <w:rPr>
                <w:rFonts w:hint="eastAsia"/>
                <w:color w:val="auto"/>
                <w:sz w:val="24"/>
              </w:rPr>
              <w:t>项目位于</w:t>
            </w:r>
            <w:r>
              <w:rPr>
                <w:color w:val="auto"/>
                <w:sz w:val="24"/>
                <w:szCs w:val="21"/>
              </w:rPr>
              <w:t>福建省</w:t>
            </w:r>
            <w:r>
              <w:rPr>
                <w:rFonts w:hint="eastAsia"/>
                <w:color w:val="auto"/>
                <w:sz w:val="24"/>
                <w:szCs w:val="21"/>
              </w:rPr>
              <w:t>福州</w:t>
            </w:r>
            <w:r>
              <w:rPr>
                <w:color w:val="auto"/>
                <w:sz w:val="24"/>
                <w:szCs w:val="21"/>
              </w:rPr>
              <w:t>市</w:t>
            </w:r>
            <w:r>
              <w:rPr>
                <w:rFonts w:hint="eastAsia"/>
                <w:color w:val="auto"/>
                <w:sz w:val="24"/>
                <w:szCs w:val="21"/>
              </w:rPr>
              <w:t>长乐区漳港街道渡桥村</w:t>
            </w:r>
            <w:r>
              <w:rPr>
                <w:rFonts w:hint="eastAsia"/>
                <w:color w:val="auto"/>
                <w:sz w:val="24"/>
              </w:rPr>
              <w:t>，根据福州市长乐区声环境功能区划定图（</w:t>
            </w:r>
            <w:r>
              <w:rPr>
                <w:rFonts w:hint="eastAsia"/>
                <w:b/>
                <w:bCs/>
                <w:color w:val="auto"/>
                <w:sz w:val="24"/>
              </w:rPr>
              <w:t>见附图8</w:t>
            </w:r>
            <w:r>
              <w:rPr>
                <w:rFonts w:hint="eastAsia"/>
                <w:color w:val="auto"/>
                <w:sz w:val="24"/>
              </w:rPr>
              <w:t>），项目所在区域环境执行2类声环境功能；由于项目厂界南侧约15m为东环路（二级公路），厂界西侧约50m为东环路（二级公路），厂界北侧和东侧的道路不属于高速公路、一级公路、二级公路、城市快速路、主干道、次干道，根据《声环境功能区划分技术规范》（GB/T15190-2014），交通干线（高速公路、一级公路、二级公路、城市快速路、主干道、次干道）边界外相邻区域为2类声环境功能区，距离为35±5m划分为4a类功能区；则</w:t>
            </w:r>
            <w:r>
              <w:rPr>
                <w:color w:val="auto"/>
                <w:sz w:val="24"/>
              </w:rPr>
              <w:t>项目</w:t>
            </w:r>
            <w:r>
              <w:rPr>
                <w:rFonts w:hint="eastAsia"/>
                <w:color w:val="auto"/>
                <w:sz w:val="24"/>
              </w:rPr>
              <w:t>西南侧沿东环路厂界执行4a类声环境功能，西北侧、东北侧、东南侧厂界执行2类声环境功能。</w:t>
            </w:r>
            <w:r>
              <w:rPr>
                <w:color w:val="auto"/>
                <w:sz w:val="24"/>
              </w:rPr>
              <w:t>具体见</w:t>
            </w:r>
            <w:r>
              <w:rPr>
                <w:rFonts w:hint="eastAsia"/>
                <w:b/>
                <w:bCs/>
                <w:color w:val="auto"/>
                <w:sz w:val="24"/>
              </w:rPr>
              <w:t>表</w:t>
            </w:r>
            <w:r>
              <w:rPr>
                <w:b/>
                <w:bCs/>
                <w:color w:val="auto"/>
                <w:sz w:val="24"/>
              </w:rPr>
              <w:t>3.1-</w:t>
            </w:r>
            <w:r>
              <w:rPr>
                <w:rFonts w:hint="eastAsia"/>
                <w:b/>
                <w:bCs/>
                <w:color w:val="auto"/>
                <w:sz w:val="24"/>
              </w:rPr>
              <w:t>3</w:t>
            </w:r>
            <w:r>
              <w:rPr>
                <w:color w:val="auto"/>
                <w:sz w:val="24"/>
              </w:rPr>
              <w:t>。</w:t>
            </w:r>
          </w:p>
          <w:p>
            <w:pPr>
              <w:pStyle w:val="181"/>
              <w:spacing w:before="0" w:beforeLines="0"/>
              <w:rPr>
                <w:color w:val="auto"/>
                <w:szCs w:val="24"/>
              </w:rPr>
            </w:pPr>
            <w:r>
              <w:rPr>
                <w:color w:val="auto"/>
                <w:szCs w:val="24"/>
              </w:rPr>
              <w:t>表3.</w:t>
            </w:r>
            <w:r>
              <w:rPr>
                <w:rFonts w:hint="eastAsia"/>
                <w:color w:val="auto"/>
                <w:szCs w:val="24"/>
              </w:rPr>
              <w:t>3</w:t>
            </w:r>
            <w:r>
              <w:rPr>
                <w:color w:val="auto"/>
                <w:szCs w:val="24"/>
              </w:rPr>
              <w:t>-</w:t>
            </w:r>
            <w:r>
              <w:rPr>
                <w:rFonts w:hint="eastAsia"/>
                <w:color w:val="auto"/>
                <w:szCs w:val="24"/>
              </w:rPr>
              <w:t xml:space="preserve">1  </w:t>
            </w:r>
            <w:r>
              <w:rPr>
                <w:color w:val="auto"/>
                <w:szCs w:val="24"/>
              </w:rPr>
              <w:t>声环境质量标准（摘录）</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177"/>
              <w:gridCol w:w="1860"/>
              <w:gridCol w:w="1830"/>
              <w:gridCol w:w="16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7" w:type="dxa"/>
                  <w:vAlign w:val="center"/>
                </w:tcPr>
                <w:p>
                  <w:pPr>
                    <w:spacing w:line="340" w:lineRule="atLeast"/>
                    <w:jc w:val="center"/>
                    <w:rPr>
                      <w:color w:val="auto"/>
                      <w:szCs w:val="21"/>
                    </w:rPr>
                  </w:pPr>
                  <w:r>
                    <w:rPr>
                      <w:rFonts w:hint="eastAsia"/>
                      <w:color w:val="auto"/>
                      <w:szCs w:val="21"/>
                    </w:rPr>
                    <w:t>边界</w:t>
                  </w:r>
                </w:p>
              </w:tc>
              <w:tc>
                <w:tcPr>
                  <w:tcW w:w="1860" w:type="dxa"/>
                  <w:vAlign w:val="center"/>
                </w:tcPr>
                <w:p>
                  <w:pPr>
                    <w:spacing w:line="340" w:lineRule="atLeast"/>
                    <w:jc w:val="center"/>
                    <w:rPr>
                      <w:color w:val="auto"/>
                      <w:szCs w:val="21"/>
                    </w:rPr>
                  </w:pPr>
                  <w:r>
                    <w:rPr>
                      <w:color w:val="auto"/>
                      <w:szCs w:val="21"/>
                    </w:rPr>
                    <w:t>声环境功能类别</w:t>
                  </w:r>
                </w:p>
              </w:tc>
              <w:tc>
                <w:tcPr>
                  <w:tcW w:w="1830" w:type="dxa"/>
                  <w:vAlign w:val="center"/>
                </w:tcPr>
                <w:p>
                  <w:pPr>
                    <w:spacing w:line="340" w:lineRule="atLeast"/>
                    <w:jc w:val="center"/>
                    <w:rPr>
                      <w:color w:val="auto"/>
                      <w:szCs w:val="21"/>
                    </w:rPr>
                  </w:pPr>
                  <w:r>
                    <w:rPr>
                      <w:color w:val="auto"/>
                      <w:szCs w:val="21"/>
                    </w:rPr>
                    <w:t>昼间</w:t>
                  </w:r>
                  <w:r>
                    <w:rPr>
                      <w:rFonts w:hint="eastAsia"/>
                      <w:color w:val="auto"/>
                      <w:szCs w:val="21"/>
                    </w:rPr>
                    <w:t>（dB（A））</w:t>
                  </w:r>
                </w:p>
              </w:tc>
              <w:tc>
                <w:tcPr>
                  <w:tcW w:w="1637" w:type="dxa"/>
                  <w:vAlign w:val="center"/>
                </w:tcPr>
                <w:p>
                  <w:pPr>
                    <w:spacing w:line="340" w:lineRule="atLeast"/>
                    <w:jc w:val="center"/>
                    <w:rPr>
                      <w:color w:val="auto"/>
                      <w:szCs w:val="21"/>
                    </w:rPr>
                  </w:pPr>
                  <w:r>
                    <w:rPr>
                      <w:color w:val="auto"/>
                      <w:szCs w:val="21"/>
                    </w:rPr>
                    <w:t>夜间</w:t>
                  </w:r>
                  <w:r>
                    <w:rPr>
                      <w:rFonts w:hint="eastAsia"/>
                      <w:color w:val="auto"/>
                      <w:szCs w:val="21"/>
                    </w:rPr>
                    <w:t>（dB（A））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7" w:type="dxa"/>
                  <w:vAlign w:val="center"/>
                </w:tcPr>
                <w:p>
                  <w:pPr>
                    <w:spacing w:line="340" w:lineRule="atLeast"/>
                    <w:jc w:val="center"/>
                    <w:rPr>
                      <w:color w:val="auto"/>
                      <w:szCs w:val="21"/>
                    </w:rPr>
                  </w:pPr>
                  <w:r>
                    <w:rPr>
                      <w:rFonts w:hint="eastAsia"/>
                      <w:color w:val="auto"/>
                      <w:szCs w:val="21"/>
                    </w:rPr>
                    <w:t>西北侧、东北侧、东南侧</w:t>
                  </w:r>
                  <w:r>
                    <w:rPr>
                      <w:color w:val="auto"/>
                      <w:szCs w:val="21"/>
                    </w:rPr>
                    <w:t>厂界</w:t>
                  </w:r>
                </w:p>
              </w:tc>
              <w:tc>
                <w:tcPr>
                  <w:tcW w:w="1860" w:type="dxa"/>
                  <w:vAlign w:val="center"/>
                </w:tcPr>
                <w:p>
                  <w:pPr>
                    <w:spacing w:line="340" w:lineRule="atLeast"/>
                    <w:jc w:val="center"/>
                    <w:rPr>
                      <w:color w:val="auto"/>
                      <w:szCs w:val="21"/>
                    </w:rPr>
                  </w:pPr>
                  <w:r>
                    <w:rPr>
                      <w:rFonts w:hint="eastAsia"/>
                      <w:color w:val="auto"/>
                      <w:szCs w:val="21"/>
                    </w:rPr>
                    <w:t>2</w:t>
                  </w:r>
                </w:p>
              </w:tc>
              <w:tc>
                <w:tcPr>
                  <w:tcW w:w="1830" w:type="dxa"/>
                  <w:vAlign w:val="center"/>
                </w:tcPr>
                <w:p>
                  <w:pPr>
                    <w:spacing w:line="340" w:lineRule="atLeast"/>
                    <w:jc w:val="center"/>
                    <w:rPr>
                      <w:color w:val="auto"/>
                      <w:szCs w:val="21"/>
                    </w:rPr>
                  </w:pPr>
                  <w:r>
                    <w:rPr>
                      <w:color w:val="auto"/>
                      <w:szCs w:val="21"/>
                    </w:rPr>
                    <w:t>6</w:t>
                  </w:r>
                  <w:r>
                    <w:rPr>
                      <w:rFonts w:hint="eastAsia"/>
                      <w:color w:val="auto"/>
                      <w:szCs w:val="21"/>
                    </w:rPr>
                    <w:t>0</w:t>
                  </w:r>
                </w:p>
              </w:tc>
              <w:tc>
                <w:tcPr>
                  <w:tcW w:w="1637" w:type="dxa"/>
                  <w:vAlign w:val="center"/>
                </w:tcPr>
                <w:p>
                  <w:pPr>
                    <w:spacing w:line="340" w:lineRule="atLeast"/>
                    <w:jc w:val="center"/>
                    <w:rPr>
                      <w:color w:val="auto"/>
                      <w:szCs w:val="21"/>
                    </w:rPr>
                  </w:pPr>
                  <w:r>
                    <w:rPr>
                      <w:color w:val="auto"/>
                      <w:szCs w:val="21"/>
                    </w:rPr>
                    <w:t>5</w:t>
                  </w:r>
                  <w:r>
                    <w:rPr>
                      <w:rFonts w:hint="eastAsia"/>
                      <w:color w:val="auto"/>
                      <w:szCs w:val="21"/>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77" w:type="dxa"/>
                  <w:vAlign w:val="center"/>
                </w:tcPr>
                <w:p>
                  <w:pPr>
                    <w:spacing w:line="340" w:lineRule="atLeast"/>
                    <w:jc w:val="center"/>
                    <w:rPr>
                      <w:color w:val="auto"/>
                      <w:szCs w:val="21"/>
                    </w:rPr>
                  </w:pPr>
                  <w:r>
                    <w:rPr>
                      <w:rFonts w:hint="eastAsia"/>
                      <w:color w:val="auto"/>
                      <w:szCs w:val="21"/>
                      <w:lang w:val="en-US" w:eastAsia="zh-CN"/>
                    </w:rPr>
                    <w:t>西</w:t>
                  </w:r>
                  <w:r>
                    <w:rPr>
                      <w:rFonts w:hint="eastAsia"/>
                      <w:color w:val="auto"/>
                      <w:szCs w:val="21"/>
                    </w:rPr>
                    <w:t>南侧沿东环路厂界</w:t>
                  </w:r>
                </w:p>
              </w:tc>
              <w:tc>
                <w:tcPr>
                  <w:tcW w:w="1860" w:type="dxa"/>
                  <w:vAlign w:val="center"/>
                </w:tcPr>
                <w:p>
                  <w:pPr>
                    <w:spacing w:line="340" w:lineRule="atLeast"/>
                    <w:jc w:val="center"/>
                    <w:rPr>
                      <w:color w:val="auto"/>
                      <w:szCs w:val="21"/>
                    </w:rPr>
                  </w:pPr>
                  <w:r>
                    <w:rPr>
                      <w:rFonts w:hint="eastAsia"/>
                      <w:color w:val="auto"/>
                      <w:szCs w:val="21"/>
                    </w:rPr>
                    <w:t>4a</w:t>
                  </w:r>
                </w:p>
              </w:tc>
              <w:tc>
                <w:tcPr>
                  <w:tcW w:w="1830" w:type="dxa"/>
                  <w:vAlign w:val="center"/>
                </w:tcPr>
                <w:p>
                  <w:pPr>
                    <w:spacing w:line="340" w:lineRule="atLeast"/>
                    <w:jc w:val="center"/>
                    <w:rPr>
                      <w:color w:val="auto"/>
                      <w:szCs w:val="21"/>
                    </w:rPr>
                  </w:pPr>
                  <w:r>
                    <w:rPr>
                      <w:rFonts w:hint="eastAsia"/>
                      <w:color w:val="auto"/>
                      <w:szCs w:val="21"/>
                    </w:rPr>
                    <w:t>70</w:t>
                  </w:r>
                </w:p>
              </w:tc>
              <w:tc>
                <w:tcPr>
                  <w:tcW w:w="1637" w:type="dxa"/>
                  <w:vAlign w:val="center"/>
                </w:tcPr>
                <w:p>
                  <w:pPr>
                    <w:spacing w:line="340" w:lineRule="atLeast"/>
                    <w:jc w:val="center"/>
                    <w:rPr>
                      <w:color w:val="auto"/>
                      <w:szCs w:val="21"/>
                    </w:rPr>
                  </w:pPr>
                  <w:r>
                    <w:rPr>
                      <w:rFonts w:hint="eastAsia"/>
                      <w:color w:val="auto"/>
                      <w:szCs w:val="21"/>
                    </w:rPr>
                    <w:t>55</w:t>
                  </w:r>
                </w:p>
              </w:tc>
            </w:tr>
          </w:tbl>
          <w:p>
            <w:pPr>
              <w:pStyle w:val="4"/>
              <w:spacing w:before="140" w:after="60" w:line="360" w:lineRule="auto"/>
              <w:ind w:left="0" w:firstLine="0"/>
              <w:rPr>
                <w:rFonts w:ascii="Times New Roman" w:hAnsi="Times New Roman" w:eastAsia="宋体" w:cs="Times New Roman"/>
                <w:color w:val="auto"/>
                <w:lang w:val="en-US"/>
              </w:rPr>
            </w:pPr>
            <w:bookmarkStart w:id="6" w:name="_Toc18602"/>
            <w:bookmarkStart w:id="7" w:name="_Toc19948"/>
            <w:bookmarkStart w:id="8" w:name="_Toc31323"/>
            <w:bookmarkStart w:id="9" w:name="_Toc16264"/>
            <w:bookmarkStart w:id="10" w:name="_Toc20309"/>
            <w:bookmarkStart w:id="11" w:name="_Toc24158"/>
            <w:bookmarkStart w:id="12" w:name="_Toc18871"/>
            <w:bookmarkStart w:id="13" w:name="_Toc15706"/>
            <w:r>
              <w:rPr>
                <w:rFonts w:ascii="Times New Roman" w:hAnsi="Times New Roman" w:eastAsia="宋体" w:cs="Times New Roman"/>
                <w:color w:val="auto"/>
                <w:lang w:val="en-US"/>
              </w:rPr>
              <w:t>3.</w:t>
            </w:r>
            <w:r>
              <w:rPr>
                <w:rFonts w:hint="eastAsia" w:ascii="Times New Roman" w:hAnsi="Times New Roman" w:eastAsia="宋体" w:cs="Times New Roman"/>
                <w:color w:val="auto"/>
                <w:lang w:val="en-US"/>
              </w:rPr>
              <w:t>3</w:t>
            </w:r>
            <w:r>
              <w:rPr>
                <w:rFonts w:ascii="Times New Roman" w:hAnsi="Times New Roman" w:eastAsia="宋体" w:cs="Times New Roman"/>
                <w:color w:val="auto"/>
                <w:lang w:val="en-US"/>
              </w:rPr>
              <w:t>.</w:t>
            </w:r>
            <w:r>
              <w:rPr>
                <w:rFonts w:hint="eastAsia" w:ascii="Times New Roman" w:hAnsi="Times New Roman" w:eastAsia="宋体" w:cs="Times New Roman"/>
                <w:color w:val="auto"/>
                <w:lang w:val="en-US"/>
              </w:rPr>
              <w:t>2声环境质量现状</w:t>
            </w:r>
          </w:p>
          <w:p>
            <w:pPr>
              <w:pStyle w:val="103"/>
              <w:spacing w:after="0"/>
              <w:ind w:left="0" w:leftChars="0" w:firstLine="480"/>
              <w:rPr>
                <w:color w:val="auto"/>
              </w:rPr>
            </w:pPr>
            <w:r>
              <w:rPr>
                <w:color w:val="auto"/>
              </w:rPr>
              <w:t>根据现场勘察，项目</w:t>
            </w:r>
            <w:r>
              <w:rPr>
                <w:rFonts w:hint="eastAsia"/>
                <w:color w:val="auto"/>
              </w:rPr>
              <w:t>周边基本</w:t>
            </w:r>
            <w:r>
              <w:rPr>
                <w:color w:val="auto"/>
              </w:rPr>
              <w:t>为工业企业，项目</w:t>
            </w:r>
            <w:r>
              <w:rPr>
                <w:rFonts w:hint="eastAsia"/>
                <w:color w:val="auto"/>
              </w:rPr>
              <w:t>厂界外</w:t>
            </w:r>
            <w:r>
              <w:rPr>
                <w:color w:val="auto"/>
              </w:rPr>
              <w:t>50m</w:t>
            </w:r>
            <w:r>
              <w:rPr>
                <w:rFonts w:hint="eastAsia"/>
                <w:color w:val="auto"/>
              </w:rPr>
              <w:t>范围</w:t>
            </w:r>
            <w:r>
              <w:rPr>
                <w:color w:val="auto"/>
              </w:rPr>
              <w:t>内不涉及声环境敏感点目标，根据污染影响类项目环评报告表（2021年版）编制技术指南，若项目厂界外周边50米范围内无敏感目标，则不需要进行保护目标声环境质量现状监测，因此项目不对厂界四周的声环境现状进行检测。</w:t>
            </w:r>
          </w:p>
          <w:bookmarkEnd w:id="6"/>
          <w:bookmarkEnd w:id="7"/>
          <w:bookmarkEnd w:id="8"/>
          <w:bookmarkEnd w:id="9"/>
          <w:bookmarkEnd w:id="10"/>
          <w:bookmarkEnd w:id="11"/>
          <w:bookmarkEnd w:id="12"/>
          <w:bookmarkEnd w:id="13"/>
          <w:p>
            <w:pPr>
              <w:adjustRightInd w:val="0"/>
              <w:snapToGrid w:val="0"/>
              <w:spacing w:line="360" w:lineRule="auto"/>
              <w:rPr>
                <w:b/>
                <w:bCs/>
                <w:color w:val="auto"/>
                <w:sz w:val="30"/>
                <w:szCs w:val="30"/>
              </w:rPr>
            </w:pPr>
            <w:bookmarkStart w:id="14" w:name="_Toc23412"/>
            <w:bookmarkStart w:id="15" w:name="_Toc17554"/>
            <w:bookmarkStart w:id="16" w:name="_Toc12846"/>
            <w:r>
              <w:rPr>
                <w:b/>
                <w:bCs/>
                <w:color w:val="auto"/>
                <w:sz w:val="30"/>
                <w:szCs w:val="30"/>
              </w:rPr>
              <w:t>3.</w:t>
            </w:r>
            <w:r>
              <w:rPr>
                <w:rFonts w:hint="eastAsia"/>
                <w:b/>
                <w:bCs/>
                <w:color w:val="auto"/>
                <w:sz w:val="30"/>
                <w:szCs w:val="30"/>
              </w:rPr>
              <w:t>4生态环境现状调查</w:t>
            </w:r>
          </w:p>
          <w:bookmarkEnd w:id="14"/>
          <w:bookmarkEnd w:id="15"/>
          <w:bookmarkEnd w:id="16"/>
          <w:p>
            <w:pPr>
              <w:spacing w:before="120" w:beforeLines="50" w:line="360" w:lineRule="auto"/>
              <w:ind w:firstLine="480" w:firstLineChars="200"/>
              <w:rPr>
                <w:color w:val="auto"/>
                <w:sz w:val="24"/>
              </w:rPr>
            </w:pPr>
            <w:r>
              <w:rPr>
                <w:color w:val="auto"/>
                <w:sz w:val="24"/>
              </w:rPr>
              <w:t>项目</w:t>
            </w:r>
            <w:r>
              <w:rPr>
                <w:rFonts w:hint="eastAsia"/>
                <w:color w:val="auto"/>
                <w:sz w:val="24"/>
              </w:rPr>
              <w:t>位于</w:t>
            </w:r>
            <w:r>
              <w:rPr>
                <w:color w:val="auto"/>
                <w:sz w:val="24"/>
                <w:szCs w:val="21"/>
              </w:rPr>
              <w:t>福建省</w:t>
            </w:r>
            <w:r>
              <w:rPr>
                <w:rFonts w:hint="eastAsia"/>
                <w:color w:val="auto"/>
                <w:sz w:val="24"/>
                <w:szCs w:val="21"/>
              </w:rPr>
              <w:t>福州</w:t>
            </w:r>
            <w:r>
              <w:rPr>
                <w:color w:val="auto"/>
                <w:sz w:val="24"/>
                <w:szCs w:val="21"/>
              </w:rPr>
              <w:t>市</w:t>
            </w:r>
            <w:r>
              <w:rPr>
                <w:rFonts w:hint="eastAsia"/>
                <w:color w:val="auto"/>
                <w:sz w:val="24"/>
                <w:szCs w:val="21"/>
              </w:rPr>
              <w:t>长乐区漳港街道渡桥村</w:t>
            </w:r>
            <w:r>
              <w:rPr>
                <w:color w:val="auto"/>
                <w:sz w:val="24"/>
              </w:rPr>
              <w:t>，租赁福州市长乐区力驰针纺有限公司厂房</w:t>
            </w:r>
            <w:r>
              <w:rPr>
                <w:rFonts w:hint="eastAsia"/>
                <w:color w:val="auto"/>
                <w:sz w:val="24"/>
              </w:rPr>
              <w:t>，</w:t>
            </w:r>
            <w:r>
              <w:rPr>
                <w:color w:val="auto"/>
                <w:sz w:val="24"/>
              </w:rPr>
              <w:t>租赁面积为</w:t>
            </w:r>
            <w:r>
              <w:rPr>
                <w:rFonts w:hint="eastAsia"/>
                <w:color w:val="auto"/>
                <w:sz w:val="24"/>
              </w:rPr>
              <w:t>10000</w:t>
            </w:r>
            <w:r>
              <w:rPr>
                <w:color w:val="auto"/>
                <w:sz w:val="24"/>
              </w:rPr>
              <w:t>m</w:t>
            </w:r>
            <w:r>
              <w:rPr>
                <w:color w:val="auto"/>
                <w:sz w:val="24"/>
                <w:vertAlign w:val="superscript"/>
              </w:rPr>
              <w:t>2</w:t>
            </w:r>
            <w:r>
              <w:rPr>
                <w:color w:val="auto"/>
                <w:sz w:val="24"/>
              </w:rPr>
              <w:t>，项目厂房主体均已建成；根据调查，项目用地周边为城市道路、其他企业及居住用地等，项目评价区域主要植被为草坪、行道树等景观树种，主要动物为常见的鸟类和昆虫类等，评价区域内无珍稀濒危物种、自然保护区、风景名胜区等生态敏感目标，调查区域也未发现国家重点保护的野生动植物等，因此，本环评不对生态环境现状进行评价。</w:t>
            </w:r>
          </w:p>
          <w:p>
            <w:pPr>
              <w:adjustRightInd w:val="0"/>
              <w:snapToGrid w:val="0"/>
              <w:spacing w:line="360" w:lineRule="auto"/>
              <w:rPr>
                <w:b/>
                <w:bCs/>
                <w:color w:val="auto"/>
                <w:sz w:val="30"/>
                <w:szCs w:val="30"/>
              </w:rPr>
            </w:pPr>
            <w:bookmarkStart w:id="17" w:name="_Toc28755"/>
            <w:bookmarkStart w:id="18" w:name="_Toc24928"/>
            <w:bookmarkStart w:id="19" w:name="_Toc157"/>
            <w:r>
              <w:rPr>
                <w:b/>
                <w:bCs/>
                <w:color w:val="auto"/>
                <w:sz w:val="30"/>
                <w:szCs w:val="30"/>
              </w:rPr>
              <w:t>3.</w:t>
            </w:r>
            <w:r>
              <w:rPr>
                <w:rFonts w:hint="eastAsia"/>
                <w:b/>
                <w:bCs/>
                <w:color w:val="auto"/>
                <w:sz w:val="30"/>
                <w:szCs w:val="30"/>
              </w:rPr>
              <w:t>5地下水和土壤环境质量现状</w:t>
            </w:r>
          </w:p>
          <w:bookmarkEnd w:id="17"/>
          <w:bookmarkEnd w:id="18"/>
          <w:bookmarkEnd w:id="19"/>
          <w:p>
            <w:pPr>
              <w:adjustRightInd w:val="0"/>
              <w:snapToGrid w:val="0"/>
              <w:spacing w:line="360" w:lineRule="auto"/>
              <w:ind w:firstLine="480" w:firstLineChars="200"/>
              <w:rPr>
                <w:color w:val="auto"/>
                <w:sz w:val="24"/>
              </w:rPr>
            </w:pPr>
            <w:r>
              <w:rPr>
                <w:color w:val="auto"/>
                <w:sz w:val="24"/>
              </w:rPr>
              <w:t>根据《建设项目环境影响报告表编制技术指南（污染影响类）（试行）》（环办环评〔2020〕33号）规定，“原则上不开展环境质量现状调查。建设项目存在土壤、地下水环境污染途径的，应结合污染源、保护目标分布情况开展现状调查以留作背景值。”</w:t>
            </w:r>
          </w:p>
          <w:p>
            <w:pPr>
              <w:pStyle w:val="171"/>
              <w:ind w:firstLine="480"/>
              <w:rPr>
                <w:color w:val="auto"/>
              </w:rPr>
            </w:pPr>
            <w:r>
              <w:rPr>
                <w:color w:val="auto"/>
              </w:rPr>
              <w:t>项目位于</w:t>
            </w:r>
            <w:r>
              <w:rPr>
                <w:color w:val="auto"/>
                <w:szCs w:val="21"/>
              </w:rPr>
              <w:t>福建省</w:t>
            </w:r>
            <w:r>
              <w:rPr>
                <w:rFonts w:hint="eastAsia"/>
                <w:color w:val="auto"/>
                <w:szCs w:val="21"/>
              </w:rPr>
              <w:t>福州</w:t>
            </w:r>
            <w:r>
              <w:rPr>
                <w:color w:val="auto"/>
                <w:szCs w:val="21"/>
              </w:rPr>
              <w:t>市</w:t>
            </w:r>
            <w:r>
              <w:rPr>
                <w:rFonts w:hint="eastAsia"/>
                <w:color w:val="auto"/>
                <w:szCs w:val="21"/>
              </w:rPr>
              <w:t>长乐区漳港街道渡桥村</w:t>
            </w:r>
            <w:r>
              <w:rPr>
                <w:color w:val="auto"/>
              </w:rPr>
              <w:t>，租赁福州市长乐区力驰针纺有限公司厂房</w:t>
            </w:r>
            <w:r>
              <w:rPr>
                <w:rFonts w:hint="eastAsia"/>
                <w:color w:val="auto"/>
              </w:rPr>
              <w:t>，租赁厂房为已建，且厂房内</w:t>
            </w:r>
            <w:r>
              <w:rPr>
                <w:color w:val="auto"/>
              </w:rPr>
              <w:t>地面</w:t>
            </w:r>
            <w:r>
              <w:rPr>
                <w:rFonts w:hint="eastAsia"/>
                <w:color w:val="auto"/>
              </w:rPr>
              <w:t>已进行</w:t>
            </w:r>
            <w:r>
              <w:rPr>
                <w:color w:val="auto"/>
              </w:rPr>
              <w:t>硬化</w:t>
            </w:r>
            <w:r>
              <w:rPr>
                <w:rFonts w:hint="eastAsia"/>
                <w:color w:val="auto"/>
              </w:rPr>
              <w:t>以及</w:t>
            </w:r>
            <w:r>
              <w:rPr>
                <w:color w:val="auto"/>
              </w:rPr>
              <w:t>防腐防渗处理，项目废水通过管道输送，项目</w:t>
            </w:r>
            <w:r>
              <w:rPr>
                <w:rFonts w:hint="eastAsia"/>
                <w:color w:val="auto"/>
              </w:rPr>
              <w:t>不涉及地面漫流影响及入渗途径影响，</w:t>
            </w:r>
            <w:r>
              <w:rPr>
                <w:color w:val="auto"/>
              </w:rPr>
              <w:t>不存在地下水、土壤污染途径，因此</w:t>
            </w:r>
            <w:r>
              <w:rPr>
                <w:rFonts w:hint="eastAsia"/>
                <w:color w:val="auto"/>
              </w:rPr>
              <w:t>，</w:t>
            </w:r>
            <w:r>
              <w:rPr>
                <w:color w:val="auto"/>
              </w:rPr>
              <w:t>可</w:t>
            </w:r>
            <w:r>
              <w:rPr>
                <w:rFonts w:hint="eastAsia"/>
                <w:color w:val="auto"/>
              </w:rPr>
              <w:t>不进行地下水和土壤环境</w:t>
            </w:r>
            <w:r>
              <w:rPr>
                <w:color w:val="auto"/>
              </w:rPr>
              <w:t>质量现状</w:t>
            </w:r>
            <w:r>
              <w:rPr>
                <w:rFonts w:hint="eastAsia"/>
                <w:color w:val="auto"/>
              </w:rPr>
              <w:t>检测</w:t>
            </w:r>
            <w:r>
              <w:rPr>
                <w:color w:val="auto"/>
              </w:rPr>
              <w:t>调查。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dxa"/>
            <w:vAlign w:val="center"/>
          </w:tcPr>
          <w:p>
            <w:pPr>
              <w:spacing w:line="360" w:lineRule="auto"/>
              <w:jc w:val="center"/>
              <w:rPr>
                <w:b/>
                <w:color w:val="auto"/>
                <w:kern w:val="0"/>
                <w:sz w:val="24"/>
                <w:szCs w:val="21"/>
              </w:rPr>
            </w:pPr>
            <w:r>
              <w:rPr>
                <w:b/>
                <w:color w:val="auto"/>
                <w:kern w:val="0"/>
                <w:sz w:val="24"/>
                <w:szCs w:val="21"/>
              </w:rPr>
              <w:t>环</w:t>
            </w:r>
          </w:p>
          <w:p>
            <w:pPr>
              <w:spacing w:line="360" w:lineRule="auto"/>
              <w:jc w:val="center"/>
              <w:rPr>
                <w:b/>
                <w:color w:val="auto"/>
                <w:kern w:val="0"/>
                <w:sz w:val="24"/>
                <w:szCs w:val="21"/>
              </w:rPr>
            </w:pPr>
            <w:r>
              <w:rPr>
                <w:b/>
                <w:color w:val="auto"/>
                <w:kern w:val="0"/>
                <w:sz w:val="24"/>
                <w:szCs w:val="21"/>
              </w:rPr>
              <w:t>境</w:t>
            </w:r>
          </w:p>
          <w:p>
            <w:pPr>
              <w:spacing w:line="360" w:lineRule="auto"/>
              <w:jc w:val="center"/>
              <w:rPr>
                <w:b/>
                <w:color w:val="auto"/>
                <w:kern w:val="0"/>
                <w:sz w:val="24"/>
                <w:szCs w:val="21"/>
              </w:rPr>
            </w:pPr>
            <w:r>
              <w:rPr>
                <w:b/>
                <w:color w:val="auto"/>
                <w:kern w:val="0"/>
                <w:sz w:val="24"/>
                <w:szCs w:val="21"/>
              </w:rPr>
              <w:t>保</w:t>
            </w:r>
          </w:p>
          <w:p>
            <w:pPr>
              <w:spacing w:line="360" w:lineRule="auto"/>
              <w:jc w:val="center"/>
              <w:rPr>
                <w:b/>
                <w:color w:val="auto"/>
                <w:kern w:val="0"/>
                <w:sz w:val="24"/>
                <w:szCs w:val="21"/>
              </w:rPr>
            </w:pPr>
            <w:r>
              <w:rPr>
                <w:b/>
                <w:color w:val="auto"/>
                <w:kern w:val="0"/>
                <w:sz w:val="24"/>
                <w:szCs w:val="21"/>
              </w:rPr>
              <w:t>护</w:t>
            </w:r>
          </w:p>
          <w:p>
            <w:pPr>
              <w:spacing w:line="360" w:lineRule="auto"/>
              <w:jc w:val="center"/>
              <w:rPr>
                <w:b/>
                <w:color w:val="auto"/>
                <w:kern w:val="0"/>
                <w:sz w:val="24"/>
                <w:szCs w:val="21"/>
              </w:rPr>
            </w:pPr>
            <w:r>
              <w:rPr>
                <w:b/>
                <w:color w:val="auto"/>
                <w:kern w:val="0"/>
                <w:sz w:val="24"/>
                <w:szCs w:val="21"/>
              </w:rPr>
              <w:t>目</w:t>
            </w:r>
          </w:p>
          <w:p>
            <w:pPr>
              <w:spacing w:line="360" w:lineRule="auto"/>
              <w:jc w:val="center"/>
              <w:rPr>
                <w:color w:val="auto"/>
                <w:kern w:val="0"/>
                <w:szCs w:val="21"/>
              </w:rPr>
            </w:pPr>
            <w:r>
              <w:rPr>
                <w:b/>
                <w:color w:val="auto"/>
                <w:kern w:val="0"/>
                <w:sz w:val="24"/>
                <w:szCs w:val="21"/>
              </w:rPr>
              <w:t>标</w:t>
            </w:r>
          </w:p>
        </w:tc>
        <w:tc>
          <w:tcPr>
            <w:tcW w:w="8603" w:type="dxa"/>
          </w:tcPr>
          <w:p>
            <w:pPr>
              <w:pStyle w:val="103"/>
              <w:ind w:left="0" w:leftChars="0" w:firstLine="0" w:firstLineChars="0"/>
              <w:rPr>
                <w:b/>
                <w:bCs/>
                <w:color w:val="auto"/>
                <w:sz w:val="30"/>
                <w:szCs w:val="30"/>
              </w:rPr>
            </w:pPr>
            <w:r>
              <w:rPr>
                <w:rFonts w:hint="eastAsia"/>
                <w:b/>
                <w:bCs/>
                <w:color w:val="auto"/>
                <w:sz w:val="30"/>
                <w:szCs w:val="30"/>
              </w:rPr>
              <w:t>3.6环境保护目标</w:t>
            </w:r>
          </w:p>
          <w:p>
            <w:pPr>
              <w:pStyle w:val="97"/>
              <w:ind w:firstLine="480"/>
              <w:rPr>
                <w:color w:val="auto"/>
              </w:rPr>
            </w:pPr>
            <w:r>
              <w:rPr>
                <w:rFonts w:hint="eastAsia"/>
                <w:color w:val="auto"/>
              </w:rPr>
              <w:t>根据《建设项目环境影响报告表编制技术指南（污染影响类）（试行）》（环办环评〔</w:t>
            </w:r>
            <w:r>
              <w:rPr>
                <w:color w:val="auto"/>
              </w:rPr>
              <w:t>2020</w:t>
            </w:r>
            <w:r>
              <w:rPr>
                <w:rFonts w:hint="eastAsia"/>
                <w:color w:val="auto"/>
              </w:rPr>
              <w:t>〕</w:t>
            </w:r>
            <w:r>
              <w:rPr>
                <w:color w:val="auto"/>
              </w:rPr>
              <w:t>33</w:t>
            </w:r>
            <w:r>
              <w:rPr>
                <w:rFonts w:hint="eastAsia"/>
                <w:color w:val="auto"/>
              </w:rPr>
              <w:t>号）要求以及对项目周边环境的调查，本项目主要环境保护目标一览表见</w:t>
            </w:r>
            <w:r>
              <w:rPr>
                <w:rFonts w:hint="eastAsia"/>
                <w:b/>
                <w:bCs/>
                <w:color w:val="auto"/>
              </w:rPr>
              <w:t>表3.6-1</w:t>
            </w:r>
            <w:r>
              <w:rPr>
                <w:rFonts w:hint="eastAsia"/>
                <w:color w:val="auto"/>
              </w:rPr>
              <w:t>。</w:t>
            </w:r>
          </w:p>
          <w:p>
            <w:pPr>
              <w:pStyle w:val="49"/>
              <w:rPr>
                <w:bCs/>
                <w:color w:val="auto"/>
                <w:kern w:val="2"/>
              </w:rPr>
            </w:pPr>
            <w:r>
              <w:rPr>
                <w:rFonts w:hint="eastAsia"/>
                <w:bCs/>
                <w:color w:val="auto"/>
                <w:kern w:val="2"/>
              </w:rPr>
              <w:t>表3.6-1  项目主要环境保护目标一览表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9"/>
              <w:gridCol w:w="1223"/>
              <w:gridCol w:w="914"/>
              <w:gridCol w:w="1028"/>
              <w:gridCol w:w="1493"/>
              <w:gridCol w:w="249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tcBorders>
                    <w:tl2br w:val="nil"/>
                    <w:tr2bl w:val="nil"/>
                  </w:tcBorders>
                  <w:vAlign w:val="center"/>
                </w:tcPr>
                <w:p>
                  <w:pPr>
                    <w:pStyle w:val="68"/>
                    <w:rPr>
                      <w:color w:val="auto"/>
                      <w:szCs w:val="21"/>
                    </w:rPr>
                  </w:pPr>
                  <w:r>
                    <w:rPr>
                      <w:color w:val="auto"/>
                      <w:szCs w:val="21"/>
                    </w:rPr>
                    <w:t>环境要素</w:t>
                  </w:r>
                </w:p>
              </w:tc>
              <w:tc>
                <w:tcPr>
                  <w:tcW w:w="1223" w:type="dxa"/>
                  <w:tcBorders>
                    <w:tl2br w:val="nil"/>
                    <w:tr2bl w:val="nil"/>
                  </w:tcBorders>
                  <w:vAlign w:val="center"/>
                </w:tcPr>
                <w:p>
                  <w:pPr>
                    <w:pStyle w:val="68"/>
                    <w:rPr>
                      <w:color w:val="auto"/>
                      <w:szCs w:val="21"/>
                    </w:rPr>
                  </w:pPr>
                  <w:r>
                    <w:rPr>
                      <w:color w:val="auto"/>
                      <w:szCs w:val="21"/>
                    </w:rPr>
                    <w:t>保护目标</w:t>
                  </w:r>
                </w:p>
              </w:tc>
              <w:tc>
                <w:tcPr>
                  <w:tcW w:w="914" w:type="dxa"/>
                  <w:tcBorders>
                    <w:tl2br w:val="nil"/>
                    <w:tr2bl w:val="nil"/>
                  </w:tcBorders>
                  <w:vAlign w:val="center"/>
                </w:tcPr>
                <w:p>
                  <w:pPr>
                    <w:pStyle w:val="68"/>
                    <w:rPr>
                      <w:color w:val="auto"/>
                      <w:szCs w:val="21"/>
                    </w:rPr>
                  </w:pPr>
                  <w:r>
                    <w:rPr>
                      <w:color w:val="auto"/>
                      <w:szCs w:val="21"/>
                    </w:rPr>
                    <w:t>方位</w:t>
                  </w:r>
                </w:p>
              </w:tc>
              <w:tc>
                <w:tcPr>
                  <w:tcW w:w="1028" w:type="dxa"/>
                  <w:tcBorders>
                    <w:tl2br w:val="nil"/>
                    <w:tr2bl w:val="nil"/>
                  </w:tcBorders>
                  <w:vAlign w:val="center"/>
                </w:tcPr>
                <w:p>
                  <w:pPr>
                    <w:pStyle w:val="68"/>
                    <w:rPr>
                      <w:color w:val="auto"/>
                      <w:szCs w:val="21"/>
                    </w:rPr>
                  </w:pPr>
                  <w:r>
                    <w:rPr>
                      <w:color w:val="auto"/>
                      <w:szCs w:val="21"/>
                    </w:rPr>
                    <w:t>距离</w:t>
                  </w:r>
                </w:p>
              </w:tc>
              <w:tc>
                <w:tcPr>
                  <w:tcW w:w="1493" w:type="dxa"/>
                  <w:tcBorders>
                    <w:tl2br w:val="nil"/>
                    <w:tr2bl w:val="nil"/>
                  </w:tcBorders>
                  <w:vAlign w:val="center"/>
                </w:tcPr>
                <w:p>
                  <w:pPr>
                    <w:pStyle w:val="68"/>
                    <w:rPr>
                      <w:color w:val="auto"/>
                      <w:szCs w:val="21"/>
                    </w:rPr>
                  </w:pPr>
                  <w:r>
                    <w:rPr>
                      <w:color w:val="auto"/>
                      <w:szCs w:val="21"/>
                    </w:rPr>
                    <w:t>规模</w:t>
                  </w:r>
                </w:p>
              </w:tc>
              <w:tc>
                <w:tcPr>
                  <w:tcW w:w="2497" w:type="dxa"/>
                  <w:tcBorders>
                    <w:tl2br w:val="nil"/>
                    <w:tr2bl w:val="nil"/>
                  </w:tcBorders>
                  <w:vAlign w:val="center"/>
                </w:tcPr>
                <w:p>
                  <w:pPr>
                    <w:pStyle w:val="68"/>
                    <w:rPr>
                      <w:color w:val="auto"/>
                      <w:szCs w:val="21"/>
                    </w:rPr>
                  </w:pPr>
                  <w:r>
                    <w:rPr>
                      <w:color w:val="auto"/>
                      <w:szCs w:val="21"/>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vMerge w:val="restart"/>
                  <w:tcBorders>
                    <w:tl2br w:val="nil"/>
                    <w:tr2bl w:val="nil"/>
                  </w:tcBorders>
                  <w:vAlign w:val="center"/>
                </w:tcPr>
                <w:p>
                  <w:pPr>
                    <w:pStyle w:val="68"/>
                    <w:rPr>
                      <w:color w:val="auto"/>
                      <w:szCs w:val="21"/>
                    </w:rPr>
                  </w:pPr>
                  <w:r>
                    <w:rPr>
                      <w:color w:val="auto"/>
                      <w:szCs w:val="21"/>
                    </w:rPr>
                    <w:t>大气环境</w:t>
                  </w:r>
                </w:p>
              </w:tc>
              <w:tc>
                <w:tcPr>
                  <w:tcW w:w="1223" w:type="dxa"/>
                  <w:tcBorders>
                    <w:tl2br w:val="nil"/>
                    <w:tr2bl w:val="nil"/>
                  </w:tcBorders>
                  <w:vAlign w:val="center"/>
                </w:tcPr>
                <w:p>
                  <w:pPr>
                    <w:pStyle w:val="68"/>
                    <w:rPr>
                      <w:color w:val="auto"/>
                      <w:szCs w:val="21"/>
                    </w:rPr>
                  </w:pPr>
                  <w:r>
                    <w:rPr>
                      <w:rFonts w:hint="eastAsia"/>
                      <w:color w:val="auto"/>
                      <w:szCs w:val="21"/>
                    </w:rPr>
                    <w:t>华刘村</w:t>
                  </w:r>
                </w:p>
              </w:tc>
              <w:tc>
                <w:tcPr>
                  <w:tcW w:w="914" w:type="dxa"/>
                  <w:tcBorders>
                    <w:tl2br w:val="nil"/>
                    <w:tr2bl w:val="nil"/>
                  </w:tcBorders>
                  <w:vAlign w:val="center"/>
                </w:tcPr>
                <w:p>
                  <w:pPr>
                    <w:pStyle w:val="68"/>
                    <w:rPr>
                      <w:color w:val="auto"/>
                      <w:szCs w:val="21"/>
                    </w:rPr>
                  </w:pPr>
                  <w:r>
                    <w:rPr>
                      <w:rFonts w:hint="eastAsia"/>
                      <w:color w:val="auto"/>
                      <w:szCs w:val="21"/>
                    </w:rPr>
                    <w:t>SE</w:t>
                  </w:r>
                </w:p>
              </w:tc>
              <w:tc>
                <w:tcPr>
                  <w:tcW w:w="1028" w:type="dxa"/>
                  <w:tcBorders>
                    <w:tl2br w:val="nil"/>
                    <w:tr2bl w:val="nil"/>
                  </w:tcBorders>
                  <w:vAlign w:val="center"/>
                </w:tcPr>
                <w:p>
                  <w:pPr>
                    <w:pStyle w:val="68"/>
                    <w:rPr>
                      <w:color w:val="auto"/>
                      <w:szCs w:val="21"/>
                    </w:rPr>
                  </w:pPr>
                  <w:r>
                    <w:rPr>
                      <w:rFonts w:hint="eastAsia"/>
                      <w:color w:val="auto"/>
                      <w:szCs w:val="21"/>
                    </w:rPr>
                    <w:t>230m</w:t>
                  </w:r>
                </w:p>
              </w:tc>
              <w:tc>
                <w:tcPr>
                  <w:tcW w:w="1493" w:type="dxa"/>
                  <w:tcBorders>
                    <w:tl2br w:val="nil"/>
                    <w:tr2bl w:val="nil"/>
                  </w:tcBorders>
                  <w:vAlign w:val="center"/>
                </w:tcPr>
                <w:p>
                  <w:pPr>
                    <w:pStyle w:val="68"/>
                    <w:rPr>
                      <w:color w:val="auto"/>
                      <w:szCs w:val="21"/>
                    </w:rPr>
                  </w:pPr>
                  <w:r>
                    <w:rPr>
                      <w:rFonts w:hint="eastAsia"/>
                      <w:color w:val="auto"/>
                      <w:szCs w:val="21"/>
                    </w:rPr>
                    <w:t>约4200人</w:t>
                  </w:r>
                </w:p>
              </w:tc>
              <w:tc>
                <w:tcPr>
                  <w:tcW w:w="2497" w:type="dxa"/>
                  <w:vMerge w:val="restart"/>
                  <w:tcBorders>
                    <w:tl2br w:val="nil"/>
                    <w:tr2bl w:val="nil"/>
                  </w:tcBorders>
                  <w:vAlign w:val="center"/>
                </w:tcPr>
                <w:p>
                  <w:pPr>
                    <w:pStyle w:val="68"/>
                    <w:rPr>
                      <w:color w:val="auto"/>
                      <w:szCs w:val="21"/>
                    </w:rPr>
                  </w:pPr>
                  <w:r>
                    <w:rPr>
                      <w:color w:val="auto"/>
                      <w:szCs w:val="21"/>
                    </w:rPr>
                    <w:t>《环境空气质量标准》（GB3095-2012）</w:t>
                  </w:r>
                  <w:r>
                    <w:rPr>
                      <w:rFonts w:hint="eastAsia"/>
                      <w:color w:val="auto"/>
                      <w:szCs w:val="21"/>
                    </w:rPr>
                    <w:t>及其修改单</w:t>
                  </w:r>
                  <w:r>
                    <w:rPr>
                      <w:color w:val="auto"/>
                      <w:szCs w:val="21"/>
                    </w:rPr>
                    <w:t>中的二级标准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vMerge w:val="continue"/>
                  <w:tcBorders>
                    <w:tl2br w:val="nil"/>
                    <w:tr2bl w:val="nil"/>
                  </w:tcBorders>
                  <w:vAlign w:val="center"/>
                </w:tcPr>
                <w:p>
                  <w:pPr>
                    <w:pStyle w:val="68"/>
                    <w:rPr>
                      <w:color w:val="auto"/>
                      <w:szCs w:val="21"/>
                    </w:rPr>
                  </w:pPr>
                </w:p>
              </w:tc>
              <w:tc>
                <w:tcPr>
                  <w:tcW w:w="1223" w:type="dxa"/>
                  <w:tcBorders>
                    <w:tl2br w:val="nil"/>
                    <w:tr2bl w:val="nil"/>
                  </w:tcBorders>
                  <w:vAlign w:val="center"/>
                </w:tcPr>
                <w:p>
                  <w:pPr>
                    <w:pStyle w:val="68"/>
                    <w:rPr>
                      <w:color w:val="auto"/>
                      <w:szCs w:val="21"/>
                    </w:rPr>
                  </w:pPr>
                  <w:r>
                    <w:rPr>
                      <w:rFonts w:hint="eastAsia"/>
                      <w:color w:val="auto"/>
                      <w:szCs w:val="21"/>
                    </w:rPr>
                    <w:t>渡桥村</w:t>
                  </w:r>
                </w:p>
              </w:tc>
              <w:tc>
                <w:tcPr>
                  <w:tcW w:w="914" w:type="dxa"/>
                  <w:tcBorders>
                    <w:tl2br w:val="nil"/>
                    <w:tr2bl w:val="nil"/>
                  </w:tcBorders>
                  <w:vAlign w:val="center"/>
                </w:tcPr>
                <w:p>
                  <w:pPr>
                    <w:pStyle w:val="68"/>
                    <w:rPr>
                      <w:color w:val="auto"/>
                      <w:szCs w:val="21"/>
                    </w:rPr>
                  </w:pPr>
                  <w:r>
                    <w:rPr>
                      <w:rFonts w:hint="eastAsia"/>
                      <w:color w:val="auto"/>
                      <w:szCs w:val="21"/>
                    </w:rPr>
                    <w:t>NW</w:t>
                  </w:r>
                </w:p>
              </w:tc>
              <w:tc>
                <w:tcPr>
                  <w:tcW w:w="1028" w:type="dxa"/>
                  <w:tcBorders>
                    <w:tl2br w:val="nil"/>
                    <w:tr2bl w:val="nil"/>
                  </w:tcBorders>
                  <w:vAlign w:val="center"/>
                </w:tcPr>
                <w:p>
                  <w:pPr>
                    <w:pStyle w:val="68"/>
                    <w:rPr>
                      <w:color w:val="auto"/>
                      <w:szCs w:val="21"/>
                    </w:rPr>
                  </w:pPr>
                  <w:r>
                    <w:rPr>
                      <w:rFonts w:hint="eastAsia"/>
                      <w:color w:val="auto"/>
                      <w:szCs w:val="21"/>
                    </w:rPr>
                    <w:t>235m</w:t>
                  </w:r>
                </w:p>
              </w:tc>
              <w:tc>
                <w:tcPr>
                  <w:tcW w:w="1493" w:type="dxa"/>
                  <w:tcBorders>
                    <w:tl2br w:val="nil"/>
                    <w:tr2bl w:val="nil"/>
                  </w:tcBorders>
                  <w:vAlign w:val="center"/>
                </w:tcPr>
                <w:p>
                  <w:pPr>
                    <w:pStyle w:val="68"/>
                    <w:rPr>
                      <w:color w:val="auto"/>
                      <w:szCs w:val="21"/>
                    </w:rPr>
                  </w:pPr>
                  <w:r>
                    <w:rPr>
                      <w:rFonts w:hint="eastAsia"/>
                      <w:color w:val="auto"/>
                      <w:szCs w:val="21"/>
                    </w:rPr>
                    <w:t>约2417人</w:t>
                  </w:r>
                </w:p>
              </w:tc>
              <w:tc>
                <w:tcPr>
                  <w:tcW w:w="2497" w:type="dxa"/>
                  <w:vMerge w:val="continue"/>
                  <w:tcBorders>
                    <w:tl2br w:val="nil"/>
                    <w:tr2bl w:val="nil"/>
                  </w:tcBorders>
                  <w:vAlign w:val="center"/>
                </w:tcPr>
                <w:p>
                  <w:pPr>
                    <w:pStyle w:val="68"/>
                    <w:jc w:val="both"/>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vMerge w:val="continue"/>
                  <w:tcBorders>
                    <w:tl2br w:val="nil"/>
                    <w:tr2bl w:val="nil"/>
                  </w:tcBorders>
                  <w:vAlign w:val="center"/>
                </w:tcPr>
                <w:p>
                  <w:pPr>
                    <w:pStyle w:val="68"/>
                    <w:rPr>
                      <w:color w:val="auto"/>
                      <w:szCs w:val="21"/>
                    </w:rPr>
                  </w:pPr>
                </w:p>
              </w:tc>
              <w:tc>
                <w:tcPr>
                  <w:tcW w:w="1223" w:type="dxa"/>
                  <w:tcBorders>
                    <w:tl2br w:val="nil"/>
                    <w:tr2bl w:val="nil"/>
                  </w:tcBorders>
                  <w:vAlign w:val="center"/>
                </w:tcPr>
                <w:p>
                  <w:pPr>
                    <w:pStyle w:val="68"/>
                    <w:rPr>
                      <w:color w:val="auto"/>
                      <w:szCs w:val="21"/>
                    </w:rPr>
                  </w:pPr>
                  <w:r>
                    <w:rPr>
                      <w:rFonts w:hint="eastAsia"/>
                      <w:color w:val="auto"/>
                      <w:szCs w:val="21"/>
                    </w:rPr>
                    <w:t>兰田村</w:t>
                  </w:r>
                </w:p>
              </w:tc>
              <w:tc>
                <w:tcPr>
                  <w:tcW w:w="914" w:type="dxa"/>
                  <w:tcBorders>
                    <w:tl2br w:val="nil"/>
                    <w:tr2bl w:val="nil"/>
                  </w:tcBorders>
                  <w:vAlign w:val="center"/>
                </w:tcPr>
                <w:p>
                  <w:pPr>
                    <w:pStyle w:val="68"/>
                    <w:rPr>
                      <w:color w:val="auto"/>
                      <w:szCs w:val="21"/>
                    </w:rPr>
                  </w:pPr>
                  <w:r>
                    <w:rPr>
                      <w:rFonts w:hint="eastAsia"/>
                      <w:color w:val="auto"/>
                      <w:szCs w:val="21"/>
                    </w:rPr>
                    <w:t>NE</w:t>
                  </w:r>
                </w:p>
              </w:tc>
              <w:tc>
                <w:tcPr>
                  <w:tcW w:w="1028" w:type="dxa"/>
                  <w:tcBorders>
                    <w:tl2br w:val="nil"/>
                    <w:tr2bl w:val="nil"/>
                  </w:tcBorders>
                  <w:vAlign w:val="center"/>
                </w:tcPr>
                <w:p>
                  <w:pPr>
                    <w:pStyle w:val="68"/>
                    <w:rPr>
                      <w:color w:val="auto"/>
                      <w:szCs w:val="21"/>
                    </w:rPr>
                  </w:pPr>
                  <w:r>
                    <w:rPr>
                      <w:rFonts w:hint="eastAsia"/>
                      <w:color w:val="auto"/>
                      <w:szCs w:val="21"/>
                    </w:rPr>
                    <w:t>270m</w:t>
                  </w:r>
                </w:p>
              </w:tc>
              <w:tc>
                <w:tcPr>
                  <w:tcW w:w="1493" w:type="dxa"/>
                  <w:tcBorders>
                    <w:tl2br w:val="nil"/>
                    <w:tr2bl w:val="nil"/>
                  </w:tcBorders>
                  <w:vAlign w:val="center"/>
                </w:tcPr>
                <w:p>
                  <w:pPr>
                    <w:pStyle w:val="68"/>
                    <w:rPr>
                      <w:color w:val="auto"/>
                      <w:szCs w:val="21"/>
                    </w:rPr>
                  </w:pPr>
                  <w:r>
                    <w:rPr>
                      <w:rFonts w:hint="eastAsia"/>
                      <w:color w:val="auto"/>
                      <w:szCs w:val="21"/>
                    </w:rPr>
                    <w:t>约2480人</w:t>
                  </w:r>
                </w:p>
              </w:tc>
              <w:tc>
                <w:tcPr>
                  <w:tcW w:w="2497" w:type="dxa"/>
                  <w:vMerge w:val="continue"/>
                  <w:tcBorders>
                    <w:tl2br w:val="nil"/>
                    <w:tr2bl w:val="nil"/>
                  </w:tcBorders>
                  <w:vAlign w:val="center"/>
                </w:tcPr>
                <w:p>
                  <w:pPr>
                    <w:pStyle w:val="68"/>
                    <w:jc w:val="both"/>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vMerge w:val="continue"/>
                  <w:tcBorders>
                    <w:tl2br w:val="nil"/>
                    <w:tr2bl w:val="nil"/>
                  </w:tcBorders>
                  <w:vAlign w:val="center"/>
                </w:tcPr>
                <w:p>
                  <w:pPr>
                    <w:pStyle w:val="68"/>
                    <w:rPr>
                      <w:color w:val="auto"/>
                      <w:szCs w:val="21"/>
                    </w:rPr>
                  </w:pPr>
                </w:p>
              </w:tc>
              <w:tc>
                <w:tcPr>
                  <w:tcW w:w="1223" w:type="dxa"/>
                  <w:tcBorders>
                    <w:tl2br w:val="nil"/>
                    <w:tr2bl w:val="nil"/>
                  </w:tcBorders>
                  <w:vAlign w:val="center"/>
                </w:tcPr>
                <w:p>
                  <w:pPr>
                    <w:pStyle w:val="68"/>
                    <w:rPr>
                      <w:color w:val="auto"/>
                      <w:szCs w:val="21"/>
                    </w:rPr>
                  </w:pPr>
                  <w:r>
                    <w:rPr>
                      <w:rFonts w:hint="eastAsia"/>
                      <w:color w:val="auto"/>
                      <w:szCs w:val="21"/>
                    </w:rPr>
                    <w:t>华阳村</w:t>
                  </w:r>
                </w:p>
              </w:tc>
              <w:tc>
                <w:tcPr>
                  <w:tcW w:w="914" w:type="dxa"/>
                  <w:tcBorders>
                    <w:tl2br w:val="nil"/>
                    <w:tr2bl w:val="nil"/>
                  </w:tcBorders>
                  <w:vAlign w:val="center"/>
                </w:tcPr>
                <w:p>
                  <w:pPr>
                    <w:pStyle w:val="68"/>
                    <w:rPr>
                      <w:color w:val="auto"/>
                      <w:szCs w:val="21"/>
                    </w:rPr>
                  </w:pPr>
                  <w:r>
                    <w:rPr>
                      <w:rFonts w:hint="eastAsia"/>
                      <w:color w:val="auto"/>
                      <w:szCs w:val="21"/>
                    </w:rPr>
                    <w:t>NE</w:t>
                  </w:r>
                </w:p>
              </w:tc>
              <w:tc>
                <w:tcPr>
                  <w:tcW w:w="1028" w:type="dxa"/>
                  <w:tcBorders>
                    <w:tl2br w:val="nil"/>
                    <w:tr2bl w:val="nil"/>
                  </w:tcBorders>
                  <w:vAlign w:val="center"/>
                </w:tcPr>
                <w:p>
                  <w:pPr>
                    <w:pStyle w:val="68"/>
                    <w:rPr>
                      <w:color w:val="auto"/>
                      <w:szCs w:val="21"/>
                    </w:rPr>
                  </w:pPr>
                  <w:r>
                    <w:rPr>
                      <w:rFonts w:hint="eastAsia"/>
                      <w:color w:val="auto"/>
                      <w:szCs w:val="21"/>
                    </w:rPr>
                    <w:t>270m</w:t>
                  </w:r>
                </w:p>
              </w:tc>
              <w:tc>
                <w:tcPr>
                  <w:tcW w:w="1493" w:type="dxa"/>
                  <w:tcBorders>
                    <w:tl2br w:val="nil"/>
                    <w:tr2bl w:val="nil"/>
                  </w:tcBorders>
                  <w:vAlign w:val="center"/>
                </w:tcPr>
                <w:p>
                  <w:pPr>
                    <w:pStyle w:val="68"/>
                    <w:rPr>
                      <w:color w:val="auto"/>
                      <w:szCs w:val="21"/>
                    </w:rPr>
                  </w:pPr>
                  <w:r>
                    <w:rPr>
                      <w:rFonts w:hint="eastAsia"/>
                      <w:color w:val="auto"/>
                      <w:szCs w:val="21"/>
                    </w:rPr>
                    <w:t>约4800人</w:t>
                  </w:r>
                </w:p>
              </w:tc>
              <w:tc>
                <w:tcPr>
                  <w:tcW w:w="2497" w:type="dxa"/>
                  <w:vMerge w:val="continue"/>
                  <w:tcBorders>
                    <w:tl2br w:val="nil"/>
                    <w:tr2bl w:val="nil"/>
                  </w:tcBorders>
                  <w:vAlign w:val="center"/>
                </w:tcPr>
                <w:p>
                  <w:pPr>
                    <w:pStyle w:val="68"/>
                    <w:jc w:val="both"/>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tcBorders>
                    <w:tl2br w:val="nil"/>
                    <w:tr2bl w:val="nil"/>
                  </w:tcBorders>
                  <w:vAlign w:val="center"/>
                </w:tcPr>
                <w:p>
                  <w:pPr>
                    <w:pStyle w:val="68"/>
                    <w:rPr>
                      <w:color w:val="auto"/>
                      <w:szCs w:val="21"/>
                    </w:rPr>
                  </w:pPr>
                  <w:r>
                    <w:rPr>
                      <w:rFonts w:hint="eastAsia"/>
                      <w:color w:val="auto"/>
                      <w:szCs w:val="21"/>
                    </w:rPr>
                    <w:t>声环境</w:t>
                  </w:r>
                </w:p>
              </w:tc>
              <w:tc>
                <w:tcPr>
                  <w:tcW w:w="7155" w:type="dxa"/>
                  <w:gridSpan w:val="5"/>
                  <w:tcBorders>
                    <w:tl2br w:val="nil"/>
                    <w:tr2bl w:val="nil"/>
                  </w:tcBorders>
                  <w:vAlign w:val="center"/>
                </w:tcPr>
                <w:p>
                  <w:pPr>
                    <w:pStyle w:val="68"/>
                    <w:rPr>
                      <w:color w:val="auto"/>
                      <w:szCs w:val="21"/>
                    </w:rPr>
                  </w:pPr>
                  <w:r>
                    <w:rPr>
                      <w:rFonts w:hint="eastAsia"/>
                      <w:color w:val="auto"/>
                      <w:szCs w:val="21"/>
                    </w:rPr>
                    <w:t>厂界外50米范围内无声环境敏感目标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tcBorders>
                    <w:tl2br w:val="nil"/>
                    <w:tr2bl w:val="nil"/>
                  </w:tcBorders>
                  <w:vAlign w:val="center"/>
                </w:tcPr>
                <w:p>
                  <w:pPr>
                    <w:pStyle w:val="68"/>
                    <w:rPr>
                      <w:color w:val="auto"/>
                      <w:szCs w:val="21"/>
                    </w:rPr>
                  </w:pPr>
                  <w:r>
                    <w:rPr>
                      <w:rFonts w:hint="eastAsia"/>
                      <w:color w:val="auto"/>
                      <w:szCs w:val="21"/>
                    </w:rPr>
                    <w:t>水环境</w:t>
                  </w:r>
                </w:p>
              </w:tc>
              <w:tc>
                <w:tcPr>
                  <w:tcW w:w="1223" w:type="dxa"/>
                  <w:tcBorders>
                    <w:tl2br w:val="nil"/>
                    <w:tr2bl w:val="nil"/>
                  </w:tcBorders>
                  <w:vAlign w:val="center"/>
                </w:tcPr>
                <w:p>
                  <w:pPr>
                    <w:pStyle w:val="68"/>
                    <w:rPr>
                      <w:color w:val="auto"/>
                      <w:szCs w:val="21"/>
                    </w:rPr>
                  </w:pPr>
                  <w:r>
                    <w:rPr>
                      <w:rFonts w:hint="eastAsia"/>
                      <w:color w:val="auto"/>
                      <w:szCs w:val="21"/>
                    </w:rPr>
                    <w:t>陈塘港</w:t>
                  </w:r>
                </w:p>
              </w:tc>
              <w:tc>
                <w:tcPr>
                  <w:tcW w:w="914" w:type="dxa"/>
                  <w:tcBorders>
                    <w:tl2br w:val="nil"/>
                    <w:tr2bl w:val="nil"/>
                  </w:tcBorders>
                  <w:vAlign w:val="center"/>
                </w:tcPr>
                <w:p>
                  <w:pPr>
                    <w:pStyle w:val="68"/>
                    <w:rPr>
                      <w:color w:val="auto"/>
                      <w:szCs w:val="21"/>
                    </w:rPr>
                  </w:pPr>
                  <w:r>
                    <w:rPr>
                      <w:rFonts w:hint="eastAsia"/>
                      <w:color w:val="auto"/>
                      <w:szCs w:val="21"/>
                    </w:rPr>
                    <w:t>NW</w:t>
                  </w:r>
                </w:p>
              </w:tc>
              <w:tc>
                <w:tcPr>
                  <w:tcW w:w="1028" w:type="dxa"/>
                  <w:tcBorders>
                    <w:tl2br w:val="nil"/>
                    <w:tr2bl w:val="nil"/>
                  </w:tcBorders>
                  <w:vAlign w:val="center"/>
                </w:tcPr>
                <w:p>
                  <w:pPr>
                    <w:pStyle w:val="68"/>
                    <w:rPr>
                      <w:color w:val="auto"/>
                      <w:szCs w:val="21"/>
                    </w:rPr>
                  </w:pPr>
                  <w:r>
                    <w:rPr>
                      <w:rFonts w:hint="eastAsia"/>
                      <w:color w:val="auto"/>
                      <w:szCs w:val="21"/>
                    </w:rPr>
                    <w:t>20m</w:t>
                  </w:r>
                </w:p>
              </w:tc>
              <w:tc>
                <w:tcPr>
                  <w:tcW w:w="1493" w:type="dxa"/>
                  <w:tcBorders>
                    <w:tl2br w:val="nil"/>
                    <w:tr2bl w:val="nil"/>
                  </w:tcBorders>
                  <w:vAlign w:val="center"/>
                </w:tcPr>
                <w:p>
                  <w:pPr>
                    <w:pStyle w:val="68"/>
                    <w:rPr>
                      <w:color w:val="auto"/>
                      <w:szCs w:val="21"/>
                    </w:rPr>
                  </w:pPr>
                  <w:r>
                    <w:rPr>
                      <w:rFonts w:hint="eastAsia"/>
                      <w:color w:val="auto"/>
                      <w:szCs w:val="21"/>
                    </w:rPr>
                    <w:t>陈塘港，小型河流</w:t>
                  </w:r>
                </w:p>
              </w:tc>
              <w:tc>
                <w:tcPr>
                  <w:tcW w:w="2497" w:type="dxa"/>
                  <w:tcBorders>
                    <w:tl2br w:val="nil"/>
                    <w:tr2bl w:val="nil"/>
                  </w:tcBorders>
                  <w:vAlign w:val="center"/>
                </w:tcPr>
                <w:p>
                  <w:pPr>
                    <w:pStyle w:val="68"/>
                    <w:rPr>
                      <w:color w:val="auto"/>
                      <w:szCs w:val="21"/>
                    </w:rPr>
                  </w:pPr>
                  <w:r>
                    <w:rPr>
                      <w:rFonts w:hint="eastAsia"/>
                      <w:color w:val="auto"/>
                      <w:szCs w:val="21"/>
                    </w:rPr>
                    <w:t>《地表水环境质量标准》（GB3838-2002）</w:t>
                  </w:r>
                  <w:r>
                    <w:rPr>
                      <w:rFonts w:hint="eastAsia"/>
                      <w:color w:val="auto"/>
                      <w:szCs w:val="21"/>
                      <w:lang w:bidi="he-IL"/>
                    </w:rPr>
                    <w:t>V类</w:t>
                  </w:r>
                  <w:r>
                    <w:rPr>
                      <w:rFonts w:hint="eastAsia"/>
                      <w:color w:val="auto"/>
                      <w:szCs w:val="21"/>
                    </w:rPr>
                    <w:t>水质标准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tcBorders>
                    <w:tl2br w:val="nil"/>
                    <w:tr2bl w:val="nil"/>
                  </w:tcBorders>
                  <w:vAlign w:val="center"/>
                </w:tcPr>
                <w:p>
                  <w:pPr>
                    <w:pStyle w:val="68"/>
                    <w:rPr>
                      <w:color w:val="auto"/>
                      <w:szCs w:val="21"/>
                    </w:rPr>
                  </w:pPr>
                  <w:r>
                    <w:rPr>
                      <w:color w:val="auto"/>
                      <w:szCs w:val="21"/>
                    </w:rPr>
                    <w:t>地下水</w:t>
                  </w:r>
                </w:p>
                <w:p>
                  <w:pPr>
                    <w:pStyle w:val="68"/>
                    <w:rPr>
                      <w:color w:val="auto"/>
                      <w:szCs w:val="21"/>
                    </w:rPr>
                  </w:pPr>
                  <w:r>
                    <w:rPr>
                      <w:color w:val="auto"/>
                      <w:szCs w:val="21"/>
                    </w:rPr>
                    <w:t>环境</w:t>
                  </w:r>
                </w:p>
              </w:tc>
              <w:tc>
                <w:tcPr>
                  <w:tcW w:w="4658" w:type="dxa"/>
                  <w:gridSpan w:val="4"/>
                  <w:tcBorders>
                    <w:tl2br w:val="nil"/>
                    <w:tr2bl w:val="nil"/>
                  </w:tcBorders>
                  <w:vAlign w:val="center"/>
                </w:tcPr>
                <w:p>
                  <w:pPr>
                    <w:pStyle w:val="68"/>
                    <w:rPr>
                      <w:color w:val="auto"/>
                      <w:szCs w:val="21"/>
                    </w:rPr>
                  </w:pPr>
                  <w:r>
                    <w:rPr>
                      <w:color w:val="auto"/>
                      <w:szCs w:val="21"/>
                    </w:rPr>
                    <w:t>厂界外500米范围内无地下水集中式饮用水水源和热水、矿泉水、泉水等特殊地下水资源</w:t>
                  </w:r>
                </w:p>
              </w:tc>
              <w:tc>
                <w:tcPr>
                  <w:tcW w:w="2497" w:type="dxa"/>
                  <w:tcBorders>
                    <w:tl2br w:val="nil"/>
                    <w:tr2bl w:val="nil"/>
                  </w:tcBorders>
                  <w:vAlign w:val="center"/>
                </w:tcPr>
                <w:p>
                  <w:pPr>
                    <w:pStyle w:val="68"/>
                    <w:rPr>
                      <w:color w:val="auto"/>
                      <w:szCs w:val="21"/>
                    </w:rPr>
                  </w:pP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49" w:type="dxa"/>
                  <w:tcBorders>
                    <w:tl2br w:val="nil"/>
                    <w:tr2bl w:val="nil"/>
                  </w:tcBorders>
                  <w:vAlign w:val="center"/>
                </w:tcPr>
                <w:p>
                  <w:pPr>
                    <w:pStyle w:val="68"/>
                    <w:rPr>
                      <w:color w:val="auto"/>
                      <w:szCs w:val="21"/>
                    </w:rPr>
                  </w:pPr>
                  <w:r>
                    <w:rPr>
                      <w:color w:val="auto"/>
                      <w:szCs w:val="21"/>
                    </w:rPr>
                    <w:t>生态环境</w:t>
                  </w:r>
                </w:p>
              </w:tc>
              <w:tc>
                <w:tcPr>
                  <w:tcW w:w="4658" w:type="dxa"/>
                  <w:gridSpan w:val="4"/>
                  <w:tcBorders>
                    <w:tl2br w:val="nil"/>
                    <w:tr2bl w:val="nil"/>
                  </w:tcBorders>
                  <w:vAlign w:val="center"/>
                </w:tcPr>
                <w:p>
                  <w:pPr>
                    <w:pStyle w:val="68"/>
                    <w:rPr>
                      <w:color w:val="auto"/>
                      <w:szCs w:val="21"/>
                    </w:rPr>
                  </w:pPr>
                  <w:r>
                    <w:rPr>
                      <w:rFonts w:hint="eastAsia"/>
                      <w:color w:val="auto"/>
                      <w:szCs w:val="21"/>
                    </w:rPr>
                    <w:t>项目不新增占地</w:t>
                  </w:r>
                </w:p>
              </w:tc>
              <w:tc>
                <w:tcPr>
                  <w:tcW w:w="2497" w:type="dxa"/>
                  <w:tcBorders>
                    <w:tl2br w:val="nil"/>
                    <w:tr2bl w:val="nil"/>
                  </w:tcBorders>
                  <w:vAlign w:val="center"/>
                </w:tcPr>
                <w:p>
                  <w:pPr>
                    <w:pStyle w:val="68"/>
                    <w:rPr>
                      <w:color w:val="auto"/>
                      <w:szCs w:val="21"/>
                    </w:rPr>
                  </w:pPr>
                  <w:r>
                    <w:rPr>
                      <w:color w:val="auto"/>
                      <w:szCs w:val="21"/>
                    </w:rPr>
                    <w:t>/</w:t>
                  </w:r>
                </w:p>
              </w:tc>
            </w:tr>
          </w:tbl>
          <w:p>
            <w:pPr>
              <w:adjustRightInd w:val="0"/>
              <w:snapToGrid w:val="0"/>
              <w:rPr>
                <w:color w:val="auto"/>
                <w:kern w:val="0"/>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3" w:hRule="atLeast"/>
          <w:jc w:val="center"/>
        </w:trPr>
        <w:tc>
          <w:tcPr>
            <w:tcW w:w="399" w:type="dxa"/>
            <w:tcMar>
              <w:left w:w="28" w:type="dxa"/>
              <w:right w:w="28" w:type="dxa"/>
            </w:tcMar>
            <w:vAlign w:val="center"/>
          </w:tcPr>
          <w:p>
            <w:pPr>
              <w:spacing w:line="360" w:lineRule="auto"/>
              <w:jc w:val="center"/>
              <w:rPr>
                <w:b/>
                <w:color w:val="auto"/>
                <w:kern w:val="0"/>
                <w:sz w:val="24"/>
                <w:szCs w:val="21"/>
              </w:rPr>
            </w:pPr>
            <w:r>
              <w:rPr>
                <w:b/>
                <w:color w:val="auto"/>
                <w:kern w:val="0"/>
                <w:sz w:val="24"/>
                <w:szCs w:val="21"/>
              </w:rPr>
              <w:t>污</w:t>
            </w:r>
          </w:p>
          <w:p>
            <w:pPr>
              <w:spacing w:line="360" w:lineRule="auto"/>
              <w:jc w:val="center"/>
              <w:rPr>
                <w:b/>
                <w:color w:val="auto"/>
                <w:kern w:val="0"/>
                <w:sz w:val="24"/>
                <w:szCs w:val="21"/>
              </w:rPr>
            </w:pPr>
            <w:r>
              <w:rPr>
                <w:b/>
                <w:color w:val="auto"/>
                <w:kern w:val="0"/>
                <w:sz w:val="24"/>
                <w:szCs w:val="21"/>
              </w:rPr>
              <w:t>染</w:t>
            </w:r>
          </w:p>
          <w:p>
            <w:pPr>
              <w:spacing w:line="360" w:lineRule="auto"/>
              <w:jc w:val="center"/>
              <w:rPr>
                <w:b/>
                <w:color w:val="auto"/>
                <w:kern w:val="0"/>
                <w:sz w:val="24"/>
                <w:szCs w:val="21"/>
              </w:rPr>
            </w:pPr>
            <w:r>
              <w:rPr>
                <w:b/>
                <w:color w:val="auto"/>
                <w:kern w:val="0"/>
                <w:sz w:val="24"/>
                <w:szCs w:val="21"/>
              </w:rPr>
              <w:t>物</w:t>
            </w:r>
          </w:p>
          <w:p>
            <w:pPr>
              <w:spacing w:line="360" w:lineRule="auto"/>
              <w:jc w:val="center"/>
              <w:rPr>
                <w:b/>
                <w:color w:val="auto"/>
                <w:kern w:val="0"/>
                <w:sz w:val="24"/>
                <w:szCs w:val="21"/>
              </w:rPr>
            </w:pPr>
            <w:r>
              <w:rPr>
                <w:b/>
                <w:color w:val="auto"/>
                <w:kern w:val="0"/>
                <w:sz w:val="24"/>
                <w:szCs w:val="21"/>
              </w:rPr>
              <w:t>排</w:t>
            </w:r>
          </w:p>
          <w:p>
            <w:pPr>
              <w:spacing w:line="360" w:lineRule="auto"/>
              <w:jc w:val="center"/>
              <w:rPr>
                <w:b/>
                <w:color w:val="auto"/>
                <w:kern w:val="0"/>
                <w:sz w:val="24"/>
                <w:szCs w:val="21"/>
              </w:rPr>
            </w:pPr>
            <w:r>
              <w:rPr>
                <w:b/>
                <w:color w:val="auto"/>
                <w:kern w:val="0"/>
                <w:sz w:val="24"/>
                <w:szCs w:val="21"/>
              </w:rPr>
              <w:t>放</w:t>
            </w:r>
          </w:p>
          <w:p>
            <w:pPr>
              <w:spacing w:line="360" w:lineRule="auto"/>
              <w:jc w:val="center"/>
              <w:rPr>
                <w:b/>
                <w:color w:val="auto"/>
                <w:kern w:val="0"/>
                <w:sz w:val="24"/>
                <w:szCs w:val="21"/>
              </w:rPr>
            </w:pPr>
            <w:r>
              <w:rPr>
                <w:b/>
                <w:color w:val="auto"/>
                <w:kern w:val="0"/>
                <w:sz w:val="24"/>
                <w:szCs w:val="21"/>
              </w:rPr>
              <w:t>控</w:t>
            </w:r>
          </w:p>
          <w:p>
            <w:pPr>
              <w:spacing w:line="360" w:lineRule="auto"/>
              <w:jc w:val="center"/>
              <w:rPr>
                <w:b/>
                <w:color w:val="auto"/>
                <w:kern w:val="0"/>
                <w:sz w:val="24"/>
                <w:szCs w:val="21"/>
              </w:rPr>
            </w:pPr>
            <w:r>
              <w:rPr>
                <w:b/>
                <w:color w:val="auto"/>
                <w:kern w:val="0"/>
                <w:sz w:val="24"/>
                <w:szCs w:val="21"/>
              </w:rPr>
              <w:t>制</w:t>
            </w:r>
          </w:p>
          <w:p>
            <w:pPr>
              <w:spacing w:line="360" w:lineRule="auto"/>
              <w:jc w:val="center"/>
              <w:rPr>
                <w:b/>
                <w:color w:val="auto"/>
                <w:kern w:val="0"/>
                <w:sz w:val="24"/>
                <w:szCs w:val="21"/>
              </w:rPr>
            </w:pPr>
            <w:r>
              <w:rPr>
                <w:b/>
                <w:color w:val="auto"/>
                <w:kern w:val="0"/>
                <w:sz w:val="24"/>
                <w:szCs w:val="21"/>
              </w:rPr>
              <w:t>标</w:t>
            </w:r>
          </w:p>
          <w:p>
            <w:pPr>
              <w:spacing w:line="360" w:lineRule="auto"/>
              <w:jc w:val="center"/>
              <w:rPr>
                <w:color w:val="auto"/>
                <w:kern w:val="0"/>
                <w:szCs w:val="21"/>
              </w:rPr>
            </w:pPr>
            <w:r>
              <w:rPr>
                <w:b/>
                <w:color w:val="auto"/>
                <w:kern w:val="0"/>
                <w:sz w:val="24"/>
                <w:szCs w:val="21"/>
              </w:rPr>
              <w:t>准</w:t>
            </w:r>
          </w:p>
        </w:tc>
        <w:tc>
          <w:tcPr>
            <w:tcW w:w="8603" w:type="dxa"/>
            <w:vAlign w:val="center"/>
          </w:tcPr>
          <w:p>
            <w:pPr>
              <w:pStyle w:val="97"/>
              <w:ind w:firstLine="0" w:firstLineChars="0"/>
              <w:rPr>
                <w:b/>
                <w:bCs/>
                <w:color w:val="auto"/>
                <w:sz w:val="30"/>
                <w:szCs w:val="30"/>
              </w:rPr>
            </w:pPr>
            <w:r>
              <w:rPr>
                <w:rFonts w:hint="eastAsia"/>
                <w:b/>
                <w:bCs/>
                <w:color w:val="auto"/>
                <w:sz w:val="30"/>
                <w:szCs w:val="30"/>
              </w:rPr>
              <w:t>3.7污染物排放标准</w:t>
            </w:r>
          </w:p>
          <w:p>
            <w:pPr>
              <w:pStyle w:val="4"/>
              <w:spacing w:before="140" w:after="60" w:line="360" w:lineRule="auto"/>
              <w:ind w:left="0" w:firstLine="0"/>
              <w:rPr>
                <w:rFonts w:ascii="Times New Roman" w:hAnsi="Times New Roman" w:eastAsia="宋体" w:cs="Times New Roman"/>
                <w:color w:val="auto"/>
                <w:lang w:val="en-US"/>
              </w:rPr>
            </w:pPr>
            <w:r>
              <w:rPr>
                <w:rFonts w:hint="eastAsia" w:ascii="Times New Roman" w:hAnsi="Times New Roman" w:eastAsia="宋体" w:cs="Times New Roman"/>
                <w:color w:val="auto"/>
                <w:lang w:val="en-US"/>
              </w:rPr>
              <w:t>3.7.1水污染物排放标准</w:t>
            </w:r>
          </w:p>
          <w:p>
            <w:pPr>
              <w:pStyle w:val="97"/>
              <w:ind w:firstLine="480"/>
              <w:rPr>
                <w:color w:val="auto"/>
              </w:rPr>
            </w:pPr>
            <w:r>
              <w:rPr>
                <w:rFonts w:hint="eastAsia"/>
                <w:color w:val="auto"/>
              </w:rPr>
              <w:t>项目生活污水经租赁厂房已建化粪池处理后经市政管网纳入长乐区</w:t>
            </w:r>
            <w:r>
              <w:rPr>
                <w:rFonts w:hint="eastAsia"/>
                <w:color w:val="auto"/>
                <w:lang w:val="en-US" w:eastAsia="zh-CN"/>
              </w:rPr>
              <w:t>滨海</w:t>
            </w:r>
            <w:r>
              <w:rPr>
                <w:rFonts w:hint="eastAsia"/>
                <w:color w:val="auto"/>
              </w:rPr>
              <w:t>污水处理厂，水质执行《污水综合排放标准》（GB8978-1996）中三级标准，其中氨氮参照执行《污水排入城镇下水道水质标准》（GB/T31962-2015）B级标准。详见</w:t>
            </w:r>
            <w:r>
              <w:rPr>
                <w:rFonts w:hint="eastAsia"/>
                <w:b/>
                <w:bCs/>
                <w:color w:val="auto"/>
              </w:rPr>
              <w:t>表3.7-1</w:t>
            </w:r>
            <w:r>
              <w:rPr>
                <w:rFonts w:hint="eastAsia"/>
                <w:color w:val="auto"/>
              </w:rPr>
              <w:t>。</w:t>
            </w:r>
          </w:p>
          <w:p>
            <w:pPr>
              <w:pStyle w:val="49"/>
              <w:rPr>
                <w:bCs/>
                <w:color w:val="auto"/>
                <w:kern w:val="2"/>
              </w:rPr>
            </w:pPr>
            <w:r>
              <w:rPr>
                <w:bCs/>
                <w:color w:val="auto"/>
                <w:kern w:val="2"/>
              </w:rPr>
              <w:t>表</w:t>
            </w:r>
            <w:r>
              <w:rPr>
                <w:rFonts w:hint="eastAsia"/>
                <w:bCs/>
                <w:color w:val="auto"/>
                <w:kern w:val="2"/>
              </w:rPr>
              <w:t>3.7-1  项目</w:t>
            </w:r>
            <w:r>
              <w:rPr>
                <w:bCs/>
                <w:color w:val="auto"/>
                <w:kern w:val="2"/>
              </w:rPr>
              <w:t>污水排放</w:t>
            </w:r>
            <w:r>
              <w:rPr>
                <w:rFonts w:hint="eastAsia"/>
                <w:bCs/>
                <w:color w:val="auto"/>
                <w:kern w:val="2"/>
              </w:rPr>
              <w:t>标准限值一览表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45"/>
              <w:gridCol w:w="2588"/>
              <w:gridCol w:w="1724"/>
              <w:gridCol w:w="344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pStyle w:val="154"/>
                    <w:rPr>
                      <w:color w:val="auto"/>
                      <w:szCs w:val="21"/>
                    </w:rPr>
                  </w:pPr>
                  <w:r>
                    <w:rPr>
                      <w:color w:val="auto"/>
                      <w:szCs w:val="21"/>
                    </w:rPr>
                    <w:t>序号</w:t>
                  </w:r>
                </w:p>
              </w:tc>
              <w:tc>
                <w:tcPr>
                  <w:tcW w:w="2588" w:type="dxa"/>
                  <w:tcBorders>
                    <w:tl2br w:val="nil"/>
                    <w:tr2bl w:val="nil"/>
                  </w:tcBorders>
                  <w:vAlign w:val="center"/>
                </w:tcPr>
                <w:p>
                  <w:pPr>
                    <w:pStyle w:val="154"/>
                    <w:rPr>
                      <w:color w:val="auto"/>
                      <w:szCs w:val="21"/>
                    </w:rPr>
                  </w:pPr>
                  <w:r>
                    <w:rPr>
                      <w:color w:val="auto"/>
                      <w:szCs w:val="21"/>
                    </w:rPr>
                    <w:t>污染物名称</w:t>
                  </w:r>
                </w:p>
              </w:tc>
              <w:tc>
                <w:tcPr>
                  <w:tcW w:w="1724" w:type="dxa"/>
                  <w:tcBorders>
                    <w:tl2br w:val="nil"/>
                    <w:tr2bl w:val="nil"/>
                  </w:tcBorders>
                  <w:vAlign w:val="center"/>
                </w:tcPr>
                <w:p>
                  <w:pPr>
                    <w:pStyle w:val="154"/>
                    <w:rPr>
                      <w:color w:val="auto"/>
                      <w:szCs w:val="21"/>
                    </w:rPr>
                  </w:pPr>
                  <w:r>
                    <w:rPr>
                      <w:color w:val="auto"/>
                      <w:szCs w:val="21"/>
                    </w:rPr>
                    <w:t>三级标准</w:t>
                  </w:r>
                </w:p>
              </w:tc>
              <w:tc>
                <w:tcPr>
                  <w:tcW w:w="3447" w:type="dxa"/>
                  <w:tcBorders>
                    <w:tl2br w:val="nil"/>
                    <w:tr2bl w:val="nil"/>
                  </w:tcBorders>
                  <w:vAlign w:val="center"/>
                </w:tcPr>
                <w:p>
                  <w:pPr>
                    <w:pStyle w:val="154"/>
                    <w:rPr>
                      <w:color w:val="auto"/>
                      <w:szCs w:val="21"/>
                    </w:rPr>
                  </w:pPr>
                  <w:r>
                    <w:rPr>
                      <w:color w:val="auto"/>
                      <w:szCs w:val="21"/>
                    </w:rPr>
                    <w:t>执行标准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pStyle w:val="154"/>
                    <w:rPr>
                      <w:color w:val="auto"/>
                      <w:szCs w:val="21"/>
                    </w:rPr>
                  </w:pPr>
                  <w:r>
                    <w:rPr>
                      <w:color w:val="auto"/>
                      <w:szCs w:val="21"/>
                    </w:rPr>
                    <w:t>1</w:t>
                  </w:r>
                </w:p>
              </w:tc>
              <w:tc>
                <w:tcPr>
                  <w:tcW w:w="2588" w:type="dxa"/>
                  <w:tcBorders>
                    <w:tl2br w:val="nil"/>
                    <w:tr2bl w:val="nil"/>
                  </w:tcBorders>
                  <w:vAlign w:val="center"/>
                </w:tcPr>
                <w:p>
                  <w:pPr>
                    <w:pStyle w:val="154"/>
                    <w:rPr>
                      <w:color w:val="auto"/>
                      <w:szCs w:val="21"/>
                    </w:rPr>
                  </w:pPr>
                  <w:r>
                    <w:rPr>
                      <w:color w:val="auto"/>
                      <w:szCs w:val="21"/>
                    </w:rPr>
                    <w:t>pH（无量纲）</w:t>
                  </w:r>
                </w:p>
              </w:tc>
              <w:tc>
                <w:tcPr>
                  <w:tcW w:w="1724" w:type="dxa"/>
                  <w:tcBorders>
                    <w:tl2br w:val="nil"/>
                    <w:tr2bl w:val="nil"/>
                  </w:tcBorders>
                  <w:vAlign w:val="center"/>
                </w:tcPr>
                <w:p>
                  <w:pPr>
                    <w:pStyle w:val="154"/>
                    <w:rPr>
                      <w:color w:val="auto"/>
                      <w:szCs w:val="21"/>
                    </w:rPr>
                  </w:pPr>
                  <w:r>
                    <w:rPr>
                      <w:color w:val="auto"/>
                      <w:szCs w:val="21"/>
                    </w:rPr>
                    <w:t>6～9</w:t>
                  </w:r>
                </w:p>
              </w:tc>
              <w:tc>
                <w:tcPr>
                  <w:tcW w:w="3447" w:type="dxa"/>
                  <w:vMerge w:val="restart"/>
                  <w:tcBorders>
                    <w:tl2br w:val="nil"/>
                    <w:tr2bl w:val="nil"/>
                  </w:tcBorders>
                  <w:vAlign w:val="center"/>
                </w:tcPr>
                <w:p>
                  <w:pPr>
                    <w:pStyle w:val="154"/>
                    <w:rPr>
                      <w:color w:val="auto"/>
                      <w:szCs w:val="21"/>
                    </w:rPr>
                  </w:pPr>
                  <w:r>
                    <w:rPr>
                      <w:color w:val="auto"/>
                      <w:szCs w:val="21"/>
                    </w:rPr>
                    <w:t>《污水综合排放标准》（GB8978-1996）中表4三级标准</w:t>
                  </w:r>
                </w:p>
                <w:p>
                  <w:pPr>
                    <w:pStyle w:val="154"/>
                    <w:rPr>
                      <w:color w:val="auto"/>
                      <w:szCs w:val="21"/>
                    </w:rPr>
                  </w:pPr>
                  <w:r>
                    <w:rPr>
                      <w:color w:val="auto"/>
                      <w:szCs w:val="21"/>
                    </w:rPr>
                    <w:t>（其中NH</w:t>
                  </w:r>
                  <w:r>
                    <w:rPr>
                      <w:color w:val="auto"/>
                      <w:szCs w:val="21"/>
                      <w:vertAlign w:val="subscript"/>
                    </w:rPr>
                    <w:t>3</w:t>
                  </w:r>
                  <w:r>
                    <w:rPr>
                      <w:color w:val="auto"/>
                      <w:szCs w:val="21"/>
                    </w:rPr>
                    <w:t>-N参照执行《污水排入城镇下水道水质标准》（GB/T31962-2015）表1中的B级标准）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pStyle w:val="154"/>
                    <w:rPr>
                      <w:color w:val="auto"/>
                      <w:szCs w:val="21"/>
                    </w:rPr>
                  </w:pPr>
                  <w:r>
                    <w:rPr>
                      <w:color w:val="auto"/>
                      <w:szCs w:val="21"/>
                    </w:rPr>
                    <w:t>2</w:t>
                  </w:r>
                </w:p>
              </w:tc>
              <w:tc>
                <w:tcPr>
                  <w:tcW w:w="2588" w:type="dxa"/>
                  <w:tcBorders>
                    <w:tl2br w:val="nil"/>
                    <w:tr2bl w:val="nil"/>
                  </w:tcBorders>
                  <w:vAlign w:val="center"/>
                </w:tcPr>
                <w:p>
                  <w:pPr>
                    <w:pStyle w:val="154"/>
                    <w:rPr>
                      <w:color w:val="auto"/>
                      <w:szCs w:val="21"/>
                    </w:rPr>
                  </w:pPr>
                  <w:r>
                    <w:rPr>
                      <w:color w:val="auto"/>
                      <w:szCs w:val="21"/>
                    </w:rPr>
                    <w:t>化学需氧量（COD</w:t>
                  </w:r>
                  <w:r>
                    <w:rPr>
                      <w:rFonts w:hint="eastAsia"/>
                      <w:color w:val="auto"/>
                      <w:szCs w:val="21"/>
                    </w:rPr>
                    <w:t>cr</w:t>
                  </w:r>
                  <w:r>
                    <w:rPr>
                      <w:color w:val="auto"/>
                      <w:szCs w:val="21"/>
                    </w:rPr>
                    <w:t>）</w:t>
                  </w:r>
                </w:p>
              </w:tc>
              <w:tc>
                <w:tcPr>
                  <w:tcW w:w="1724" w:type="dxa"/>
                  <w:tcBorders>
                    <w:tl2br w:val="nil"/>
                    <w:tr2bl w:val="nil"/>
                  </w:tcBorders>
                  <w:vAlign w:val="center"/>
                </w:tcPr>
                <w:p>
                  <w:pPr>
                    <w:pStyle w:val="154"/>
                    <w:rPr>
                      <w:color w:val="auto"/>
                      <w:szCs w:val="21"/>
                    </w:rPr>
                  </w:pPr>
                  <w:r>
                    <w:rPr>
                      <w:color w:val="auto"/>
                      <w:szCs w:val="21"/>
                    </w:rPr>
                    <w:t>≤500mg/L</w:t>
                  </w:r>
                </w:p>
              </w:tc>
              <w:tc>
                <w:tcPr>
                  <w:tcW w:w="3447"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pStyle w:val="154"/>
                    <w:rPr>
                      <w:color w:val="auto"/>
                      <w:szCs w:val="21"/>
                    </w:rPr>
                  </w:pPr>
                  <w:r>
                    <w:rPr>
                      <w:color w:val="auto"/>
                      <w:szCs w:val="21"/>
                    </w:rPr>
                    <w:t>3</w:t>
                  </w:r>
                </w:p>
              </w:tc>
              <w:tc>
                <w:tcPr>
                  <w:tcW w:w="2588" w:type="dxa"/>
                  <w:tcBorders>
                    <w:tl2br w:val="nil"/>
                    <w:tr2bl w:val="nil"/>
                  </w:tcBorders>
                  <w:vAlign w:val="center"/>
                </w:tcPr>
                <w:p>
                  <w:pPr>
                    <w:pStyle w:val="154"/>
                    <w:rPr>
                      <w:color w:val="auto"/>
                      <w:szCs w:val="21"/>
                    </w:rPr>
                  </w:pPr>
                  <w:r>
                    <w:rPr>
                      <w:color w:val="auto"/>
                      <w:szCs w:val="21"/>
                    </w:rPr>
                    <w:t>五日生化需氧量（BOD</w:t>
                  </w:r>
                  <w:r>
                    <w:rPr>
                      <w:color w:val="auto"/>
                      <w:szCs w:val="21"/>
                      <w:vertAlign w:val="subscript"/>
                    </w:rPr>
                    <w:t>5</w:t>
                  </w:r>
                  <w:r>
                    <w:rPr>
                      <w:color w:val="auto"/>
                      <w:szCs w:val="21"/>
                    </w:rPr>
                    <w:t>）</w:t>
                  </w:r>
                </w:p>
              </w:tc>
              <w:tc>
                <w:tcPr>
                  <w:tcW w:w="1724" w:type="dxa"/>
                  <w:tcBorders>
                    <w:tl2br w:val="nil"/>
                    <w:tr2bl w:val="nil"/>
                  </w:tcBorders>
                  <w:vAlign w:val="center"/>
                </w:tcPr>
                <w:p>
                  <w:pPr>
                    <w:pStyle w:val="154"/>
                    <w:rPr>
                      <w:color w:val="auto"/>
                      <w:szCs w:val="21"/>
                    </w:rPr>
                  </w:pPr>
                  <w:r>
                    <w:rPr>
                      <w:color w:val="auto"/>
                      <w:szCs w:val="21"/>
                    </w:rPr>
                    <w:t>≤300mg/L</w:t>
                  </w:r>
                </w:p>
              </w:tc>
              <w:tc>
                <w:tcPr>
                  <w:tcW w:w="3447"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pStyle w:val="154"/>
                    <w:rPr>
                      <w:color w:val="auto"/>
                      <w:szCs w:val="21"/>
                    </w:rPr>
                  </w:pPr>
                  <w:r>
                    <w:rPr>
                      <w:color w:val="auto"/>
                      <w:szCs w:val="21"/>
                    </w:rPr>
                    <w:t>4</w:t>
                  </w:r>
                </w:p>
              </w:tc>
              <w:tc>
                <w:tcPr>
                  <w:tcW w:w="2588" w:type="dxa"/>
                  <w:tcBorders>
                    <w:tl2br w:val="nil"/>
                    <w:tr2bl w:val="nil"/>
                  </w:tcBorders>
                  <w:vAlign w:val="center"/>
                </w:tcPr>
                <w:p>
                  <w:pPr>
                    <w:pStyle w:val="154"/>
                    <w:rPr>
                      <w:color w:val="auto"/>
                      <w:szCs w:val="21"/>
                    </w:rPr>
                  </w:pPr>
                  <w:r>
                    <w:rPr>
                      <w:color w:val="auto"/>
                      <w:szCs w:val="21"/>
                    </w:rPr>
                    <w:t>悬浮物（SS）</w:t>
                  </w:r>
                </w:p>
              </w:tc>
              <w:tc>
                <w:tcPr>
                  <w:tcW w:w="1724" w:type="dxa"/>
                  <w:tcBorders>
                    <w:tl2br w:val="nil"/>
                    <w:tr2bl w:val="nil"/>
                  </w:tcBorders>
                  <w:vAlign w:val="center"/>
                </w:tcPr>
                <w:p>
                  <w:pPr>
                    <w:pStyle w:val="154"/>
                    <w:rPr>
                      <w:color w:val="auto"/>
                      <w:szCs w:val="21"/>
                    </w:rPr>
                  </w:pPr>
                  <w:r>
                    <w:rPr>
                      <w:color w:val="auto"/>
                      <w:szCs w:val="21"/>
                    </w:rPr>
                    <w:t>≤400mg/L</w:t>
                  </w:r>
                </w:p>
              </w:tc>
              <w:tc>
                <w:tcPr>
                  <w:tcW w:w="3447"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pStyle w:val="154"/>
                    <w:rPr>
                      <w:color w:val="auto"/>
                      <w:szCs w:val="21"/>
                    </w:rPr>
                  </w:pPr>
                  <w:r>
                    <w:rPr>
                      <w:color w:val="auto"/>
                      <w:szCs w:val="21"/>
                    </w:rPr>
                    <w:t>5</w:t>
                  </w:r>
                </w:p>
              </w:tc>
              <w:tc>
                <w:tcPr>
                  <w:tcW w:w="2588" w:type="dxa"/>
                  <w:tcBorders>
                    <w:tl2br w:val="nil"/>
                    <w:tr2bl w:val="nil"/>
                  </w:tcBorders>
                  <w:vAlign w:val="center"/>
                </w:tcPr>
                <w:p>
                  <w:pPr>
                    <w:pStyle w:val="154"/>
                    <w:rPr>
                      <w:color w:val="auto"/>
                      <w:szCs w:val="21"/>
                    </w:rPr>
                  </w:pPr>
                  <w:r>
                    <w:rPr>
                      <w:color w:val="auto"/>
                      <w:szCs w:val="21"/>
                    </w:rPr>
                    <w:t>氨氮（NH</w:t>
                  </w:r>
                  <w:r>
                    <w:rPr>
                      <w:color w:val="auto"/>
                      <w:szCs w:val="21"/>
                      <w:vertAlign w:val="subscript"/>
                    </w:rPr>
                    <w:t>3</w:t>
                  </w:r>
                  <w:r>
                    <w:rPr>
                      <w:color w:val="auto"/>
                      <w:szCs w:val="21"/>
                    </w:rPr>
                    <w:t>-N）*</w:t>
                  </w:r>
                </w:p>
              </w:tc>
              <w:tc>
                <w:tcPr>
                  <w:tcW w:w="1724" w:type="dxa"/>
                  <w:tcBorders>
                    <w:tl2br w:val="nil"/>
                    <w:tr2bl w:val="nil"/>
                  </w:tcBorders>
                  <w:vAlign w:val="center"/>
                </w:tcPr>
                <w:p>
                  <w:pPr>
                    <w:pStyle w:val="154"/>
                    <w:rPr>
                      <w:color w:val="auto"/>
                      <w:szCs w:val="21"/>
                    </w:rPr>
                  </w:pPr>
                  <w:r>
                    <w:rPr>
                      <w:color w:val="auto"/>
                      <w:szCs w:val="21"/>
                    </w:rPr>
                    <w:t>≤45mg/L</w:t>
                  </w:r>
                </w:p>
              </w:tc>
              <w:tc>
                <w:tcPr>
                  <w:tcW w:w="3447" w:type="dxa"/>
                  <w:vMerge w:val="continue"/>
                  <w:tcBorders>
                    <w:tl2br w:val="nil"/>
                    <w:tr2bl w:val="nil"/>
                  </w:tcBorders>
                  <w:vAlign w:val="center"/>
                </w:tcPr>
                <w:p>
                  <w:pPr>
                    <w:pStyle w:val="154"/>
                    <w:rPr>
                      <w:color w:val="auto"/>
                      <w:szCs w:val="21"/>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745" w:type="dxa"/>
                  <w:tcBorders>
                    <w:tl2br w:val="nil"/>
                    <w:tr2bl w:val="nil"/>
                  </w:tcBorders>
                  <w:vAlign w:val="center"/>
                </w:tcPr>
                <w:p>
                  <w:pPr>
                    <w:pStyle w:val="154"/>
                    <w:rPr>
                      <w:color w:val="auto"/>
                      <w:szCs w:val="21"/>
                    </w:rPr>
                  </w:pPr>
                  <w:r>
                    <w:rPr>
                      <w:rFonts w:hint="eastAsia"/>
                      <w:color w:val="auto"/>
                      <w:szCs w:val="21"/>
                    </w:rPr>
                    <w:t>6</w:t>
                  </w:r>
                </w:p>
              </w:tc>
              <w:tc>
                <w:tcPr>
                  <w:tcW w:w="2588" w:type="dxa"/>
                  <w:tcBorders>
                    <w:tl2br w:val="nil"/>
                    <w:tr2bl w:val="nil"/>
                  </w:tcBorders>
                  <w:vAlign w:val="center"/>
                </w:tcPr>
                <w:p>
                  <w:pPr>
                    <w:pStyle w:val="154"/>
                    <w:rPr>
                      <w:color w:val="auto"/>
                      <w:szCs w:val="21"/>
                    </w:rPr>
                  </w:pPr>
                  <w:r>
                    <w:rPr>
                      <w:color w:val="auto"/>
                      <w:szCs w:val="21"/>
                    </w:rPr>
                    <w:t>动植物油</w:t>
                  </w:r>
                </w:p>
              </w:tc>
              <w:tc>
                <w:tcPr>
                  <w:tcW w:w="1724" w:type="dxa"/>
                  <w:tcBorders>
                    <w:tl2br w:val="nil"/>
                    <w:tr2bl w:val="nil"/>
                  </w:tcBorders>
                  <w:vAlign w:val="center"/>
                </w:tcPr>
                <w:p>
                  <w:pPr>
                    <w:pStyle w:val="154"/>
                    <w:rPr>
                      <w:color w:val="auto"/>
                      <w:szCs w:val="21"/>
                    </w:rPr>
                  </w:pPr>
                  <w:r>
                    <w:rPr>
                      <w:color w:val="auto"/>
                      <w:szCs w:val="21"/>
                    </w:rPr>
                    <w:t>≤100mg/L</w:t>
                  </w:r>
                </w:p>
              </w:tc>
              <w:tc>
                <w:tcPr>
                  <w:tcW w:w="3447" w:type="dxa"/>
                  <w:vMerge w:val="continue"/>
                  <w:tcBorders>
                    <w:tl2br w:val="nil"/>
                    <w:tr2bl w:val="nil"/>
                  </w:tcBorders>
                  <w:vAlign w:val="center"/>
                </w:tcPr>
                <w:p>
                  <w:pPr>
                    <w:pStyle w:val="154"/>
                    <w:rPr>
                      <w:color w:val="auto"/>
                      <w:szCs w:val="21"/>
                    </w:rPr>
                  </w:pPr>
                </w:p>
              </w:tc>
            </w:tr>
          </w:tbl>
          <w:p>
            <w:pPr>
              <w:pStyle w:val="4"/>
              <w:spacing w:before="140" w:after="60" w:line="360" w:lineRule="auto"/>
              <w:ind w:left="0" w:firstLine="0"/>
              <w:rPr>
                <w:rFonts w:ascii="Times New Roman" w:hAnsi="Times New Roman" w:eastAsia="宋体" w:cs="Times New Roman"/>
                <w:color w:val="auto"/>
                <w:lang w:val="en-US"/>
              </w:rPr>
            </w:pPr>
            <w:r>
              <w:rPr>
                <w:rFonts w:hint="eastAsia" w:ascii="Times New Roman" w:hAnsi="Times New Roman" w:eastAsia="宋体" w:cs="Times New Roman"/>
                <w:color w:val="auto"/>
                <w:lang w:val="en-US"/>
              </w:rPr>
              <w:t>3.7.2大气污染物排放标准</w:t>
            </w:r>
          </w:p>
          <w:p>
            <w:pPr>
              <w:pStyle w:val="97"/>
              <w:ind w:firstLine="480"/>
              <w:rPr>
                <w:color w:val="auto"/>
              </w:rPr>
            </w:pPr>
            <w:r>
              <w:rPr>
                <w:rFonts w:hint="eastAsia"/>
                <w:color w:val="auto"/>
              </w:rPr>
              <w:t>项目运营期间废气主要为油墨调配、印刷及烘干、溶剂型粘合剂调配、复合及烘干、熟化过程产生的有机废气，废气污染物主要为非甲烷总烃，有组织非甲烷总烃排放执行福建省地方标准《印刷行业挥发性有机物排放标准》（DB35/1784-2018）表1中标准限值要求，无组织非甲烷总烃排放执行《印刷行业挥发性有机物排放标准》（DB35/1784-2018）</w:t>
            </w:r>
            <w:r>
              <w:rPr>
                <w:rFonts w:hint="eastAsia"/>
                <w:color w:val="auto"/>
                <w:lang w:val="en-US" w:eastAsia="zh-CN"/>
              </w:rPr>
              <w:t>表2、</w:t>
            </w:r>
            <w:r>
              <w:rPr>
                <w:rFonts w:hint="eastAsia"/>
                <w:color w:val="auto"/>
              </w:rPr>
              <w:t>表3中标准限值。</w:t>
            </w:r>
          </w:p>
          <w:p>
            <w:pPr>
              <w:pStyle w:val="97"/>
              <w:ind w:firstLine="480"/>
              <w:rPr>
                <w:color w:val="auto"/>
              </w:rPr>
            </w:pPr>
            <w:r>
              <w:rPr>
                <w:color w:val="auto"/>
              </w:rPr>
              <w:t>根据《福建省生态环境厅关于国家和地方相关大气污染物排放标准执行有关事项的通知》文中要求，在非甲烷总烃无组织排放控制上，增加“厂区内监控点处</w:t>
            </w:r>
            <w:r>
              <w:rPr>
                <w:rFonts w:hint="eastAsia"/>
                <w:color w:val="auto"/>
                <w:lang w:val="en-US" w:eastAsia="zh-CN"/>
              </w:rPr>
              <w:t>任意一次</w:t>
            </w:r>
            <w:r>
              <w:rPr>
                <w:color w:val="auto"/>
              </w:rPr>
              <w:t>NMHC浓度值”的控制要求，排放浓度应符合《挥发性有机物无组织排放控制标准》（GB37822-2019）中表A.1排放限值要求。具体详见</w:t>
            </w:r>
            <w:r>
              <w:rPr>
                <w:rFonts w:hint="default" w:ascii="Times New Roman" w:hAnsi="Times New Roman" w:cs="Times New Roman"/>
                <w:b/>
                <w:bCs/>
                <w:color w:val="auto"/>
              </w:rPr>
              <w:t>表3.7-2~3.7-3</w:t>
            </w:r>
            <w:r>
              <w:rPr>
                <w:rFonts w:hint="default" w:ascii="Times New Roman" w:hAnsi="Times New Roman" w:cs="Times New Roman"/>
                <w:color w:val="auto"/>
              </w:rPr>
              <w:t>。</w:t>
            </w:r>
          </w:p>
          <w:p>
            <w:pPr>
              <w:pStyle w:val="49"/>
              <w:rPr>
                <w:bCs/>
                <w:color w:val="auto"/>
                <w:kern w:val="2"/>
              </w:rPr>
            </w:pPr>
            <w:r>
              <w:rPr>
                <w:bCs/>
                <w:color w:val="auto"/>
                <w:kern w:val="2"/>
              </w:rPr>
              <w:t>表</w:t>
            </w:r>
            <w:r>
              <w:rPr>
                <w:rFonts w:hint="eastAsia"/>
                <w:bCs/>
                <w:color w:val="auto"/>
                <w:kern w:val="2"/>
              </w:rPr>
              <w:t>3.7-2  有组织大气污染物排放限值</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15" w:type="dxa"/>
                <w:left w:w="15" w:type="dxa"/>
                <w:bottom w:w="15" w:type="dxa"/>
                <w:right w:w="15" w:type="dxa"/>
              </w:tblCellMar>
            </w:tblPr>
            <w:tblGrid>
              <w:gridCol w:w="898"/>
              <w:gridCol w:w="1323"/>
              <w:gridCol w:w="913"/>
              <w:gridCol w:w="1214"/>
              <w:gridCol w:w="1200"/>
              <w:gridCol w:w="295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340" w:hRule="atLeast"/>
                <w:jc w:val="center"/>
              </w:trPr>
              <w:tc>
                <w:tcPr>
                  <w:tcW w:w="898" w:type="dxa"/>
                  <w:tcBorders>
                    <w:tl2br w:val="nil"/>
                    <w:tr2bl w:val="nil"/>
                  </w:tcBorders>
                  <w:vAlign w:val="center"/>
                </w:tcPr>
                <w:p>
                  <w:pPr>
                    <w:pStyle w:val="154"/>
                    <w:rPr>
                      <w:color w:val="auto"/>
                      <w:szCs w:val="21"/>
                    </w:rPr>
                  </w:pPr>
                  <w:r>
                    <w:rPr>
                      <w:color w:val="auto"/>
                      <w:szCs w:val="21"/>
                    </w:rPr>
                    <w:t>污染物</w:t>
                  </w:r>
                </w:p>
              </w:tc>
              <w:tc>
                <w:tcPr>
                  <w:tcW w:w="1323" w:type="dxa"/>
                  <w:tcBorders>
                    <w:tl2br w:val="nil"/>
                    <w:tr2bl w:val="nil"/>
                  </w:tcBorders>
                  <w:vAlign w:val="center"/>
                </w:tcPr>
                <w:p>
                  <w:pPr>
                    <w:pStyle w:val="154"/>
                    <w:rPr>
                      <w:color w:val="auto"/>
                      <w:szCs w:val="21"/>
                    </w:rPr>
                  </w:pPr>
                  <w:r>
                    <w:rPr>
                      <w:color w:val="auto"/>
                      <w:szCs w:val="21"/>
                    </w:rPr>
                    <w:t>最高允许排放浓度</w:t>
                  </w:r>
                  <w:r>
                    <w:rPr>
                      <w:rFonts w:hint="eastAsia"/>
                      <w:color w:val="auto"/>
                      <w:szCs w:val="21"/>
                    </w:rPr>
                    <w:t>mg/m</w:t>
                  </w:r>
                  <w:r>
                    <w:rPr>
                      <w:rFonts w:hint="eastAsia"/>
                      <w:color w:val="auto"/>
                      <w:szCs w:val="21"/>
                      <w:vertAlign w:val="superscript"/>
                    </w:rPr>
                    <w:t>3</w:t>
                  </w:r>
                </w:p>
              </w:tc>
              <w:tc>
                <w:tcPr>
                  <w:tcW w:w="913" w:type="dxa"/>
                  <w:tcBorders>
                    <w:tl2br w:val="nil"/>
                    <w:tr2bl w:val="nil"/>
                  </w:tcBorders>
                  <w:vAlign w:val="center"/>
                </w:tcPr>
                <w:p>
                  <w:pPr>
                    <w:pStyle w:val="154"/>
                    <w:rPr>
                      <w:color w:val="auto"/>
                      <w:szCs w:val="21"/>
                    </w:rPr>
                  </w:pPr>
                  <w:r>
                    <w:rPr>
                      <w:color w:val="auto"/>
                      <w:szCs w:val="21"/>
                    </w:rPr>
                    <w:t>排气筒高度</w:t>
                  </w:r>
                  <w:r>
                    <w:rPr>
                      <w:rFonts w:hint="eastAsia"/>
                      <w:color w:val="auto"/>
                      <w:szCs w:val="21"/>
                    </w:rPr>
                    <w:t>m</w:t>
                  </w:r>
                </w:p>
              </w:tc>
              <w:tc>
                <w:tcPr>
                  <w:tcW w:w="1214" w:type="dxa"/>
                  <w:tcBorders>
                    <w:tl2br w:val="nil"/>
                    <w:tr2bl w:val="nil"/>
                  </w:tcBorders>
                  <w:vAlign w:val="center"/>
                </w:tcPr>
                <w:p>
                  <w:pPr>
                    <w:pStyle w:val="154"/>
                    <w:rPr>
                      <w:color w:val="auto"/>
                      <w:szCs w:val="21"/>
                    </w:rPr>
                  </w:pPr>
                  <w:r>
                    <w:rPr>
                      <w:color w:val="auto"/>
                      <w:szCs w:val="21"/>
                    </w:rPr>
                    <w:t>最高允许排放速率</w:t>
                  </w:r>
                  <w:r>
                    <w:rPr>
                      <w:rFonts w:hint="eastAsia"/>
                      <w:color w:val="auto"/>
                      <w:szCs w:val="21"/>
                    </w:rPr>
                    <w:t>kg/h</w:t>
                  </w:r>
                </w:p>
              </w:tc>
              <w:tc>
                <w:tcPr>
                  <w:tcW w:w="1200" w:type="dxa"/>
                  <w:tcBorders>
                    <w:tl2br w:val="nil"/>
                    <w:tr2bl w:val="nil"/>
                  </w:tcBorders>
                  <w:vAlign w:val="center"/>
                </w:tcPr>
                <w:p>
                  <w:pPr>
                    <w:pStyle w:val="154"/>
                    <w:rPr>
                      <w:color w:val="auto"/>
                      <w:szCs w:val="21"/>
                    </w:rPr>
                  </w:pPr>
                  <w:r>
                    <w:rPr>
                      <w:rFonts w:hint="eastAsia"/>
                      <w:color w:val="auto"/>
                      <w:szCs w:val="21"/>
                    </w:rPr>
                    <w:t>污染物排放监控位置</w:t>
                  </w:r>
                </w:p>
              </w:tc>
              <w:tc>
                <w:tcPr>
                  <w:tcW w:w="2956" w:type="dxa"/>
                  <w:tcBorders>
                    <w:tl2br w:val="nil"/>
                    <w:tr2bl w:val="nil"/>
                  </w:tcBorders>
                  <w:vAlign w:val="center"/>
                </w:tcPr>
                <w:p>
                  <w:pPr>
                    <w:pStyle w:val="154"/>
                    <w:rPr>
                      <w:color w:val="auto"/>
                      <w:szCs w:val="21"/>
                    </w:rPr>
                  </w:pPr>
                  <w:r>
                    <w:rPr>
                      <w:rFonts w:hint="eastAsia"/>
                      <w:color w:val="auto"/>
                      <w:szCs w:val="21"/>
                    </w:rPr>
                    <w:t>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340" w:hRule="atLeast"/>
                <w:jc w:val="center"/>
              </w:trPr>
              <w:tc>
                <w:tcPr>
                  <w:tcW w:w="898" w:type="dxa"/>
                  <w:tcBorders>
                    <w:tl2br w:val="nil"/>
                    <w:tr2bl w:val="nil"/>
                  </w:tcBorders>
                  <w:vAlign w:val="center"/>
                </w:tcPr>
                <w:p>
                  <w:pPr>
                    <w:pStyle w:val="154"/>
                    <w:rPr>
                      <w:color w:val="auto"/>
                      <w:szCs w:val="21"/>
                    </w:rPr>
                  </w:pPr>
                  <w:r>
                    <w:rPr>
                      <w:color w:val="auto"/>
                      <w:szCs w:val="21"/>
                    </w:rPr>
                    <w:t>非甲烷</w:t>
                  </w:r>
                </w:p>
                <w:p>
                  <w:pPr>
                    <w:pStyle w:val="154"/>
                    <w:rPr>
                      <w:color w:val="auto"/>
                      <w:szCs w:val="21"/>
                    </w:rPr>
                  </w:pPr>
                  <w:r>
                    <w:rPr>
                      <w:color w:val="auto"/>
                      <w:szCs w:val="21"/>
                    </w:rPr>
                    <w:t>总烃</w:t>
                  </w:r>
                </w:p>
              </w:tc>
              <w:tc>
                <w:tcPr>
                  <w:tcW w:w="1323" w:type="dxa"/>
                  <w:tcBorders>
                    <w:tl2br w:val="nil"/>
                    <w:tr2bl w:val="nil"/>
                  </w:tcBorders>
                  <w:vAlign w:val="center"/>
                </w:tcPr>
                <w:p>
                  <w:pPr>
                    <w:pStyle w:val="154"/>
                    <w:rPr>
                      <w:color w:val="auto"/>
                      <w:szCs w:val="21"/>
                    </w:rPr>
                  </w:pPr>
                  <w:r>
                    <w:rPr>
                      <w:rFonts w:hint="eastAsia"/>
                      <w:color w:val="auto"/>
                      <w:szCs w:val="21"/>
                    </w:rPr>
                    <w:t>50</w:t>
                  </w:r>
                </w:p>
              </w:tc>
              <w:tc>
                <w:tcPr>
                  <w:tcW w:w="913" w:type="dxa"/>
                  <w:tcBorders>
                    <w:tl2br w:val="nil"/>
                    <w:tr2bl w:val="nil"/>
                  </w:tcBorders>
                  <w:vAlign w:val="center"/>
                </w:tcPr>
                <w:p>
                  <w:pPr>
                    <w:pStyle w:val="154"/>
                    <w:rPr>
                      <w:color w:val="auto"/>
                      <w:szCs w:val="21"/>
                    </w:rPr>
                  </w:pPr>
                  <w:r>
                    <w:rPr>
                      <w:rFonts w:hint="eastAsia"/>
                      <w:color w:val="auto"/>
                      <w:szCs w:val="21"/>
                    </w:rPr>
                    <w:t>23</w:t>
                  </w:r>
                </w:p>
              </w:tc>
              <w:tc>
                <w:tcPr>
                  <w:tcW w:w="1214" w:type="dxa"/>
                  <w:tcBorders>
                    <w:tl2br w:val="nil"/>
                    <w:tr2bl w:val="nil"/>
                  </w:tcBorders>
                  <w:vAlign w:val="center"/>
                </w:tcPr>
                <w:p>
                  <w:pPr>
                    <w:pStyle w:val="154"/>
                    <w:rPr>
                      <w:color w:val="auto"/>
                      <w:szCs w:val="21"/>
                    </w:rPr>
                  </w:pPr>
                  <w:r>
                    <w:rPr>
                      <w:rFonts w:hint="eastAsia"/>
                      <w:color w:val="auto"/>
                      <w:szCs w:val="21"/>
                    </w:rPr>
                    <w:t>1.5</w:t>
                  </w:r>
                  <w:r>
                    <w:rPr>
                      <w:rFonts w:hint="eastAsia"/>
                      <w:color w:val="auto"/>
                      <w:szCs w:val="21"/>
                      <w:vertAlign w:val="superscript"/>
                    </w:rPr>
                    <w:t>a</w:t>
                  </w:r>
                </w:p>
              </w:tc>
              <w:tc>
                <w:tcPr>
                  <w:tcW w:w="1200" w:type="dxa"/>
                  <w:tcBorders>
                    <w:tl2br w:val="nil"/>
                    <w:tr2bl w:val="nil"/>
                  </w:tcBorders>
                  <w:vAlign w:val="center"/>
                </w:tcPr>
                <w:p>
                  <w:pPr>
                    <w:pStyle w:val="154"/>
                    <w:rPr>
                      <w:color w:val="auto"/>
                      <w:szCs w:val="21"/>
                    </w:rPr>
                  </w:pPr>
                  <w:r>
                    <w:rPr>
                      <w:rFonts w:hint="eastAsia"/>
                      <w:color w:val="auto"/>
                      <w:szCs w:val="21"/>
                    </w:rPr>
                    <w:t>车间或生产设施的排气筒</w:t>
                  </w:r>
                </w:p>
              </w:tc>
              <w:tc>
                <w:tcPr>
                  <w:tcW w:w="2956" w:type="dxa"/>
                  <w:tcBorders>
                    <w:tl2br w:val="nil"/>
                    <w:tr2bl w:val="nil"/>
                  </w:tcBorders>
                  <w:vAlign w:val="center"/>
                </w:tcPr>
                <w:p>
                  <w:pPr>
                    <w:pStyle w:val="154"/>
                    <w:rPr>
                      <w:color w:val="auto"/>
                      <w:szCs w:val="21"/>
                    </w:rPr>
                  </w:pPr>
                  <w:r>
                    <w:rPr>
                      <w:rFonts w:hint="eastAsia"/>
                      <w:color w:val="auto"/>
                      <w:szCs w:val="21"/>
                    </w:rPr>
                    <w:t>《印刷行业挥发性有机物排放标准》（DB35/1784-2018）表1中标准限值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15" w:type="dxa"/>
                  <w:left w:w="15" w:type="dxa"/>
                  <w:bottom w:w="15" w:type="dxa"/>
                  <w:right w:w="15" w:type="dxa"/>
                </w:tblCellMar>
              </w:tblPrEx>
              <w:trPr>
                <w:trHeight w:val="340" w:hRule="atLeast"/>
                <w:jc w:val="center"/>
              </w:trPr>
              <w:tc>
                <w:tcPr>
                  <w:tcW w:w="8504" w:type="dxa"/>
                  <w:gridSpan w:val="6"/>
                  <w:tcBorders>
                    <w:tl2br w:val="nil"/>
                    <w:tr2bl w:val="nil"/>
                  </w:tcBorders>
                  <w:vAlign w:val="center"/>
                </w:tcPr>
                <w:p>
                  <w:pPr>
                    <w:pStyle w:val="154"/>
                    <w:jc w:val="both"/>
                    <w:rPr>
                      <w:color w:val="auto"/>
                      <w:szCs w:val="21"/>
                    </w:rPr>
                  </w:pPr>
                  <w:r>
                    <w:rPr>
                      <w:rFonts w:hint="eastAsia"/>
                      <w:color w:val="auto"/>
                      <w:szCs w:val="21"/>
                    </w:rPr>
                    <w:t>备注a：当非甲烷总烃去除率≥90%时，等同于满足最高允许排放速率限值要求</w:t>
                  </w:r>
                </w:p>
              </w:tc>
            </w:tr>
          </w:tbl>
          <w:p>
            <w:pPr>
              <w:pStyle w:val="49"/>
              <w:ind w:firstLine="480"/>
              <w:rPr>
                <w:bCs/>
                <w:color w:val="auto"/>
                <w:kern w:val="2"/>
              </w:rPr>
            </w:pPr>
            <w:r>
              <w:rPr>
                <w:bCs/>
                <w:color w:val="auto"/>
                <w:kern w:val="2"/>
              </w:rPr>
              <w:t>表</w:t>
            </w:r>
            <w:r>
              <w:rPr>
                <w:rFonts w:hint="eastAsia"/>
                <w:bCs/>
                <w:color w:val="auto"/>
                <w:kern w:val="2"/>
              </w:rPr>
              <w:t>3.7-3无组织大气污染物排放限值</w:t>
            </w:r>
          </w:p>
          <w:tbl>
            <w:tblPr>
              <w:tblStyle w:val="179"/>
              <w:tblW w:w="8504"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351"/>
              <w:gridCol w:w="1227"/>
              <w:gridCol w:w="1059"/>
              <w:gridCol w:w="931"/>
              <w:gridCol w:w="1602"/>
              <w:gridCol w:w="936"/>
              <w:gridCol w:w="2398"/>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351" w:type="dxa"/>
                  <w:vMerge w:val="restart"/>
                  <w:tcBorders>
                    <w:tl2br w:val="nil"/>
                    <w:tr2bl w:val="nil"/>
                  </w:tcBorders>
                  <w:textDirection w:val="tbRlV"/>
                  <w:vAlign w:val="center"/>
                </w:tcPr>
                <w:p>
                  <w:pPr>
                    <w:pStyle w:val="154"/>
                    <w:rPr>
                      <w:color w:val="auto"/>
                      <w:szCs w:val="21"/>
                    </w:rPr>
                  </w:pPr>
                  <w:r>
                    <w:rPr>
                      <w:color w:val="auto"/>
                      <w:szCs w:val="21"/>
                    </w:rPr>
                    <w:t>序号</w:t>
                  </w:r>
                </w:p>
              </w:tc>
              <w:tc>
                <w:tcPr>
                  <w:tcW w:w="1227" w:type="dxa"/>
                  <w:vMerge w:val="restart"/>
                  <w:tcBorders>
                    <w:tl2br w:val="nil"/>
                    <w:tr2bl w:val="nil"/>
                  </w:tcBorders>
                  <w:vAlign w:val="center"/>
                </w:tcPr>
                <w:p>
                  <w:pPr>
                    <w:pStyle w:val="154"/>
                    <w:rPr>
                      <w:color w:val="auto"/>
                      <w:szCs w:val="21"/>
                    </w:rPr>
                  </w:pPr>
                  <w:r>
                    <w:rPr>
                      <w:color w:val="auto"/>
                      <w:szCs w:val="21"/>
                    </w:rPr>
                    <w:t>适用行业</w:t>
                  </w:r>
                </w:p>
                <w:p>
                  <w:pPr>
                    <w:pStyle w:val="154"/>
                    <w:rPr>
                      <w:color w:val="auto"/>
                      <w:szCs w:val="21"/>
                    </w:rPr>
                  </w:pPr>
                  <w:r>
                    <w:rPr>
                      <w:color w:val="auto"/>
                      <w:szCs w:val="21"/>
                    </w:rPr>
                    <w:t>范围</w:t>
                  </w:r>
                </w:p>
              </w:tc>
              <w:tc>
                <w:tcPr>
                  <w:tcW w:w="1059" w:type="dxa"/>
                  <w:vMerge w:val="restart"/>
                  <w:tcBorders>
                    <w:tl2br w:val="nil"/>
                    <w:tr2bl w:val="nil"/>
                  </w:tcBorders>
                  <w:vAlign w:val="center"/>
                </w:tcPr>
                <w:p>
                  <w:pPr>
                    <w:pStyle w:val="154"/>
                    <w:rPr>
                      <w:color w:val="auto"/>
                      <w:szCs w:val="21"/>
                    </w:rPr>
                  </w:pPr>
                  <w:r>
                    <w:rPr>
                      <w:color w:val="auto"/>
                      <w:szCs w:val="21"/>
                    </w:rPr>
                    <w:t>污染物</w:t>
                  </w:r>
                </w:p>
                <w:p>
                  <w:pPr>
                    <w:pStyle w:val="154"/>
                    <w:rPr>
                      <w:color w:val="auto"/>
                      <w:szCs w:val="21"/>
                    </w:rPr>
                  </w:pPr>
                  <w:r>
                    <w:rPr>
                      <w:color w:val="auto"/>
                      <w:szCs w:val="21"/>
                    </w:rPr>
                    <w:t>项目</w:t>
                  </w:r>
                </w:p>
              </w:tc>
              <w:tc>
                <w:tcPr>
                  <w:tcW w:w="2533" w:type="dxa"/>
                  <w:gridSpan w:val="2"/>
                  <w:tcBorders>
                    <w:tl2br w:val="nil"/>
                    <w:tr2bl w:val="nil"/>
                  </w:tcBorders>
                  <w:vAlign w:val="center"/>
                </w:tcPr>
                <w:p>
                  <w:pPr>
                    <w:pStyle w:val="154"/>
                    <w:rPr>
                      <w:color w:val="auto"/>
                      <w:szCs w:val="21"/>
                    </w:rPr>
                  </w:pPr>
                  <w:r>
                    <w:rPr>
                      <w:color w:val="auto"/>
                      <w:szCs w:val="21"/>
                    </w:rPr>
                    <w:t>厂区内监控点浓度限值</w:t>
                  </w:r>
                </w:p>
              </w:tc>
              <w:tc>
                <w:tcPr>
                  <w:tcW w:w="936" w:type="dxa"/>
                  <w:vMerge w:val="restart"/>
                  <w:tcBorders>
                    <w:tl2br w:val="nil"/>
                    <w:tr2bl w:val="nil"/>
                  </w:tcBorders>
                  <w:vAlign w:val="center"/>
                </w:tcPr>
                <w:p>
                  <w:pPr>
                    <w:pStyle w:val="154"/>
                    <w:jc w:val="both"/>
                    <w:rPr>
                      <w:color w:val="auto"/>
                      <w:szCs w:val="21"/>
                    </w:rPr>
                  </w:pPr>
                  <w:r>
                    <w:rPr>
                      <w:color w:val="auto"/>
                      <w:szCs w:val="21"/>
                    </w:rPr>
                    <w:t>企业边界监控点浓度限值</w:t>
                  </w:r>
                </w:p>
              </w:tc>
              <w:tc>
                <w:tcPr>
                  <w:tcW w:w="2398" w:type="dxa"/>
                  <w:vMerge w:val="restart"/>
                  <w:tcBorders>
                    <w:tl2br w:val="nil"/>
                    <w:tr2bl w:val="nil"/>
                  </w:tcBorders>
                  <w:vAlign w:val="center"/>
                </w:tcPr>
                <w:p>
                  <w:pPr>
                    <w:pStyle w:val="154"/>
                    <w:rPr>
                      <w:color w:val="auto"/>
                      <w:szCs w:val="21"/>
                    </w:rPr>
                  </w:pPr>
                  <w:r>
                    <w:rPr>
                      <w:color w:val="auto"/>
                      <w:szCs w:val="21"/>
                    </w:rPr>
                    <w:t>执行标准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351" w:type="dxa"/>
                  <w:vMerge w:val="continue"/>
                  <w:tcBorders>
                    <w:tl2br w:val="nil"/>
                    <w:tr2bl w:val="nil"/>
                  </w:tcBorders>
                  <w:textDirection w:val="tbRlV"/>
                  <w:vAlign w:val="center"/>
                </w:tcPr>
                <w:p>
                  <w:pPr>
                    <w:pStyle w:val="154"/>
                    <w:rPr>
                      <w:color w:val="auto"/>
                      <w:szCs w:val="21"/>
                    </w:rPr>
                  </w:pPr>
                </w:p>
              </w:tc>
              <w:tc>
                <w:tcPr>
                  <w:tcW w:w="1227" w:type="dxa"/>
                  <w:vMerge w:val="continue"/>
                  <w:tcBorders>
                    <w:tl2br w:val="nil"/>
                    <w:tr2bl w:val="nil"/>
                  </w:tcBorders>
                  <w:vAlign w:val="center"/>
                </w:tcPr>
                <w:p>
                  <w:pPr>
                    <w:pStyle w:val="154"/>
                    <w:rPr>
                      <w:color w:val="auto"/>
                      <w:szCs w:val="21"/>
                    </w:rPr>
                  </w:pPr>
                </w:p>
              </w:tc>
              <w:tc>
                <w:tcPr>
                  <w:tcW w:w="1059" w:type="dxa"/>
                  <w:vMerge w:val="continue"/>
                  <w:tcBorders>
                    <w:tl2br w:val="nil"/>
                    <w:tr2bl w:val="nil"/>
                  </w:tcBorders>
                  <w:vAlign w:val="center"/>
                </w:tcPr>
                <w:p>
                  <w:pPr>
                    <w:pStyle w:val="154"/>
                    <w:rPr>
                      <w:color w:val="auto"/>
                      <w:szCs w:val="21"/>
                    </w:rPr>
                  </w:pPr>
                </w:p>
              </w:tc>
              <w:tc>
                <w:tcPr>
                  <w:tcW w:w="931" w:type="dxa"/>
                  <w:tcBorders>
                    <w:tl2br w:val="nil"/>
                    <w:tr2bl w:val="nil"/>
                  </w:tcBorders>
                  <w:vAlign w:val="center"/>
                </w:tcPr>
                <w:p>
                  <w:pPr>
                    <w:pStyle w:val="154"/>
                    <w:rPr>
                      <w:color w:val="auto"/>
                      <w:szCs w:val="21"/>
                    </w:rPr>
                  </w:pPr>
                  <w:r>
                    <w:rPr>
                      <w:color w:val="auto"/>
                      <w:szCs w:val="21"/>
                    </w:rPr>
                    <w:t>1h平均</w:t>
                  </w:r>
                </w:p>
                <w:p>
                  <w:pPr>
                    <w:pStyle w:val="154"/>
                    <w:rPr>
                      <w:color w:val="auto"/>
                      <w:szCs w:val="21"/>
                    </w:rPr>
                  </w:pPr>
                  <w:r>
                    <w:rPr>
                      <w:rFonts w:hint="eastAsia"/>
                      <w:color w:val="auto"/>
                      <w:szCs w:val="21"/>
                    </w:rPr>
                    <w:t>浓</w:t>
                  </w:r>
                  <w:r>
                    <w:rPr>
                      <w:color w:val="auto"/>
                      <w:szCs w:val="21"/>
                    </w:rPr>
                    <w:t>度值</w:t>
                  </w:r>
                </w:p>
              </w:tc>
              <w:tc>
                <w:tcPr>
                  <w:tcW w:w="1602" w:type="dxa"/>
                  <w:tcBorders>
                    <w:tl2br w:val="nil"/>
                    <w:tr2bl w:val="nil"/>
                  </w:tcBorders>
                  <w:vAlign w:val="center"/>
                </w:tcPr>
                <w:p>
                  <w:pPr>
                    <w:pStyle w:val="154"/>
                    <w:jc w:val="both"/>
                    <w:rPr>
                      <w:color w:val="auto"/>
                      <w:szCs w:val="21"/>
                    </w:rPr>
                  </w:pPr>
                  <w:r>
                    <w:rPr>
                      <w:color w:val="auto"/>
                      <w:szCs w:val="21"/>
                    </w:rPr>
                    <w:t>监控点处任意一次排放浓度值</w:t>
                  </w:r>
                </w:p>
              </w:tc>
              <w:tc>
                <w:tcPr>
                  <w:tcW w:w="936" w:type="dxa"/>
                  <w:vMerge w:val="continue"/>
                  <w:tcBorders>
                    <w:tl2br w:val="nil"/>
                    <w:tr2bl w:val="nil"/>
                  </w:tcBorders>
                  <w:vAlign w:val="center"/>
                </w:tcPr>
                <w:p>
                  <w:pPr>
                    <w:pStyle w:val="154"/>
                    <w:rPr>
                      <w:color w:val="auto"/>
                      <w:szCs w:val="21"/>
                    </w:rPr>
                  </w:pPr>
                </w:p>
              </w:tc>
              <w:tc>
                <w:tcPr>
                  <w:tcW w:w="2398" w:type="dxa"/>
                  <w:vMerge w:val="continue"/>
                  <w:tcBorders>
                    <w:tl2br w:val="nil"/>
                    <w:tr2bl w:val="nil"/>
                  </w:tcBorders>
                  <w:vAlign w:val="center"/>
                </w:tcPr>
                <w:p>
                  <w:pPr>
                    <w:pStyle w:val="154"/>
                    <w:rPr>
                      <w:color w:val="auto"/>
                      <w:szCs w:val="21"/>
                    </w:rPr>
                  </w:pP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351" w:type="dxa"/>
                  <w:tcBorders>
                    <w:tl2br w:val="nil"/>
                    <w:tr2bl w:val="nil"/>
                  </w:tcBorders>
                  <w:vAlign w:val="center"/>
                </w:tcPr>
                <w:p>
                  <w:pPr>
                    <w:pStyle w:val="154"/>
                    <w:rPr>
                      <w:color w:val="auto"/>
                      <w:szCs w:val="21"/>
                    </w:rPr>
                  </w:pPr>
                  <w:r>
                    <w:rPr>
                      <w:color w:val="auto"/>
                      <w:szCs w:val="21"/>
                    </w:rPr>
                    <w:t>1</w:t>
                  </w:r>
                </w:p>
              </w:tc>
              <w:tc>
                <w:tcPr>
                  <w:tcW w:w="1227" w:type="dxa"/>
                  <w:tcBorders>
                    <w:tl2br w:val="nil"/>
                    <w:tr2bl w:val="nil"/>
                  </w:tcBorders>
                  <w:vAlign w:val="center"/>
                </w:tcPr>
                <w:p>
                  <w:pPr>
                    <w:pStyle w:val="154"/>
                    <w:rPr>
                      <w:color w:val="auto"/>
                      <w:szCs w:val="21"/>
                    </w:rPr>
                  </w:pPr>
                  <w:r>
                    <w:rPr>
                      <w:color w:val="auto"/>
                      <w:szCs w:val="21"/>
                    </w:rPr>
                    <w:t>C2319</w:t>
                  </w:r>
                </w:p>
              </w:tc>
              <w:tc>
                <w:tcPr>
                  <w:tcW w:w="1059" w:type="dxa"/>
                  <w:tcBorders>
                    <w:tl2br w:val="nil"/>
                    <w:tr2bl w:val="nil"/>
                  </w:tcBorders>
                  <w:vAlign w:val="center"/>
                </w:tcPr>
                <w:p>
                  <w:pPr>
                    <w:pStyle w:val="154"/>
                    <w:rPr>
                      <w:color w:val="auto"/>
                      <w:szCs w:val="21"/>
                    </w:rPr>
                  </w:pPr>
                  <w:r>
                    <w:rPr>
                      <w:color w:val="auto"/>
                      <w:szCs w:val="21"/>
                    </w:rPr>
                    <w:t>非甲烷</w:t>
                  </w:r>
                </w:p>
                <w:p>
                  <w:pPr>
                    <w:pStyle w:val="154"/>
                    <w:rPr>
                      <w:color w:val="auto"/>
                      <w:szCs w:val="21"/>
                    </w:rPr>
                  </w:pPr>
                  <w:r>
                    <w:rPr>
                      <w:color w:val="auto"/>
                      <w:szCs w:val="21"/>
                    </w:rPr>
                    <w:t>总烃</w:t>
                  </w:r>
                </w:p>
              </w:tc>
              <w:tc>
                <w:tcPr>
                  <w:tcW w:w="931" w:type="dxa"/>
                  <w:tcBorders>
                    <w:tl2br w:val="nil"/>
                    <w:tr2bl w:val="nil"/>
                  </w:tcBorders>
                  <w:vAlign w:val="center"/>
                </w:tcPr>
                <w:p>
                  <w:pPr>
                    <w:pStyle w:val="154"/>
                    <w:rPr>
                      <w:rFonts w:hint="default" w:eastAsia="宋体"/>
                      <w:color w:val="auto"/>
                      <w:szCs w:val="21"/>
                      <w:lang w:val="en-US" w:eastAsia="zh-CN"/>
                    </w:rPr>
                  </w:pPr>
                  <w:r>
                    <w:rPr>
                      <w:rFonts w:hint="eastAsia"/>
                      <w:color w:val="auto"/>
                      <w:szCs w:val="21"/>
                      <w:lang w:val="en-US" w:eastAsia="zh-CN"/>
                    </w:rPr>
                    <w:t>8</w:t>
                  </w:r>
                </w:p>
              </w:tc>
              <w:tc>
                <w:tcPr>
                  <w:tcW w:w="1602" w:type="dxa"/>
                  <w:tcBorders>
                    <w:tl2br w:val="nil"/>
                    <w:tr2bl w:val="nil"/>
                  </w:tcBorders>
                  <w:vAlign w:val="center"/>
                </w:tcPr>
                <w:p>
                  <w:pPr>
                    <w:pStyle w:val="154"/>
                    <w:rPr>
                      <w:rFonts w:hint="default" w:eastAsia="宋体"/>
                      <w:color w:val="auto"/>
                      <w:szCs w:val="21"/>
                      <w:lang w:val="en-US" w:eastAsia="zh-CN"/>
                    </w:rPr>
                  </w:pPr>
                  <w:r>
                    <w:rPr>
                      <w:rFonts w:hint="eastAsia"/>
                      <w:color w:val="auto"/>
                      <w:szCs w:val="21"/>
                      <w:lang w:val="en-US" w:eastAsia="zh-CN"/>
                    </w:rPr>
                    <w:t>30</w:t>
                  </w:r>
                </w:p>
              </w:tc>
              <w:tc>
                <w:tcPr>
                  <w:tcW w:w="936" w:type="dxa"/>
                  <w:tcBorders>
                    <w:tl2br w:val="nil"/>
                    <w:tr2bl w:val="nil"/>
                  </w:tcBorders>
                  <w:vAlign w:val="center"/>
                </w:tcPr>
                <w:p>
                  <w:pPr>
                    <w:pStyle w:val="154"/>
                    <w:rPr>
                      <w:rFonts w:hint="eastAsia" w:eastAsia="宋体"/>
                      <w:color w:val="auto"/>
                      <w:szCs w:val="21"/>
                      <w:lang w:eastAsia="zh-CN"/>
                    </w:rPr>
                  </w:pPr>
                  <w:r>
                    <w:rPr>
                      <w:rFonts w:hint="eastAsia"/>
                      <w:color w:val="auto"/>
                      <w:szCs w:val="21"/>
                      <w:lang w:val="en-US" w:eastAsia="zh-CN"/>
                    </w:rPr>
                    <w:t>2</w:t>
                  </w:r>
                </w:p>
              </w:tc>
              <w:tc>
                <w:tcPr>
                  <w:tcW w:w="2398" w:type="dxa"/>
                  <w:tcBorders>
                    <w:tl2br w:val="nil"/>
                    <w:tr2bl w:val="nil"/>
                  </w:tcBorders>
                  <w:vAlign w:val="center"/>
                </w:tcPr>
                <w:p>
                  <w:pPr>
                    <w:pStyle w:val="154"/>
                    <w:rPr>
                      <w:color w:val="auto"/>
                      <w:szCs w:val="21"/>
                    </w:rPr>
                  </w:pPr>
                  <w:r>
                    <w:rPr>
                      <w:color w:val="auto"/>
                      <w:szCs w:val="21"/>
                    </w:rPr>
                    <w:t>厂区内监控点浓度</w:t>
                  </w:r>
                  <w:r>
                    <w:rPr>
                      <w:rFonts w:hint="eastAsia"/>
                      <w:color w:val="auto"/>
                      <w:szCs w:val="21"/>
                    </w:rPr>
                    <w:t>限值</w:t>
                  </w:r>
                  <w:r>
                    <w:rPr>
                      <w:color w:val="auto"/>
                      <w:szCs w:val="21"/>
                    </w:rPr>
                    <w:t>执行GB37822-2019，</w:t>
                  </w:r>
                  <w:r>
                    <w:rPr>
                      <w:rFonts w:hint="eastAsia"/>
                      <w:color w:val="auto"/>
                      <w:szCs w:val="21"/>
                    </w:rPr>
                    <w:t>企业边界监控点浓度限值</w:t>
                  </w:r>
                  <w:r>
                    <w:rPr>
                      <w:color w:val="auto"/>
                      <w:szCs w:val="21"/>
                    </w:rPr>
                    <w:t>执行DB35/1784-2018</w:t>
                  </w:r>
                </w:p>
              </w:tc>
            </w:tr>
          </w:tbl>
          <w:p>
            <w:pPr>
              <w:pStyle w:val="4"/>
              <w:spacing w:before="140" w:after="60" w:line="360" w:lineRule="auto"/>
              <w:ind w:left="0" w:firstLine="0"/>
              <w:rPr>
                <w:rFonts w:ascii="Times New Roman" w:hAnsi="Times New Roman" w:eastAsia="宋体" w:cs="Times New Roman"/>
                <w:color w:val="auto"/>
                <w:lang w:val="en-US"/>
              </w:rPr>
            </w:pPr>
            <w:r>
              <w:rPr>
                <w:rFonts w:hint="eastAsia" w:ascii="Times New Roman" w:hAnsi="Times New Roman" w:eastAsia="宋体" w:cs="Times New Roman"/>
                <w:color w:val="auto"/>
                <w:lang w:val="en-US"/>
              </w:rPr>
              <w:t>3.7.3噪声污染物排放标准</w:t>
            </w:r>
          </w:p>
          <w:p>
            <w:pPr>
              <w:pStyle w:val="48"/>
              <w:wordWrap w:val="0"/>
              <w:ind w:firstLine="480"/>
              <w:rPr>
                <w:color w:val="auto"/>
              </w:rPr>
            </w:pPr>
            <w:r>
              <w:rPr>
                <w:rFonts w:hint="eastAsia"/>
                <w:color w:val="auto"/>
              </w:rPr>
              <w:t>项目</w:t>
            </w:r>
            <w:r>
              <w:rPr>
                <w:color w:val="auto"/>
              </w:rPr>
              <w:t>运营期</w:t>
            </w:r>
            <w:r>
              <w:rPr>
                <w:rFonts w:hint="eastAsia"/>
                <w:color w:val="auto"/>
              </w:rPr>
              <w:t>西南侧沿东环路一侧的厂界</w:t>
            </w:r>
            <w:r>
              <w:rPr>
                <w:color w:val="auto"/>
              </w:rPr>
              <w:t>噪声执行《工业企业厂界环境噪声排放标准》（GB12348-2008）中的</w:t>
            </w:r>
            <w:r>
              <w:rPr>
                <w:rFonts w:hint="eastAsia"/>
                <w:color w:val="auto"/>
              </w:rPr>
              <w:t>4</w:t>
            </w:r>
            <w:r>
              <w:rPr>
                <w:color w:val="auto"/>
              </w:rPr>
              <w:t>类标准，</w:t>
            </w:r>
            <w:r>
              <w:rPr>
                <w:rFonts w:hint="eastAsia"/>
                <w:color w:val="auto"/>
              </w:rPr>
              <w:t>其余西北侧、东北侧、东南侧厂界</w:t>
            </w:r>
            <w:r>
              <w:rPr>
                <w:color w:val="auto"/>
              </w:rPr>
              <w:t>执行《工业企业厂界环境噪声排放标准》（GB12348-2008）中的</w:t>
            </w:r>
            <w:r>
              <w:rPr>
                <w:rFonts w:hint="eastAsia"/>
                <w:color w:val="auto"/>
              </w:rPr>
              <w:t>2</w:t>
            </w:r>
            <w:r>
              <w:rPr>
                <w:color w:val="auto"/>
              </w:rPr>
              <w:t>类标准</w:t>
            </w:r>
            <w:r>
              <w:rPr>
                <w:rFonts w:hint="eastAsia"/>
                <w:color w:val="auto"/>
              </w:rPr>
              <w:t>。</w:t>
            </w:r>
            <w:r>
              <w:rPr>
                <w:color w:val="auto"/>
              </w:rPr>
              <w:t>详见</w:t>
            </w:r>
            <w:r>
              <w:rPr>
                <w:b/>
                <w:bCs/>
                <w:color w:val="auto"/>
              </w:rPr>
              <w:t>表3</w:t>
            </w:r>
            <w:r>
              <w:rPr>
                <w:rFonts w:hint="eastAsia"/>
                <w:b/>
                <w:bCs/>
                <w:color w:val="auto"/>
              </w:rPr>
              <w:t>.7</w:t>
            </w:r>
            <w:r>
              <w:rPr>
                <w:b/>
                <w:bCs/>
                <w:color w:val="auto"/>
              </w:rPr>
              <w:t>-</w:t>
            </w:r>
            <w:r>
              <w:rPr>
                <w:rFonts w:hint="eastAsia"/>
                <w:b/>
                <w:bCs/>
                <w:color w:val="auto"/>
              </w:rPr>
              <w:t>4</w:t>
            </w:r>
            <w:r>
              <w:rPr>
                <w:color w:val="auto"/>
              </w:rPr>
              <w:t>。</w:t>
            </w:r>
          </w:p>
          <w:p>
            <w:pPr>
              <w:pStyle w:val="49"/>
              <w:rPr>
                <w:bCs/>
                <w:color w:val="auto"/>
                <w:kern w:val="2"/>
              </w:rPr>
            </w:pPr>
            <w:r>
              <w:rPr>
                <w:bCs/>
                <w:color w:val="auto"/>
                <w:kern w:val="2"/>
              </w:rPr>
              <w:t>表</w:t>
            </w:r>
            <w:r>
              <w:rPr>
                <w:rFonts w:hint="eastAsia"/>
                <w:bCs/>
                <w:color w:val="auto"/>
                <w:kern w:val="2"/>
              </w:rPr>
              <w:t xml:space="preserve">3.7-4  </w:t>
            </w:r>
            <w:r>
              <w:rPr>
                <w:bCs/>
                <w:color w:val="auto"/>
                <w:kern w:val="2"/>
              </w:rPr>
              <w:t>《工业企业厂界环境噪声排放标准》（GB12348-2008）（摘录）</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96"/>
              <w:gridCol w:w="3140"/>
              <w:gridCol w:w="296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96" w:type="dxa"/>
                  <w:tcBorders>
                    <w:tl2br w:val="nil"/>
                    <w:tr2bl w:val="nil"/>
                  </w:tcBorders>
                  <w:vAlign w:val="center"/>
                </w:tcPr>
                <w:p>
                  <w:pPr>
                    <w:pStyle w:val="68"/>
                    <w:rPr>
                      <w:color w:val="auto"/>
                      <w:szCs w:val="21"/>
                    </w:rPr>
                  </w:pPr>
                  <w:r>
                    <w:rPr>
                      <w:color w:val="auto"/>
                      <w:szCs w:val="21"/>
                    </w:rPr>
                    <w:t>类别</w:t>
                  </w:r>
                </w:p>
              </w:tc>
              <w:tc>
                <w:tcPr>
                  <w:tcW w:w="3140" w:type="dxa"/>
                  <w:tcBorders>
                    <w:tl2br w:val="nil"/>
                    <w:tr2bl w:val="nil"/>
                  </w:tcBorders>
                  <w:vAlign w:val="center"/>
                </w:tcPr>
                <w:p>
                  <w:pPr>
                    <w:pStyle w:val="68"/>
                    <w:rPr>
                      <w:color w:val="auto"/>
                      <w:szCs w:val="21"/>
                    </w:rPr>
                  </w:pPr>
                  <w:r>
                    <w:rPr>
                      <w:color w:val="auto"/>
                      <w:szCs w:val="21"/>
                    </w:rPr>
                    <w:t>昼间（dB</w:t>
                  </w:r>
                  <w:r>
                    <w:rPr>
                      <w:rFonts w:hint="eastAsia"/>
                      <w:color w:val="auto"/>
                      <w:szCs w:val="21"/>
                    </w:rPr>
                    <w:t>（A）</w:t>
                  </w:r>
                  <w:r>
                    <w:rPr>
                      <w:color w:val="auto"/>
                      <w:szCs w:val="21"/>
                    </w:rPr>
                    <w:t>）</w:t>
                  </w:r>
                </w:p>
              </w:tc>
              <w:tc>
                <w:tcPr>
                  <w:tcW w:w="2968" w:type="dxa"/>
                  <w:tcBorders>
                    <w:tl2br w:val="nil"/>
                    <w:tr2bl w:val="nil"/>
                  </w:tcBorders>
                  <w:vAlign w:val="center"/>
                </w:tcPr>
                <w:p>
                  <w:pPr>
                    <w:pStyle w:val="68"/>
                    <w:rPr>
                      <w:color w:val="auto"/>
                      <w:szCs w:val="21"/>
                    </w:rPr>
                  </w:pPr>
                  <w:r>
                    <w:rPr>
                      <w:color w:val="auto"/>
                      <w:szCs w:val="21"/>
                    </w:rPr>
                    <w:t>夜间（dB</w:t>
                  </w:r>
                  <w:r>
                    <w:rPr>
                      <w:rFonts w:hint="eastAsia"/>
                      <w:color w:val="auto"/>
                      <w:szCs w:val="21"/>
                    </w:rPr>
                    <w:t>（A）</w:t>
                  </w:r>
                  <w:r>
                    <w:rPr>
                      <w:color w:val="auto"/>
                      <w:szCs w:val="21"/>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96" w:type="dxa"/>
                  <w:tcBorders>
                    <w:tl2br w:val="nil"/>
                    <w:tr2bl w:val="nil"/>
                  </w:tcBorders>
                  <w:vAlign w:val="center"/>
                </w:tcPr>
                <w:p>
                  <w:pPr>
                    <w:pStyle w:val="68"/>
                    <w:rPr>
                      <w:color w:val="auto"/>
                      <w:szCs w:val="21"/>
                    </w:rPr>
                  </w:pPr>
                  <w:r>
                    <w:rPr>
                      <w:rFonts w:hint="eastAsia"/>
                      <w:color w:val="auto"/>
                      <w:szCs w:val="21"/>
                    </w:rPr>
                    <w:t>4</w:t>
                  </w:r>
                  <w:r>
                    <w:rPr>
                      <w:color w:val="auto"/>
                      <w:szCs w:val="21"/>
                    </w:rPr>
                    <w:t>类</w:t>
                  </w:r>
                </w:p>
              </w:tc>
              <w:tc>
                <w:tcPr>
                  <w:tcW w:w="3140" w:type="dxa"/>
                  <w:tcBorders>
                    <w:tl2br w:val="nil"/>
                    <w:tr2bl w:val="nil"/>
                  </w:tcBorders>
                  <w:vAlign w:val="center"/>
                </w:tcPr>
                <w:p>
                  <w:pPr>
                    <w:pStyle w:val="68"/>
                    <w:rPr>
                      <w:color w:val="auto"/>
                      <w:szCs w:val="21"/>
                    </w:rPr>
                  </w:pPr>
                  <w:r>
                    <w:rPr>
                      <w:rFonts w:hint="eastAsia"/>
                      <w:color w:val="auto"/>
                      <w:szCs w:val="21"/>
                    </w:rPr>
                    <w:t>70</w:t>
                  </w:r>
                </w:p>
              </w:tc>
              <w:tc>
                <w:tcPr>
                  <w:tcW w:w="2968" w:type="dxa"/>
                  <w:tcBorders>
                    <w:tl2br w:val="nil"/>
                    <w:tr2bl w:val="nil"/>
                  </w:tcBorders>
                  <w:vAlign w:val="center"/>
                </w:tcPr>
                <w:p>
                  <w:pPr>
                    <w:pStyle w:val="68"/>
                    <w:rPr>
                      <w:color w:val="auto"/>
                      <w:szCs w:val="21"/>
                    </w:rPr>
                  </w:pPr>
                  <w:r>
                    <w:rPr>
                      <w:color w:val="auto"/>
                      <w:szCs w:val="21"/>
                    </w:rPr>
                    <w:t>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396" w:type="dxa"/>
                  <w:tcBorders>
                    <w:tl2br w:val="nil"/>
                    <w:tr2bl w:val="nil"/>
                  </w:tcBorders>
                  <w:vAlign w:val="center"/>
                </w:tcPr>
                <w:p>
                  <w:pPr>
                    <w:pStyle w:val="68"/>
                    <w:rPr>
                      <w:color w:val="auto"/>
                      <w:szCs w:val="21"/>
                    </w:rPr>
                  </w:pPr>
                  <w:r>
                    <w:rPr>
                      <w:rFonts w:hint="eastAsia"/>
                      <w:color w:val="auto"/>
                      <w:szCs w:val="21"/>
                    </w:rPr>
                    <w:t>2</w:t>
                  </w:r>
                  <w:r>
                    <w:rPr>
                      <w:color w:val="auto"/>
                      <w:szCs w:val="21"/>
                    </w:rPr>
                    <w:t>类</w:t>
                  </w:r>
                </w:p>
              </w:tc>
              <w:tc>
                <w:tcPr>
                  <w:tcW w:w="3140" w:type="dxa"/>
                  <w:tcBorders>
                    <w:tl2br w:val="nil"/>
                    <w:tr2bl w:val="nil"/>
                  </w:tcBorders>
                  <w:vAlign w:val="center"/>
                </w:tcPr>
                <w:p>
                  <w:pPr>
                    <w:pStyle w:val="68"/>
                    <w:rPr>
                      <w:color w:val="auto"/>
                      <w:szCs w:val="21"/>
                    </w:rPr>
                  </w:pPr>
                  <w:r>
                    <w:rPr>
                      <w:color w:val="auto"/>
                      <w:szCs w:val="21"/>
                    </w:rPr>
                    <w:t>6</w:t>
                  </w:r>
                  <w:r>
                    <w:rPr>
                      <w:rFonts w:hint="eastAsia"/>
                      <w:color w:val="auto"/>
                      <w:szCs w:val="21"/>
                    </w:rPr>
                    <w:t>0</w:t>
                  </w:r>
                </w:p>
              </w:tc>
              <w:tc>
                <w:tcPr>
                  <w:tcW w:w="2968" w:type="dxa"/>
                  <w:tcBorders>
                    <w:tl2br w:val="nil"/>
                    <w:tr2bl w:val="nil"/>
                  </w:tcBorders>
                  <w:vAlign w:val="center"/>
                </w:tcPr>
                <w:p>
                  <w:pPr>
                    <w:pStyle w:val="68"/>
                    <w:rPr>
                      <w:color w:val="auto"/>
                      <w:szCs w:val="21"/>
                    </w:rPr>
                  </w:pPr>
                  <w:r>
                    <w:rPr>
                      <w:color w:val="auto"/>
                      <w:szCs w:val="21"/>
                    </w:rPr>
                    <w:t>5</w:t>
                  </w:r>
                  <w:r>
                    <w:rPr>
                      <w:rFonts w:hint="eastAsia"/>
                      <w:color w:val="auto"/>
                      <w:szCs w:val="21"/>
                    </w:rPr>
                    <w:t>0</w:t>
                  </w:r>
                </w:p>
              </w:tc>
            </w:tr>
          </w:tbl>
          <w:p>
            <w:pPr>
              <w:pStyle w:val="4"/>
              <w:spacing w:before="140" w:after="60" w:line="360" w:lineRule="auto"/>
              <w:ind w:left="0" w:firstLine="0"/>
              <w:rPr>
                <w:rFonts w:ascii="Times New Roman" w:hAnsi="Times New Roman" w:eastAsia="宋体" w:cs="Times New Roman"/>
                <w:color w:val="auto"/>
                <w:lang w:val="en-US"/>
              </w:rPr>
            </w:pPr>
            <w:r>
              <w:rPr>
                <w:rFonts w:hint="eastAsia" w:ascii="Times New Roman" w:hAnsi="Times New Roman" w:eastAsia="宋体" w:cs="Times New Roman"/>
                <w:color w:val="auto"/>
                <w:lang w:val="en-US"/>
              </w:rPr>
              <w:t>3.7.4固体废物污染物排放标准</w:t>
            </w:r>
          </w:p>
          <w:p>
            <w:pPr>
              <w:pStyle w:val="48"/>
              <w:ind w:firstLine="480"/>
              <w:rPr>
                <w:rFonts w:hint="eastAsia" w:eastAsia="宋体"/>
                <w:color w:val="auto"/>
                <w:lang w:eastAsia="zh-CN"/>
              </w:rPr>
            </w:pPr>
            <w:r>
              <w:rPr>
                <w:color w:val="auto"/>
              </w:rPr>
              <w:t>项目运营期间一般固体废物贮存</w:t>
            </w:r>
            <w:r>
              <w:rPr>
                <w:rFonts w:hint="eastAsia"/>
                <w:color w:val="auto"/>
              </w:rPr>
              <w:t>按</w:t>
            </w:r>
            <w:r>
              <w:rPr>
                <w:color w:val="auto"/>
              </w:rPr>
              <w:t>《一般工业固体废物贮存</w:t>
            </w:r>
            <w:r>
              <w:rPr>
                <w:rFonts w:hint="eastAsia"/>
                <w:color w:val="auto"/>
              </w:rPr>
              <w:t>和填埋</w:t>
            </w:r>
            <w:r>
              <w:rPr>
                <w:color w:val="auto"/>
              </w:rPr>
              <w:t>污染控制标准》</w:t>
            </w:r>
            <w:r>
              <w:rPr>
                <w:rFonts w:hint="eastAsia"/>
                <w:color w:val="auto"/>
              </w:rPr>
              <w:t>（</w:t>
            </w:r>
            <w:r>
              <w:rPr>
                <w:color w:val="auto"/>
              </w:rPr>
              <w:t>GB18599-2020</w:t>
            </w:r>
            <w:r>
              <w:rPr>
                <w:rFonts w:hint="eastAsia"/>
                <w:color w:val="auto"/>
              </w:rPr>
              <w:t>）中的要求处置</w:t>
            </w:r>
            <w:r>
              <w:rPr>
                <w:color w:val="auto"/>
              </w:rPr>
              <w:t>；</w:t>
            </w:r>
            <w:r>
              <w:rPr>
                <w:rFonts w:hint="eastAsia"/>
                <w:color w:val="auto"/>
              </w:rPr>
              <w:t>项目危险废物贮存按《危险废物贮存污染控制标准》（</w:t>
            </w:r>
            <w:r>
              <w:rPr>
                <w:color w:val="auto"/>
              </w:rPr>
              <w:t>GB18597-2023</w:t>
            </w:r>
            <w:r>
              <w:rPr>
                <w:rFonts w:hint="eastAsia"/>
                <w:color w:val="auto"/>
              </w:rPr>
              <w:t>）和《危险废物污染防治技术政策》中的要求进行处置。</w:t>
            </w:r>
            <w:r>
              <w:rPr>
                <w:color w:val="auto"/>
                <w:sz w:val="24"/>
                <w:szCs w:val="24"/>
              </w:rPr>
              <w:t>危险废物外运处置执行《危险废物转移联单管理办法》</w:t>
            </w:r>
            <w:r>
              <w:rPr>
                <w:rFonts w:hint="eastAsia"/>
                <w:color w:val="auto"/>
                <w:sz w:val="24"/>
                <w:szCs w:val="24"/>
                <w:lang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99" w:type="dxa"/>
            <w:vAlign w:val="center"/>
          </w:tcPr>
          <w:p>
            <w:pPr>
              <w:spacing w:line="360" w:lineRule="auto"/>
              <w:jc w:val="center"/>
              <w:rPr>
                <w:b/>
                <w:color w:val="auto"/>
                <w:kern w:val="0"/>
                <w:sz w:val="24"/>
                <w:szCs w:val="21"/>
              </w:rPr>
            </w:pPr>
            <w:r>
              <w:rPr>
                <w:b/>
                <w:color w:val="auto"/>
                <w:kern w:val="0"/>
                <w:sz w:val="24"/>
                <w:szCs w:val="21"/>
              </w:rPr>
              <w:t>总量</w:t>
            </w:r>
          </w:p>
          <w:p>
            <w:pPr>
              <w:spacing w:line="360" w:lineRule="auto"/>
              <w:jc w:val="center"/>
              <w:rPr>
                <w:b/>
                <w:color w:val="auto"/>
                <w:kern w:val="0"/>
                <w:sz w:val="24"/>
                <w:szCs w:val="21"/>
              </w:rPr>
            </w:pPr>
            <w:r>
              <w:rPr>
                <w:b/>
                <w:color w:val="auto"/>
                <w:kern w:val="0"/>
                <w:sz w:val="24"/>
                <w:szCs w:val="21"/>
              </w:rPr>
              <w:t>控制</w:t>
            </w:r>
          </w:p>
          <w:p>
            <w:pPr>
              <w:spacing w:line="360" w:lineRule="auto"/>
              <w:jc w:val="center"/>
              <w:rPr>
                <w:color w:val="auto"/>
                <w:kern w:val="0"/>
                <w:szCs w:val="21"/>
              </w:rPr>
            </w:pPr>
            <w:r>
              <w:rPr>
                <w:b/>
                <w:color w:val="auto"/>
                <w:kern w:val="0"/>
                <w:sz w:val="24"/>
                <w:szCs w:val="21"/>
              </w:rPr>
              <w:t>指标</w:t>
            </w:r>
          </w:p>
        </w:tc>
        <w:tc>
          <w:tcPr>
            <w:tcW w:w="8603" w:type="dxa"/>
            <w:vAlign w:val="center"/>
          </w:tcPr>
          <w:p>
            <w:pPr>
              <w:pStyle w:val="97"/>
              <w:ind w:firstLine="0" w:firstLineChars="0"/>
              <w:rPr>
                <w:b/>
                <w:bCs/>
                <w:color w:val="auto"/>
                <w:sz w:val="30"/>
                <w:szCs w:val="30"/>
              </w:rPr>
            </w:pPr>
            <w:r>
              <w:rPr>
                <w:rFonts w:hint="eastAsia"/>
                <w:b/>
                <w:bCs/>
                <w:color w:val="auto"/>
                <w:sz w:val="30"/>
                <w:szCs w:val="30"/>
              </w:rPr>
              <w:t>3.8总量控制分析</w:t>
            </w:r>
          </w:p>
          <w:p>
            <w:pPr>
              <w:pStyle w:val="122"/>
              <w:adjustRightInd/>
              <w:snapToGrid/>
              <w:ind w:firstLine="0" w:firstLineChars="0"/>
              <w:rPr>
                <w:b/>
                <w:bCs w:val="0"/>
                <w:color w:val="auto"/>
              </w:rPr>
            </w:pPr>
            <w:r>
              <w:rPr>
                <w:rFonts w:hint="eastAsia"/>
                <w:b/>
                <w:bCs w:val="0"/>
                <w:color w:val="auto"/>
              </w:rPr>
              <w:t>3.8.1总量控制项目</w:t>
            </w:r>
          </w:p>
          <w:p>
            <w:pPr>
              <w:pStyle w:val="97"/>
              <w:ind w:firstLine="480"/>
              <w:rPr>
                <w:color w:val="auto"/>
              </w:rPr>
            </w:pPr>
            <w:r>
              <w:rPr>
                <w:color w:val="auto"/>
              </w:rPr>
              <w:t>根据《福建省建设项目主要污染物排放总量指标管理办法（试行）的通知》（闽环发</w:t>
            </w:r>
            <w:r>
              <w:rPr>
                <w:rFonts w:hint="eastAsia"/>
                <w:color w:val="auto"/>
                <w:lang w:eastAsia="zh-CN"/>
              </w:rPr>
              <w:t>〔2014〕13号</w:t>
            </w:r>
            <w:r>
              <w:rPr>
                <w:color w:val="auto"/>
              </w:rPr>
              <w:t>）、《福建省关于全面实施排污权有偿使用和交易工作的意见》（政2016号54号），现阶段污染物总量控制指标为：</w:t>
            </w:r>
          </w:p>
          <w:p>
            <w:pPr>
              <w:pStyle w:val="97"/>
              <w:ind w:firstLine="480"/>
              <w:rPr>
                <w:color w:val="auto"/>
              </w:rPr>
            </w:pPr>
            <w:r>
              <w:rPr>
                <w:rFonts w:hint="eastAsia"/>
                <w:color w:val="auto"/>
              </w:rPr>
              <w:t>废水：</w:t>
            </w:r>
            <w:r>
              <w:rPr>
                <w:color w:val="auto"/>
              </w:rPr>
              <w:t>化学需氧量（COD</w:t>
            </w:r>
            <w:r>
              <w:rPr>
                <w:rFonts w:hint="eastAsia"/>
                <w:color w:val="auto"/>
              </w:rPr>
              <w:t>cr</w:t>
            </w:r>
            <w:r>
              <w:rPr>
                <w:color w:val="auto"/>
              </w:rPr>
              <w:t>）</w:t>
            </w:r>
            <w:r>
              <w:rPr>
                <w:rFonts w:hint="eastAsia"/>
                <w:color w:val="auto"/>
              </w:rPr>
              <w:t>、</w:t>
            </w:r>
            <w:r>
              <w:rPr>
                <w:color w:val="auto"/>
              </w:rPr>
              <w:t>氨氮（NH</w:t>
            </w:r>
            <w:r>
              <w:rPr>
                <w:color w:val="auto"/>
                <w:vertAlign w:val="subscript"/>
              </w:rPr>
              <w:t>3</w:t>
            </w:r>
            <w:r>
              <w:rPr>
                <w:color w:val="auto"/>
              </w:rPr>
              <w:t>-N）</w:t>
            </w:r>
          </w:p>
          <w:p>
            <w:pPr>
              <w:pStyle w:val="97"/>
              <w:ind w:firstLine="480"/>
              <w:rPr>
                <w:color w:val="auto"/>
              </w:rPr>
            </w:pPr>
            <w:r>
              <w:rPr>
                <w:rFonts w:hint="eastAsia"/>
                <w:color w:val="auto"/>
              </w:rPr>
              <w:t>废气：</w:t>
            </w:r>
            <w:r>
              <w:rPr>
                <w:color w:val="auto"/>
              </w:rPr>
              <w:t>二氧化硫（SO</w:t>
            </w:r>
            <w:r>
              <w:rPr>
                <w:color w:val="auto"/>
                <w:vertAlign w:val="subscript"/>
              </w:rPr>
              <w:t>2</w:t>
            </w:r>
            <w:r>
              <w:rPr>
                <w:color w:val="auto"/>
              </w:rPr>
              <w:t>）、氮氧化物（NOx）</w:t>
            </w:r>
          </w:p>
          <w:p>
            <w:pPr>
              <w:pStyle w:val="97"/>
              <w:ind w:firstLine="480"/>
              <w:rPr>
                <w:color w:val="auto"/>
              </w:rPr>
            </w:pPr>
            <w:r>
              <w:rPr>
                <w:color w:val="auto"/>
              </w:rPr>
              <w:t>根据《福建省人民政府关于印发大气污染防治行动计划实施细则的通知》</w:t>
            </w:r>
            <w:r>
              <w:rPr>
                <w:rFonts w:hint="eastAsia"/>
                <w:color w:val="auto"/>
              </w:rPr>
              <w:t>（</w:t>
            </w:r>
            <w:r>
              <w:rPr>
                <w:color w:val="auto"/>
              </w:rPr>
              <w:t>闽政</w:t>
            </w:r>
            <w:r>
              <w:rPr>
                <w:rFonts w:hint="eastAsia"/>
                <w:color w:val="auto"/>
              </w:rPr>
              <w:t>〔</w:t>
            </w:r>
            <w:r>
              <w:rPr>
                <w:color w:val="auto"/>
              </w:rPr>
              <w:t>2014</w:t>
            </w:r>
            <w:r>
              <w:rPr>
                <w:rFonts w:hint="eastAsia"/>
                <w:color w:val="auto"/>
              </w:rPr>
              <w:t>〕</w:t>
            </w:r>
            <w:r>
              <w:rPr>
                <w:color w:val="auto"/>
              </w:rPr>
              <w:t>1号文</w:t>
            </w:r>
            <w:r>
              <w:rPr>
                <w:rFonts w:hint="eastAsia"/>
                <w:color w:val="auto"/>
              </w:rPr>
              <w:t>）</w:t>
            </w:r>
            <w:r>
              <w:rPr>
                <w:color w:val="auto"/>
              </w:rPr>
              <w:t>中“二、重点工作</w:t>
            </w:r>
            <w:r>
              <w:rPr>
                <w:rFonts w:hint="eastAsia"/>
                <w:color w:val="auto"/>
              </w:rPr>
              <w:t>（</w:t>
            </w:r>
            <w:r>
              <w:rPr>
                <w:color w:val="auto"/>
              </w:rPr>
              <w:t>五</w:t>
            </w:r>
            <w:r>
              <w:rPr>
                <w:rFonts w:hint="eastAsia"/>
                <w:color w:val="auto"/>
              </w:rPr>
              <w:t>）</w:t>
            </w:r>
            <w:r>
              <w:rPr>
                <w:color w:val="auto"/>
              </w:rPr>
              <w:t>严格节能环保准入，优化产业空间布局”中的第2小点可知，国家强力推行强化节能环保指标的约束，严格实施污染物排放总量控制，根据国家统一部署，将二氧化硫、氮氧化物、烟</w:t>
            </w:r>
            <w:r>
              <w:rPr>
                <w:rFonts w:hint="eastAsia"/>
                <w:color w:val="auto"/>
              </w:rPr>
              <w:t>(</w:t>
            </w:r>
            <w:r>
              <w:rPr>
                <w:color w:val="auto"/>
              </w:rPr>
              <w:t>粉</w:t>
            </w:r>
            <w:r>
              <w:rPr>
                <w:rFonts w:hint="eastAsia"/>
                <w:color w:val="auto"/>
              </w:rPr>
              <w:t>)</w:t>
            </w:r>
            <w:r>
              <w:rPr>
                <w:color w:val="auto"/>
              </w:rPr>
              <w:t>尘和挥发性有机物排放是否符合总量控制要求作为建设项目环境影响评价审批的前置条件。</w:t>
            </w:r>
          </w:p>
          <w:p>
            <w:pPr>
              <w:pStyle w:val="122"/>
              <w:adjustRightInd/>
              <w:snapToGrid/>
              <w:ind w:firstLine="0" w:firstLineChars="0"/>
              <w:rPr>
                <w:b/>
                <w:bCs w:val="0"/>
                <w:color w:val="auto"/>
              </w:rPr>
            </w:pPr>
            <w:r>
              <w:rPr>
                <w:rFonts w:hint="eastAsia"/>
                <w:b/>
                <w:bCs w:val="0"/>
                <w:color w:val="auto"/>
              </w:rPr>
              <w:t>3.8.2水</w:t>
            </w:r>
            <w:r>
              <w:rPr>
                <w:b/>
                <w:bCs w:val="0"/>
                <w:color w:val="auto"/>
              </w:rPr>
              <w:t>污染物</w:t>
            </w:r>
            <w:r>
              <w:rPr>
                <w:rFonts w:hint="eastAsia"/>
                <w:b/>
                <w:bCs w:val="0"/>
                <w:color w:val="auto"/>
              </w:rPr>
              <w:t>排放</w:t>
            </w:r>
            <w:r>
              <w:rPr>
                <w:b/>
                <w:bCs w:val="0"/>
                <w:color w:val="auto"/>
              </w:rPr>
              <w:t>总量控制指标</w:t>
            </w:r>
          </w:p>
          <w:p>
            <w:pPr>
              <w:pStyle w:val="97"/>
              <w:ind w:firstLine="480"/>
              <w:rPr>
                <w:color w:val="auto"/>
              </w:rPr>
            </w:pPr>
            <w:r>
              <w:rPr>
                <w:rFonts w:hint="eastAsia"/>
                <w:color w:val="auto"/>
              </w:rPr>
              <w:t>项目生活污水经出租方已建化粪池预处理后排入市政污水管网，纳入长乐区</w:t>
            </w:r>
            <w:r>
              <w:rPr>
                <w:rFonts w:hint="eastAsia"/>
                <w:color w:val="auto"/>
                <w:lang w:val="en-US" w:eastAsia="zh-CN"/>
              </w:rPr>
              <w:t>滨海</w:t>
            </w:r>
            <w:r>
              <w:rPr>
                <w:rFonts w:hint="eastAsia"/>
                <w:color w:val="auto"/>
              </w:rPr>
              <w:t>污水处理厂处理，根据《福建省环保厅关于进一步明确排污权工作有关问题的通知》（闽环保财</w:t>
            </w:r>
            <w:r>
              <w:rPr>
                <w:rFonts w:hint="eastAsia"/>
                <w:color w:val="auto"/>
                <w:lang w:eastAsia="zh-CN"/>
              </w:rPr>
              <w:t>〔2017〕22号</w:t>
            </w:r>
            <w:r>
              <w:rPr>
                <w:rFonts w:hint="eastAsia"/>
                <w:color w:val="auto"/>
              </w:rPr>
              <w:t>），现有工业排污单位的水污染物的初始排污权只核定工业废水部分，项目生活污水排放暂不需要购买相应的排污权指标。</w:t>
            </w:r>
          </w:p>
          <w:p>
            <w:pPr>
              <w:pStyle w:val="122"/>
              <w:adjustRightInd/>
              <w:snapToGrid/>
              <w:ind w:firstLine="0" w:firstLineChars="0"/>
              <w:rPr>
                <w:b/>
                <w:bCs w:val="0"/>
                <w:color w:val="auto"/>
              </w:rPr>
            </w:pPr>
            <w:r>
              <w:rPr>
                <w:rFonts w:hint="eastAsia"/>
                <w:b/>
                <w:bCs w:val="0"/>
                <w:color w:val="auto"/>
              </w:rPr>
              <w:t>3.8.3废气</w:t>
            </w:r>
            <w:r>
              <w:rPr>
                <w:b/>
                <w:bCs w:val="0"/>
                <w:color w:val="auto"/>
              </w:rPr>
              <w:t>污染物</w:t>
            </w:r>
            <w:r>
              <w:rPr>
                <w:rFonts w:hint="eastAsia"/>
                <w:b/>
                <w:bCs w:val="0"/>
                <w:color w:val="auto"/>
              </w:rPr>
              <w:t>排放</w:t>
            </w:r>
            <w:r>
              <w:rPr>
                <w:b/>
                <w:bCs w:val="0"/>
                <w:color w:val="auto"/>
              </w:rPr>
              <w:t>总量控制指标</w:t>
            </w:r>
          </w:p>
          <w:p>
            <w:pPr>
              <w:pStyle w:val="97"/>
              <w:ind w:firstLine="480"/>
              <w:rPr>
                <w:color w:val="auto"/>
              </w:rPr>
            </w:pPr>
            <w:r>
              <w:rPr>
                <w:color w:val="auto"/>
              </w:rPr>
              <w:t>根据《福州市环境保护局关于印发福州市大气污染防联控联治工作方案的通知》榕环保综</w:t>
            </w:r>
            <w:r>
              <w:rPr>
                <w:rFonts w:hint="eastAsia"/>
                <w:color w:val="auto"/>
              </w:rPr>
              <w:t>〔</w:t>
            </w:r>
            <w:r>
              <w:rPr>
                <w:color w:val="auto"/>
              </w:rPr>
              <w:t>2018</w:t>
            </w:r>
            <w:r>
              <w:rPr>
                <w:rFonts w:hint="eastAsia"/>
                <w:color w:val="auto"/>
              </w:rPr>
              <w:t>〕</w:t>
            </w:r>
            <w:r>
              <w:rPr>
                <w:color w:val="auto"/>
              </w:rPr>
              <w:t>386号：VOCs排放实行区域内倍量替代（具体倍数按生态</w:t>
            </w:r>
            <w:r>
              <w:rPr>
                <w:rFonts w:hint="eastAsia"/>
                <w:color w:val="auto"/>
              </w:rPr>
              <w:t>主管部门</w:t>
            </w:r>
            <w:r>
              <w:rPr>
                <w:color w:val="auto"/>
              </w:rPr>
              <w:t>的要求进行调剂），新、改建涉VOCs排放项目，应从源头加强控制，使用低（无）VOCs含量的原辅材料，加强废气收集、安装高效治理设施。</w:t>
            </w:r>
          </w:p>
          <w:p>
            <w:pPr>
              <w:pStyle w:val="97"/>
              <w:ind w:firstLine="480"/>
              <w:rPr>
                <w:color w:val="auto"/>
                <w:highlight w:val="none"/>
              </w:rPr>
            </w:pPr>
            <w:r>
              <w:rPr>
                <w:rFonts w:hint="eastAsia"/>
                <w:color w:val="auto"/>
                <w:highlight w:val="none"/>
              </w:rPr>
              <w:t>扩建项目废气总量控制指标为VOCs，</w:t>
            </w:r>
            <w:r>
              <w:rPr>
                <w:color w:val="auto"/>
                <w:highlight w:val="none"/>
              </w:rPr>
              <w:t>根据污染源核算，</w:t>
            </w:r>
            <w:r>
              <w:rPr>
                <w:rFonts w:hint="eastAsia"/>
                <w:color w:val="auto"/>
                <w:highlight w:val="none"/>
              </w:rPr>
              <w:t>扩建</w:t>
            </w:r>
            <w:r>
              <w:rPr>
                <w:color w:val="auto"/>
                <w:highlight w:val="none"/>
              </w:rPr>
              <w:t>项目非甲烷总烃排放量</w:t>
            </w:r>
            <w:r>
              <w:rPr>
                <w:rFonts w:hint="eastAsia"/>
                <w:color w:val="auto"/>
                <w:highlight w:val="none"/>
              </w:rPr>
              <w:t>1.134</w:t>
            </w:r>
            <w:r>
              <w:rPr>
                <w:color w:val="auto"/>
                <w:highlight w:val="none"/>
              </w:rPr>
              <w:t>t/a（有组织排放量为</w:t>
            </w:r>
            <w:r>
              <w:rPr>
                <w:rFonts w:hint="eastAsia"/>
                <w:color w:val="auto"/>
                <w:highlight w:val="none"/>
              </w:rPr>
              <w:t>0.537</w:t>
            </w:r>
            <w:r>
              <w:rPr>
                <w:color w:val="auto"/>
                <w:highlight w:val="none"/>
              </w:rPr>
              <w:t>t/a+无组织排放量0.</w:t>
            </w:r>
            <w:r>
              <w:rPr>
                <w:rFonts w:hint="eastAsia"/>
                <w:color w:val="auto"/>
                <w:highlight w:val="none"/>
              </w:rPr>
              <w:t>597</w:t>
            </w:r>
            <w:r>
              <w:rPr>
                <w:color w:val="auto"/>
                <w:highlight w:val="none"/>
              </w:rPr>
              <w:t>t/a），由建设单位向生态环境主管部门申请区域削减替代。</w:t>
            </w:r>
            <w:r>
              <w:rPr>
                <w:rFonts w:hint="eastAsia"/>
                <w:color w:val="auto"/>
                <w:highlight w:val="none"/>
              </w:rPr>
              <w:t>废气污染物排放总量指标见下</w:t>
            </w:r>
            <w:r>
              <w:rPr>
                <w:rFonts w:hint="eastAsia"/>
                <w:b/>
                <w:bCs/>
                <w:color w:val="auto"/>
                <w:highlight w:val="none"/>
              </w:rPr>
              <w:t>表3.8-1</w:t>
            </w:r>
            <w:r>
              <w:rPr>
                <w:rFonts w:hint="eastAsia"/>
                <w:color w:val="auto"/>
                <w:highlight w:val="none"/>
              </w:rPr>
              <w:t>。</w:t>
            </w:r>
          </w:p>
          <w:p>
            <w:pPr>
              <w:pStyle w:val="95"/>
              <w:spacing w:line="240" w:lineRule="auto"/>
              <w:ind w:firstLine="482"/>
              <w:jc w:val="center"/>
              <w:rPr>
                <w:b/>
                <w:bCs/>
                <w:color w:val="auto"/>
                <w:szCs w:val="24"/>
                <w:highlight w:val="none"/>
              </w:rPr>
            </w:pPr>
            <w:r>
              <w:rPr>
                <w:rFonts w:hint="eastAsia"/>
                <w:b/>
                <w:bCs/>
                <w:color w:val="auto"/>
                <w:szCs w:val="24"/>
                <w:highlight w:val="none"/>
              </w:rPr>
              <w:t>表3.8-1  扩建项目废气污染物排放总量指标一览表</w:t>
            </w:r>
          </w:p>
          <w:tbl>
            <w:tblPr>
              <w:tblStyle w:val="179"/>
              <w:tblW w:w="8504"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419"/>
              <w:gridCol w:w="1567"/>
              <w:gridCol w:w="1582"/>
              <w:gridCol w:w="1860"/>
              <w:gridCol w:w="2076"/>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419" w:type="dxa"/>
                  <w:tcBorders>
                    <w:tl2br w:val="nil"/>
                    <w:tr2bl w:val="nil"/>
                  </w:tcBorders>
                  <w:vAlign w:val="center"/>
                </w:tcPr>
                <w:p>
                  <w:pPr>
                    <w:pStyle w:val="68"/>
                    <w:rPr>
                      <w:color w:val="auto"/>
                      <w:szCs w:val="21"/>
                      <w:highlight w:val="none"/>
                    </w:rPr>
                  </w:pPr>
                  <w:r>
                    <w:rPr>
                      <w:color w:val="auto"/>
                      <w:szCs w:val="21"/>
                      <w:highlight w:val="none"/>
                    </w:rPr>
                    <w:t>污染源</w:t>
                  </w:r>
                </w:p>
              </w:tc>
              <w:tc>
                <w:tcPr>
                  <w:tcW w:w="1567" w:type="dxa"/>
                  <w:tcBorders>
                    <w:tl2br w:val="nil"/>
                    <w:tr2bl w:val="nil"/>
                  </w:tcBorders>
                  <w:vAlign w:val="center"/>
                </w:tcPr>
                <w:p>
                  <w:pPr>
                    <w:pStyle w:val="68"/>
                    <w:rPr>
                      <w:color w:val="auto"/>
                      <w:szCs w:val="21"/>
                      <w:highlight w:val="none"/>
                    </w:rPr>
                  </w:pPr>
                  <w:r>
                    <w:rPr>
                      <w:color w:val="auto"/>
                      <w:szCs w:val="21"/>
                      <w:highlight w:val="none"/>
                    </w:rPr>
                    <w:t>污染物</w:t>
                  </w:r>
                </w:p>
              </w:tc>
              <w:tc>
                <w:tcPr>
                  <w:tcW w:w="1582" w:type="dxa"/>
                  <w:tcBorders>
                    <w:tl2br w:val="nil"/>
                    <w:tr2bl w:val="nil"/>
                  </w:tcBorders>
                  <w:vAlign w:val="center"/>
                </w:tcPr>
                <w:p>
                  <w:pPr>
                    <w:pStyle w:val="68"/>
                    <w:rPr>
                      <w:color w:val="auto"/>
                      <w:szCs w:val="21"/>
                      <w:highlight w:val="none"/>
                    </w:rPr>
                  </w:pPr>
                  <w:r>
                    <w:rPr>
                      <w:color w:val="auto"/>
                      <w:szCs w:val="21"/>
                      <w:highlight w:val="none"/>
                    </w:rPr>
                    <w:t>预测排放量</w:t>
                  </w:r>
                </w:p>
              </w:tc>
              <w:tc>
                <w:tcPr>
                  <w:tcW w:w="1860" w:type="dxa"/>
                  <w:tcBorders>
                    <w:tl2br w:val="nil"/>
                    <w:tr2bl w:val="nil"/>
                  </w:tcBorders>
                  <w:vAlign w:val="center"/>
                </w:tcPr>
                <w:p>
                  <w:pPr>
                    <w:pStyle w:val="68"/>
                    <w:rPr>
                      <w:color w:val="auto"/>
                      <w:szCs w:val="21"/>
                      <w:highlight w:val="none"/>
                    </w:rPr>
                  </w:pPr>
                  <w:r>
                    <w:rPr>
                      <w:color w:val="auto"/>
                      <w:szCs w:val="21"/>
                      <w:highlight w:val="none"/>
                    </w:rPr>
                    <w:t>总量核算指标</w:t>
                  </w:r>
                </w:p>
              </w:tc>
              <w:tc>
                <w:tcPr>
                  <w:tcW w:w="2076" w:type="dxa"/>
                  <w:tcBorders>
                    <w:tl2br w:val="nil"/>
                    <w:tr2bl w:val="nil"/>
                  </w:tcBorders>
                  <w:vAlign w:val="center"/>
                </w:tcPr>
                <w:p>
                  <w:pPr>
                    <w:pStyle w:val="68"/>
                    <w:rPr>
                      <w:color w:val="auto"/>
                      <w:szCs w:val="21"/>
                      <w:highlight w:val="none"/>
                    </w:rPr>
                  </w:pPr>
                  <w:r>
                    <w:rPr>
                      <w:color w:val="auto"/>
                      <w:szCs w:val="21"/>
                      <w:highlight w:val="none"/>
                    </w:rPr>
                    <w:t>总量来源</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419" w:type="dxa"/>
                  <w:tcBorders>
                    <w:tl2br w:val="nil"/>
                    <w:tr2bl w:val="nil"/>
                  </w:tcBorders>
                  <w:vAlign w:val="center"/>
                </w:tcPr>
                <w:p>
                  <w:pPr>
                    <w:pStyle w:val="68"/>
                    <w:rPr>
                      <w:color w:val="auto"/>
                      <w:szCs w:val="21"/>
                      <w:highlight w:val="none"/>
                    </w:rPr>
                  </w:pPr>
                  <w:r>
                    <w:rPr>
                      <w:color w:val="auto"/>
                      <w:szCs w:val="21"/>
                      <w:highlight w:val="none"/>
                    </w:rPr>
                    <w:t>废气</w:t>
                  </w:r>
                </w:p>
              </w:tc>
              <w:tc>
                <w:tcPr>
                  <w:tcW w:w="1567" w:type="dxa"/>
                  <w:tcBorders>
                    <w:tl2br w:val="nil"/>
                    <w:tr2bl w:val="nil"/>
                  </w:tcBorders>
                  <w:vAlign w:val="center"/>
                </w:tcPr>
                <w:p>
                  <w:pPr>
                    <w:pStyle w:val="68"/>
                    <w:rPr>
                      <w:color w:val="auto"/>
                      <w:szCs w:val="21"/>
                      <w:highlight w:val="none"/>
                    </w:rPr>
                  </w:pPr>
                  <w:r>
                    <w:rPr>
                      <w:color w:val="auto"/>
                      <w:szCs w:val="21"/>
                      <w:highlight w:val="none"/>
                    </w:rPr>
                    <w:t>非甲烷总烃</w:t>
                  </w:r>
                </w:p>
              </w:tc>
              <w:tc>
                <w:tcPr>
                  <w:tcW w:w="1582" w:type="dxa"/>
                  <w:tcBorders>
                    <w:tl2br w:val="nil"/>
                    <w:tr2bl w:val="nil"/>
                  </w:tcBorders>
                  <w:vAlign w:val="center"/>
                </w:tcPr>
                <w:p>
                  <w:pPr>
                    <w:pStyle w:val="68"/>
                    <w:rPr>
                      <w:color w:val="auto"/>
                      <w:szCs w:val="21"/>
                      <w:highlight w:val="none"/>
                    </w:rPr>
                  </w:pPr>
                  <w:r>
                    <w:rPr>
                      <w:rFonts w:hint="eastAsia"/>
                      <w:color w:val="auto"/>
                      <w:szCs w:val="21"/>
                      <w:highlight w:val="none"/>
                    </w:rPr>
                    <w:t>1.134</w:t>
                  </w:r>
                  <w:r>
                    <w:rPr>
                      <w:color w:val="auto"/>
                      <w:szCs w:val="21"/>
                      <w:highlight w:val="none"/>
                    </w:rPr>
                    <w:t>t/a</w:t>
                  </w:r>
                </w:p>
              </w:tc>
              <w:tc>
                <w:tcPr>
                  <w:tcW w:w="1860" w:type="dxa"/>
                  <w:tcBorders>
                    <w:tl2br w:val="nil"/>
                    <w:tr2bl w:val="nil"/>
                  </w:tcBorders>
                  <w:vAlign w:val="center"/>
                </w:tcPr>
                <w:p>
                  <w:pPr>
                    <w:pStyle w:val="68"/>
                    <w:rPr>
                      <w:color w:val="auto"/>
                      <w:szCs w:val="21"/>
                      <w:highlight w:val="none"/>
                    </w:rPr>
                  </w:pPr>
                  <w:r>
                    <w:rPr>
                      <w:rFonts w:hint="eastAsia"/>
                      <w:color w:val="auto"/>
                      <w:szCs w:val="21"/>
                      <w:highlight w:val="none"/>
                    </w:rPr>
                    <w:t>1.134</w:t>
                  </w:r>
                  <w:r>
                    <w:rPr>
                      <w:color w:val="auto"/>
                      <w:szCs w:val="21"/>
                      <w:highlight w:val="none"/>
                    </w:rPr>
                    <w:t>t/a</w:t>
                  </w:r>
                </w:p>
              </w:tc>
              <w:tc>
                <w:tcPr>
                  <w:tcW w:w="2076" w:type="dxa"/>
                  <w:tcBorders>
                    <w:tl2br w:val="nil"/>
                    <w:tr2bl w:val="nil"/>
                  </w:tcBorders>
                  <w:vAlign w:val="center"/>
                </w:tcPr>
                <w:p>
                  <w:pPr>
                    <w:pStyle w:val="68"/>
                    <w:rPr>
                      <w:color w:val="auto"/>
                      <w:szCs w:val="21"/>
                      <w:highlight w:val="none"/>
                    </w:rPr>
                  </w:pPr>
                  <w:r>
                    <w:rPr>
                      <w:color w:val="auto"/>
                      <w:szCs w:val="21"/>
                      <w:highlight w:val="none"/>
                    </w:rPr>
                    <w:t>由福州市长乐生态环境局</w:t>
                  </w:r>
                  <w:r>
                    <w:rPr>
                      <w:rFonts w:hint="eastAsia"/>
                      <w:color w:val="auto"/>
                      <w:szCs w:val="21"/>
                      <w:highlight w:val="none"/>
                    </w:rPr>
                    <w:t>进行倍量</w:t>
                  </w:r>
                  <w:r>
                    <w:rPr>
                      <w:color w:val="auto"/>
                      <w:szCs w:val="21"/>
                      <w:highlight w:val="none"/>
                    </w:rPr>
                    <w:t>调剂</w:t>
                  </w:r>
                </w:p>
              </w:tc>
            </w:tr>
          </w:tbl>
          <w:p>
            <w:pPr>
              <w:adjustRightInd w:val="0"/>
              <w:snapToGrid w:val="0"/>
              <w:spacing w:line="360" w:lineRule="auto"/>
              <w:ind w:firstLine="482"/>
              <w:rPr>
                <w:color w:val="auto"/>
                <w:sz w:val="24"/>
              </w:rPr>
            </w:pPr>
          </w:p>
        </w:tc>
      </w:tr>
    </w:tbl>
    <w:p>
      <w:pPr>
        <w:pStyle w:val="99"/>
        <w:rPr>
          <w:rFonts w:hint="eastAsia"/>
          <w:color w:val="auto"/>
        </w:rPr>
      </w:pPr>
      <w:r>
        <w:rPr>
          <w:color w:val="auto"/>
        </w:rPr>
        <w:br w:type="page"/>
      </w:r>
      <w:bookmarkStart w:id="20" w:name="_Toc6480"/>
      <w:r>
        <w:rPr>
          <w:color w:val="auto"/>
        </w:rPr>
        <w:t>四、主要环境影响和保护措施</w:t>
      </w:r>
      <w:bookmarkEnd w:id="20"/>
    </w:p>
    <w:tbl>
      <w:tblPr>
        <w:tblStyle w:val="36"/>
        <w:tblW w:w="89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38"/>
        <w:gridCol w:w="858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04" w:hRule="atLeast"/>
          <w:jc w:val="center"/>
        </w:trPr>
        <w:tc>
          <w:tcPr>
            <w:tcW w:w="338" w:type="dxa"/>
            <w:tcMar>
              <w:left w:w="28" w:type="dxa"/>
              <w:right w:w="28" w:type="dxa"/>
            </w:tcMar>
            <w:vAlign w:val="center"/>
          </w:tcPr>
          <w:p>
            <w:pPr>
              <w:pStyle w:val="33"/>
              <w:spacing w:before="0" w:beforeAutospacing="0" w:after="0" w:afterAutospacing="0" w:line="360" w:lineRule="auto"/>
              <w:jc w:val="center"/>
              <w:rPr>
                <w:rFonts w:ascii="Times New Roman" w:hAnsi="Times New Roman"/>
                <w:b/>
                <w:color w:val="auto"/>
                <w:kern w:val="2"/>
                <w:szCs w:val="24"/>
              </w:rPr>
            </w:pPr>
            <w:r>
              <w:rPr>
                <w:rFonts w:ascii="Times New Roman" w:hAnsi="Times New Roman"/>
                <w:b/>
                <w:color w:val="auto"/>
                <w:kern w:val="2"/>
                <w:szCs w:val="24"/>
              </w:rPr>
              <w:t>施</w:t>
            </w:r>
          </w:p>
          <w:p>
            <w:pPr>
              <w:pStyle w:val="33"/>
              <w:spacing w:before="0" w:beforeAutospacing="0" w:after="0" w:afterAutospacing="0" w:line="360" w:lineRule="auto"/>
              <w:jc w:val="center"/>
              <w:rPr>
                <w:rFonts w:ascii="Times New Roman" w:hAnsi="Times New Roman"/>
                <w:b/>
                <w:color w:val="auto"/>
                <w:kern w:val="2"/>
                <w:szCs w:val="24"/>
              </w:rPr>
            </w:pPr>
            <w:r>
              <w:rPr>
                <w:rFonts w:ascii="Times New Roman" w:hAnsi="Times New Roman"/>
                <w:b/>
                <w:color w:val="auto"/>
                <w:kern w:val="2"/>
                <w:szCs w:val="24"/>
              </w:rPr>
              <w:t>工</w:t>
            </w:r>
          </w:p>
          <w:p>
            <w:pPr>
              <w:pStyle w:val="33"/>
              <w:spacing w:before="0" w:beforeAutospacing="0" w:after="0" w:afterAutospacing="0" w:line="360" w:lineRule="auto"/>
              <w:jc w:val="center"/>
              <w:rPr>
                <w:rFonts w:ascii="Times New Roman" w:hAnsi="Times New Roman"/>
                <w:b/>
                <w:color w:val="auto"/>
                <w:kern w:val="2"/>
                <w:szCs w:val="24"/>
              </w:rPr>
            </w:pPr>
            <w:r>
              <w:rPr>
                <w:rFonts w:ascii="Times New Roman" w:hAnsi="Times New Roman"/>
                <w:b/>
                <w:color w:val="auto"/>
                <w:kern w:val="2"/>
                <w:szCs w:val="24"/>
              </w:rPr>
              <w:t>期</w:t>
            </w:r>
          </w:p>
          <w:p>
            <w:pPr>
              <w:pStyle w:val="33"/>
              <w:spacing w:before="0" w:beforeAutospacing="0" w:after="0" w:afterAutospacing="0" w:line="360" w:lineRule="auto"/>
              <w:jc w:val="center"/>
              <w:rPr>
                <w:rFonts w:ascii="Times New Roman" w:hAnsi="Times New Roman"/>
                <w:b/>
                <w:color w:val="auto"/>
                <w:kern w:val="2"/>
                <w:szCs w:val="24"/>
              </w:rPr>
            </w:pPr>
            <w:r>
              <w:rPr>
                <w:rFonts w:ascii="Times New Roman" w:hAnsi="Times New Roman"/>
                <w:b/>
                <w:color w:val="auto"/>
                <w:kern w:val="2"/>
                <w:szCs w:val="24"/>
              </w:rPr>
              <w:t>环</w:t>
            </w:r>
          </w:p>
          <w:p>
            <w:pPr>
              <w:pStyle w:val="33"/>
              <w:spacing w:before="0" w:beforeAutospacing="0" w:after="0" w:afterAutospacing="0" w:line="360" w:lineRule="auto"/>
              <w:jc w:val="center"/>
              <w:rPr>
                <w:rFonts w:ascii="Times New Roman" w:hAnsi="Times New Roman"/>
                <w:b/>
                <w:color w:val="auto"/>
                <w:kern w:val="2"/>
                <w:szCs w:val="24"/>
              </w:rPr>
            </w:pPr>
            <w:r>
              <w:rPr>
                <w:rFonts w:ascii="Times New Roman" w:hAnsi="Times New Roman"/>
                <w:b/>
                <w:color w:val="auto"/>
                <w:kern w:val="2"/>
                <w:szCs w:val="24"/>
              </w:rPr>
              <w:t>境</w:t>
            </w:r>
          </w:p>
          <w:p>
            <w:pPr>
              <w:pStyle w:val="33"/>
              <w:spacing w:before="0" w:beforeAutospacing="0" w:after="0" w:afterAutospacing="0" w:line="360" w:lineRule="auto"/>
              <w:jc w:val="center"/>
              <w:rPr>
                <w:rFonts w:ascii="Times New Roman" w:hAnsi="Times New Roman"/>
                <w:b/>
                <w:color w:val="auto"/>
                <w:kern w:val="2"/>
                <w:szCs w:val="24"/>
              </w:rPr>
            </w:pPr>
            <w:r>
              <w:rPr>
                <w:rFonts w:ascii="Times New Roman" w:hAnsi="Times New Roman"/>
                <w:b/>
                <w:color w:val="auto"/>
                <w:kern w:val="2"/>
                <w:szCs w:val="24"/>
              </w:rPr>
              <w:t>保</w:t>
            </w:r>
          </w:p>
          <w:p>
            <w:pPr>
              <w:pStyle w:val="33"/>
              <w:spacing w:before="0" w:beforeAutospacing="0" w:after="0" w:afterAutospacing="0" w:line="360" w:lineRule="auto"/>
              <w:jc w:val="center"/>
              <w:rPr>
                <w:rFonts w:ascii="Times New Roman" w:hAnsi="Times New Roman"/>
                <w:b/>
                <w:color w:val="auto"/>
                <w:kern w:val="2"/>
                <w:szCs w:val="24"/>
              </w:rPr>
            </w:pPr>
            <w:r>
              <w:rPr>
                <w:rFonts w:ascii="Times New Roman" w:hAnsi="Times New Roman"/>
                <w:b/>
                <w:color w:val="auto"/>
                <w:kern w:val="2"/>
                <w:szCs w:val="24"/>
              </w:rPr>
              <w:t>护</w:t>
            </w:r>
          </w:p>
          <w:p>
            <w:pPr>
              <w:pStyle w:val="33"/>
              <w:spacing w:before="0" w:beforeAutospacing="0" w:after="0" w:afterAutospacing="0" w:line="360" w:lineRule="auto"/>
              <w:jc w:val="center"/>
              <w:rPr>
                <w:rFonts w:ascii="Times New Roman" w:hAnsi="Times New Roman"/>
                <w:b/>
                <w:color w:val="auto"/>
                <w:kern w:val="2"/>
                <w:szCs w:val="24"/>
              </w:rPr>
            </w:pPr>
            <w:r>
              <w:rPr>
                <w:rFonts w:ascii="Times New Roman" w:hAnsi="Times New Roman"/>
                <w:b/>
                <w:color w:val="auto"/>
                <w:kern w:val="2"/>
                <w:szCs w:val="24"/>
              </w:rPr>
              <w:t>措</w:t>
            </w:r>
          </w:p>
          <w:p>
            <w:pPr>
              <w:pStyle w:val="33"/>
              <w:spacing w:before="0" w:beforeAutospacing="0" w:after="0" w:afterAutospacing="0" w:line="360" w:lineRule="auto"/>
              <w:jc w:val="center"/>
              <w:rPr>
                <w:rFonts w:ascii="Times New Roman" w:hAnsi="Times New Roman"/>
                <w:bCs/>
                <w:color w:val="auto"/>
                <w:kern w:val="2"/>
                <w:sz w:val="21"/>
                <w:szCs w:val="21"/>
              </w:rPr>
            </w:pPr>
            <w:r>
              <w:rPr>
                <w:rFonts w:ascii="Times New Roman" w:hAnsi="Times New Roman"/>
                <w:b/>
                <w:color w:val="auto"/>
                <w:kern w:val="2"/>
                <w:szCs w:val="24"/>
              </w:rPr>
              <w:t>施</w:t>
            </w:r>
          </w:p>
        </w:tc>
        <w:tc>
          <w:tcPr>
            <w:tcW w:w="8584" w:type="dxa"/>
            <w:vAlign w:val="center"/>
          </w:tcPr>
          <w:p>
            <w:pPr>
              <w:pStyle w:val="48"/>
              <w:ind w:firstLine="480"/>
              <w:jc w:val="both"/>
              <w:rPr>
                <w:color w:val="auto"/>
              </w:rPr>
            </w:pPr>
            <w:r>
              <w:rPr>
                <w:rFonts w:hint="eastAsia"/>
                <w:color w:val="auto"/>
              </w:rPr>
              <w:t>本项目选址于</w:t>
            </w:r>
            <w:r>
              <w:rPr>
                <w:color w:val="auto"/>
              </w:rPr>
              <w:t>福建省福州市长乐区漳港街道渡桥村</w:t>
            </w:r>
            <w:r>
              <w:rPr>
                <w:rFonts w:hint="eastAsia"/>
                <w:color w:val="auto"/>
              </w:rPr>
              <w:t>，</w:t>
            </w:r>
            <w:r>
              <w:rPr>
                <w:color w:val="auto"/>
              </w:rPr>
              <w:t>租赁福州市长乐区力驰针纺有限公司厂房面积10000m</w:t>
            </w:r>
            <w:r>
              <w:rPr>
                <w:color w:val="auto"/>
                <w:vertAlign w:val="superscript"/>
              </w:rPr>
              <w:t>2</w:t>
            </w:r>
            <w:r>
              <w:rPr>
                <w:rFonts w:hint="eastAsia"/>
                <w:color w:val="auto"/>
              </w:rPr>
              <w:t>，厂房已建成，施工期主要为设备安装、调试，且周边基本为工业企业，周期短，对周边环境影响很小，本次评价不对施工期展开分析。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69" w:hRule="atLeast"/>
          <w:jc w:val="center"/>
        </w:trPr>
        <w:tc>
          <w:tcPr>
            <w:tcW w:w="338" w:type="dxa"/>
            <w:tcMar>
              <w:left w:w="28" w:type="dxa"/>
              <w:right w:w="28" w:type="dxa"/>
            </w:tcMar>
            <w:vAlign w:val="center"/>
          </w:tcPr>
          <w:p>
            <w:pPr>
              <w:spacing w:line="360" w:lineRule="auto"/>
              <w:jc w:val="center"/>
              <w:rPr>
                <w:b/>
                <w:bCs/>
                <w:color w:val="auto"/>
                <w:sz w:val="24"/>
                <w:szCs w:val="21"/>
              </w:rPr>
            </w:pPr>
            <w:r>
              <w:rPr>
                <w:b/>
                <w:bCs/>
                <w:color w:val="auto"/>
                <w:sz w:val="24"/>
                <w:szCs w:val="21"/>
              </w:rPr>
              <w:t>运</w:t>
            </w:r>
          </w:p>
          <w:p>
            <w:pPr>
              <w:spacing w:line="360" w:lineRule="auto"/>
              <w:jc w:val="center"/>
              <w:rPr>
                <w:b/>
                <w:bCs/>
                <w:color w:val="auto"/>
                <w:sz w:val="24"/>
                <w:szCs w:val="21"/>
              </w:rPr>
            </w:pPr>
            <w:r>
              <w:rPr>
                <w:b/>
                <w:bCs/>
                <w:color w:val="auto"/>
                <w:sz w:val="24"/>
                <w:szCs w:val="21"/>
              </w:rPr>
              <w:t>营</w:t>
            </w:r>
          </w:p>
          <w:p>
            <w:pPr>
              <w:spacing w:line="360" w:lineRule="auto"/>
              <w:jc w:val="center"/>
              <w:rPr>
                <w:b/>
                <w:bCs/>
                <w:color w:val="auto"/>
                <w:sz w:val="24"/>
                <w:szCs w:val="21"/>
              </w:rPr>
            </w:pPr>
            <w:r>
              <w:rPr>
                <w:b/>
                <w:bCs/>
                <w:color w:val="auto"/>
                <w:sz w:val="24"/>
                <w:szCs w:val="21"/>
              </w:rPr>
              <w:t>期</w:t>
            </w:r>
          </w:p>
          <w:p>
            <w:pPr>
              <w:spacing w:line="360" w:lineRule="auto"/>
              <w:jc w:val="center"/>
              <w:rPr>
                <w:b/>
                <w:bCs/>
                <w:color w:val="auto"/>
                <w:sz w:val="24"/>
                <w:szCs w:val="21"/>
              </w:rPr>
            </w:pPr>
            <w:r>
              <w:rPr>
                <w:b/>
                <w:bCs/>
                <w:color w:val="auto"/>
                <w:sz w:val="24"/>
                <w:szCs w:val="21"/>
              </w:rPr>
              <w:t>环</w:t>
            </w:r>
          </w:p>
          <w:p>
            <w:pPr>
              <w:spacing w:line="360" w:lineRule="auto"/>
              <w:jc w:val="center"/>
              <w:rPr>
                <w:b/>
                <w:bCs/>
                <w:color w:val="auto"/>
                <w:sz w:val="24"/>
                <w:szCs w:val="21"/>
              </w:rPr>
            </w:pPr>
            <w:r>
              <w:rPr>
                <w:b/>
                <w:bCs/>
                <w:color w:val="auto"/>
                <w:sz w:val="24"/>
                <w:szCs w:val="21"/>
              </w:rPr>
              <w:t>境</w:t>
            </w:r>
          </w:p>
          <w:p>
            <w:pPr>
              <w:spacing w:line="360" w:lineRule="auto"/>
              <w:jc w:val="center"/>
              <w:rPr>
                <w:b/>
                <w:bCs/>
                <w:color w:val="auto"/>
                <w:sz w:val="24"/>
                <w:szCs w:val="21"/>
              </w:rPr>
            </w:pPr>
            <w:r>
              <w:rPr>
                <w:b/>
                <w:bCs/>
                <w:color w:val="auto"/>
                <w:sz w:val="24"/>
                <w:szCs w:val="21"/>
              </w:rPr>
              <w:t>影</w:t>
            </w:r>
          </w:p>
          <w:p>
            <w:pPr>
              <w:spacing w:line="360" w:lineRule="auto"/>
              <w:jc w:val="center"/>
              <w:rPr>
                <w:b/>
                <w:bCs/>
                <w:color w:val="auto"/>
                <w:sz w:val="24"/>
                <w:szCs w:val="21"/>
              </w:rPr>
            </w:pPr>
            <w:r>
              <w:rPr>
                <w:b/>
                <w:bCs/>
                <w:color w:val="auto"/>
                <w:sz w:val="24"/>
                <w:szCs w:val="21"/>
              </w:rPr>
              <w:t>响</w:t>
            </w:r>
          </w:p>
          <w:p>
            <w:pPr>
              <w:spacing w:line="360" w:lineRule="auto"/>
              <w:jc w:val="center"/>
              <w:rPr>
                <w:b/>
                <w:bCs/>
                <w:color w:val="auto"/>
                <w:sz w:val="24"/>
                <w:szCs w:val="21"/>
              </w:rPr>
            </w:pPr>
            <w:r>
              <w:rPr>
                <w:b/>
                <w:bCs/>
                <w:color w:val="auto"/>
                <w:sz w:val="24"/>
                <w:szCs w:val="21"/>
              </w:rPr>
              <w:t>和</w:t>
            </w:r>
          </w:p>
          <w:p>
            <w:pPr>
              <w:spacing w:line="360" w:lineRule="auto"/>
              <w:jc w:val="center"/>
              <w:rPr>
                <w:b/>
                <w:bCs/>
                <w:color w:val="auto"/>
                <w:sz w:val="24"/>
                <w:szCs w:val="21"/>
              </w:rPr>
            </w:pPr>
            <w:r>
              <w:rPr>
                <w:b/>
                <w:bCs/>
                <w:color w:val="auto"/>
                <w:sz w:val="24"/>
                <w:szCs w:val="21"/>
              </w:rPr>
              <w:t>保</w:t>
            </w:r>
          </w:p>
          <w:p>
            <w:pPr>
              <w:spacing w:line="360" w:lineRule="auto"/>
              <w:jc w:val="center"/>
              <w:rPr>
                <w:b/>
                <w:bCs/>
                <w:color w:val="auto"/>
                <w:sz w:val="24"/>
                <w:szCs w:val="21"/>
              </w:rPr>
            </w:pPr>
            <w:r>
              <w:rPr>
                <w:b/>
                <w:bCs/>
                <w:color w:val="auto"/>
                <w:sz w:val="24"/>
                <w:szCs w:val="21"/>
              </w:rPr>
              <w:t>护</w:t>
            </w:r>
          </w:p>
          <w:p>
            <w:pPr>
              <w:spacing w:line="360" w:lineRule="auto"/>
              <w:jc w:val="center"/>
              <w:rPr>
                <w:b/>
                <w:bCs/>
                <w:color w:val="auto"/>
                <w:sz w:val="24"/>
                <w:szCs w:val="21"/>
              </w:rPr>
            </w:pPr>
            <w:r>
              <w:rPr>
                <w:b/>
                <w:bCs/>
                <w:color w:val="auto"/>
                <w:sz w:val="24"/>
                <w:szCs w:val="21"/>
              </w:rPr>
              <w:t>措</w:t>
            </w:r>
          </w:p>
          <w:p>
            <w:pPr>
              <w:pStyle w:val="33"/>
              <w:spacing w:before="0" w:beforeAutospacing="0" w:after="0" w:afterAutospacing="0" w:line="360" w:lineRule="auto"/>
              <w:jc w:val="center"/>
              <w:rPr>
                <w:rFonts w:ascii="Times New Roman" w:hAnsi="Times New Roman"/>
                <w:b/>
                <w:color w:val="auto"/>
                <w:kern w:val="2"/>
                <w:szCs w:val="24"/>
              </w:rPr>
            </w:pPr>
            <w:r>
              <w:rPr>
                <w:b/>
                <w:bCs/>
                <w:color w:val="auto"/>
                <w:szCs w:val="21"/>
              </w:rPr>
              <w:t>施</w:t>
            </w:r>
          </w:p>
        </w:tc>
        <w:tc>
          <w:tcPr>
            <w:tcW w:w="8584" w:type="dxa"/>
          </w:tcPr>
          <w:p>
            <w:pPr>
              <w:pStyle w:val="116"/>
              <w:rPr>
                <w:rFonts w:eastAsia="宋体" w:cs="Times New Roman"/>
                <w:b/>
                <w:bCs w:val="0"/>
                <w:color w:val="auto"/>
                <w:sz w:val="30"/>
                <w:szCs w:val="30"/>
                <w:lang w:val="en-GB"/>
              </w:rPr>
            </w:pPr>
            <w:r>
              <w:rPr>
                <w:rFonts w:hint="eastAsia" w:eastAsia="宋体" w:cs="Times New Roman"/>
                <w:b/>
                <w:bCs w:val="0"/>
                <w:color w:val="auto"/>
                <w:sz w:val="30"/>
                <w:szCs w:val="30"/>
                <w:lang w:val="en-GB"/>
              </w:rPr>
              <w:t>4.</w:t>
            </w:r>
            <w:r>
              <w:rPr>
                <w:rFonts w:hint="eastAsia" w:eastAsia="宋体" w:cs="Times New Roman"/>
                <w:b/>
                <w:bCs w:val="0"/>
                <w:color w:val="auto"/>
                <w:sz w:val="30"/>
                <w:szCs w:val="30"/>
              </w:rPr>
              <w:t>1</w:t>
            </w:r>
            <w:r>
              <w:rPr>
                <w:rFonts w:hint="eastAsia" w:eastAsia="宋体" w:cs="Times New Roman"/>
                <w:b/>
                <w:bCs w:val="0"/>
                <w:color w:val="auto"/>
                <w:sz w:val="30"/>
                <w:szCs w:val="30"/>
                <w:lang w:val="en-GB"/>
              </w:rPr>
              <w:t>运营期大气环境影响分析及保护措施</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.1.1</w:t>
            </w:r>
            <w:r>
              <w:rPr>
                <w:rFonts w:hint="eastAsia" w:eastAsia="宋体" w:cs="Times New Roman"/>
                <w:b/>
                <w:bCs w:val="0"/>
                <w:color w:val="auto"/>
                <w:sz w:val="30"/>
                <w:szCs w:val="30"/>
                <w:lang w:val="en-GB"/>
              </w:rPr>
              <w:t>运营期</w:t>
            </w:r>
            <w:r>
              <w:rPr>
                <w:rFonts w:eastAsia="宋体" w:cs="Times New Roman"/>
                <w:b/>
                <w:bCs w:val="0"/>
                <w:color w:val="auto"/>
                <w:sz w:val="30"/>
                <w:szCs w:val="30"/>
                <w:lang w:val="en-GB"/>
              </w:rPr>
              <w:t>废气污染物</w:t>
            </w:r>
            <w:r>
              <w:rPr>
                <w:rFonts w:hint="eastAsia" w:eastAsia="宋体" w:cs="Times New Roman"/>
                <w:b/>
                <w:bCs w:val="0"/>
                <w:color w:val="auto"/>
                <w:sz w:val="30"/>
                <w:szCs w:val="30"/>
                <w:lang w:val="en-GB"/>
              </w:rPr>
              <w:t>源强核算</w:t>
            </w:r>
          </w:p>
          <w:p>
            <w:pPr>
              <w:pStyle w:val="103"/>
              <w:spacing w:after="0"/>
              <w:ind w:left="0" w:leftChars="0" w:firstLine="480"/>
              <w:rPr>
                <w:color w:val="auto"/>
              </w:rPr>
            </w:pPr>
            <w:r>
              <w:rPr>
                <w:rFonts w:hint="eastAsia"/>
                <w:color w:val="auto"/>
                <w:szCs w:val="24"/>
              </w:rPr>
              <w:t>根据工程分析，扩建项目废气主要来源于油墨调配、印刷及烘干、溶剂型粘合剂调配、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default" w:ascii="Times New Roman" w:hAnsi="Times New Roman" w:cs="Times New Roman"/>
                <w:color w:val="auto"/>
                <w:szCs w:val="24"/>
              </w:rPr>
              <w:t>复</w:t>
            </w:r>
            <w:r>
              <w:rPr>
                <w:rFonts w:hint="eastAsia"/>
                <w:color w:val="auto"/>
                <w:szCs w:val="24"/>
              </w:rPr>
              <w:t>合及烘干、熟化工序产生的有机废气</w:t>
            </w:r>
            <w:r>
              <w:rPr>
                <w:rFonts w:hint="eastAsia"/>
                <w:color w:val="auto"/>
              </w:rPr>
              <w:t>。</w:t>
            </w:r>
          </w:p>
          <w:p>
            <w:pPr>
              <w:pStyle w:val="103"/>
              <w:spacing w:after="0"/>
              <w:ind w:left="0" w:leftChars="0" w:firstLine="480"/>
              <w:rPr>
                <w:color w:val="auto"/>
              </w:rPr>
            </w:pPr>
            <w:r>
              <w:rPr>
                <w:rFonts w:hint="eastAsia"/>
                <w:color w:val="auto"/>
              </w:rPr>
              <w:t>扩建项目有机废气源强核算参照《污染源源强核算技术指南准则》（HJ884-2018）及《排污许可证申请与核发技术规范 印刷工业》（HJ1066-2019）、《印刷工业污染防治可行技术指南》（HJ1089-2020）等相关要求进行，扩建项目运营期废气源强核算如下：</w:t>
            </w:r>
          </w:p>
          <w:p>
            <w:pPr>
              <w:pStyle w:val="103"/>
              <w:spacing w:after="0"/>
              <w:ind w:left="0" w:leftChars="0" w:firstLine="480"/>
              <w:rPr>
                <w:color w:val="auto"/>
              </w:rPr>
            </w:pPr>
            <w:r>
              <w:rPr>
                <w:rFonts w:hint="eastAsia"/>
                <w:color w:val="auto"/>
              </w:rPr>
              <w:t>（1）油性油墨（含溶剂）挥发的有机废气</w:t>
            </w:r>
          </w:p>
          <w:p>
            <w:pPr>
              <w:pStyle w:val="103"/>
              <w:spacing w:after="0"/>
              <w:ind w:left="0" w:leftChars="0" w:firstLine="480"/>
              <w:rPr>
                <w:color w:val="auto"/>
              </w:rPr>
            </w:pPr>
            <w:r>
              <w:rPr>
                <w:color w:val="auto"/>
              </w:rPr>
              <w:t>扩建项目印刷工序使用油性油墨1t/a，调配稀释过程使用溶剂0.</w:t>
            </w:r>
            <w:r>
              <w:rPr>
                <w:rFonts w:hint="eastAsia"/>
                <w:color w:val="auto"/>
              </w:rPr>
              <w:t>7</w:t>
            </w:r>
            <w:r>
              <w:rPr>
                <w:color w:val="auto"/>
              </w:rPr>
              <w:t>6t/a（其中乙酸乙酯0.2</w:t>
            </w:r>
            <w:r>
              <w:rPr>
                <w:rFonts w:hint="eastAsia"/>
                <w:color w:val="auto"/>
              </w:rPr>
              <w:t>2</w:t>
            </w:r>
            <w:r>
              <w:rPr>
                <w:color w:val="auto"/>
              </w:rPr>
              <w:t>t/a、醋酸正丙酯0.</w:t>
            </w:r>
            <w:r>
              <w:rPr>
                <w:rFonts w:hint="eastAsia"/>
                <w:color w:val="auto"/>
              </w:rPr>
              <w:t>36</w:t>
            </w:r>
            <w:r>
              <w:rPr>
                <w:color w:val="auto"/>
              </w:rPr>
              <w:t>t/a、异丙醇0.</w:t>
            </w:r>
            <w:r>
              <w:rPr>
                <w:rFonts w:hint="eastAsia"/>
                <w:color w:val="auto"/>
              </w:rPr>
              <w:t>18</w:t>
            </w:r>
            <w:r>
              <w:rPr>
                <w:color w:val="auto"/>
              </w:rPr>
              <w:t>t/a），其油性油墨调配、印刷及烘干、熟化过程均会挥发有机废气。根据供应商提供的油性油墨挥发性有机物含量的检测报告（见附件1</w:t>
            </w:r>
            <w:r>
              <w:rPr>
                <w:rFonts w:hint="eastAsia"/>
                <w:color w:val="auto"/>
              </w:rPr>
              <w:t>2</w:t>
            </w:r>
            <w:r>
              <w:rPr>
                <w:color w:val="auto"/>
              </w:rPr>
              <w:t>），其油性油墨挥发性有机物含量分别为48%和59.7%，本评价以最不利影响分析，按油性油墨最大挥发性有机物含量全部挥发，调配使用的溶剂全部挥发，预测项目油性油墨调配、印刷及烘干、熟化产生的有机废气（以非甲烷总烃计）为1×59.7%+0.</w:t>
            </w:r>
            <w:r>
              <w:rPr>
                <w:rFonts w:hint="eastAsia"/>
                <w:color w:val="auto"/>
              </w:rPr>
              <w:t>7</w:t>
            </w:r>
            <w:r>
              <w:rPr>
                <w:color w:val="auto"/>
              </w:rPr>
              <w:t>6=1.</w:t>
            </w:r>
            <w:r>
              <w:rPr>
                <w:rFonts w:hint="eastAsia"/>
                <w:color w:val="auto"/>
              </w:rPr>
              <w:t>3</w:t>
            </w:r>
            <w:r>
              <w:rPr>
                <w:color w:val="auto"/>
              </w:rPr>
              <w:t>57t/a。</w:t>
            </w:r>
          </w:p>
          <w:p>
            <w:pPr>
              <w:pStyle w:val="103"/>
              <w:spacing w:after="0"/>
              <w:ind w:left="0" w:leftChars="0" w:firstLine="480"/>
              <w:rPr>
                <w:color w:val="auto"/>
              </w:rPr>
            </w:pPr>
            <w:r>
              <w:rPr>
                <w:rFonts w:hint="eastAsia"/>
                <w:color w:val="auto"/>
              </w:rPr>
              <w:t>（2）水性油墨（含溶剂）挥发的有机废气</w:t>
            </w:r>
          </w:p>
          <w:p>
            <w:pPr>
              <w:pStyle w:val="103"/>
              <w:spacing w:after="0"/>
              <w:ind w:left="0" w:leftChars="0" w:firstLine="480"/>
              <w:rPr>
                <w:color w:val="auto"/>
              </w:rPr>
            </w:pPr>
            <w:r>
              <w:rPr>
                <w:rFonts w:hint="eastAsia"/>
                <w:color w:val="auto"/>
              </w:rPr>
              <w:t>扩建项目印刷工序使用水性油墨8t/a，</w:t>
            </w:r>
            <w:r>
              <w:rPr>
                <w:color w:val="auto"/>
              </w:rPr>
              <w:t>调配稀释过程使用</w:t>
            </w:r>
            <w:r>
              <w:rPr>
                <w:rFonts w:hint="eastAsia"/>
                <w:color w:val="auto"/>
              </w:rPr>
              <w:t>乙醇</w:t>
            </w:r>
            <w:r>
              <w:rPr>
                <w:color w:val="auto"/>
              </w:rPr>
              <w:t>溶剂</w:t>
            </w:r>
            <w:r>
              <w:rPr>
                <w:rFonts w:hint="eastAsia"/>
                <w:color w:val="auto"/>
              </w:rPr>
              <w:t>1.8</w:t>
            </w:r>
            <w:r>
              <w:rPr>
                <w:color w:val="auto"/>
              </w:rPr>
              <w:t>t/a</w:t>
            </w:r>
            <w:r>
              <w:rPr>
                <w:rFonts w:hint="eastAsia"/>
                <w:color w:val="auto"/>
              </w:rPr>
              <w:t>，其水性油墨在调配、印刷及烘干、熟化过程均会挥发有机废气。根据供应商提供的水性油墨挥发性有机物含量的检测报告（见附件12），其水性油墨挥发性有机物含量为22%，本评价以最不利影响分析，按水性油墨挥发性有机物含量全部挥发，</w:t>
            </w:r>
            <w:r>
              <w:rPr>
                <w:color w:val="auto"/>
              </w:rPr>
              <w:t>调配使用的溶剂全部挥发，</w:t>
            </w:r>
            <w:r>
              <w:rPr>
                <w:rFonts w:hint="eastAsia"/>
                <w:color w:val="auto"/>
              </w:rPr>
              <w:t>预测项目水性油墨调配、印刷及烘干、熟化产生的有机废气（以非甲烷总烃计）为8</w:t>
            </w:r>
            <w:r>
              <w:rPr>
                <w:rFonts w:ascii="Arial" w:hAnsi="Arial" w:cs="Arial"/>
                <w:color w:val="auto"/>
              </w:rPr>
              <w:t>×</w:t>
            </w:r>
            <w:r>
              <w:rPr>
                <w:rFonts w:hint="eastAsia"/>
                <w:color w:val="auto"/>
              </w:rPr>
              <w:t>22%+1.8=3.56t/a。</w:t>
            </w:r>
          </w:p>
          <w:p>
            <w:pPr>
              <w:pStyle w:val="103"/>
              <w:spacing w:after="0"/>
              <w:ind w:left="0" w:leftChars="0" w:firstLine="480"/>
              <w:rPr>
                <w:color w:val="auto"/>
              </w:rPr>
            </w:pPr>
            <w:r>
              <w:rPr>
                <w:rFonts w:hint="eastAsia"/>
                <w:color w:val="auto"/>
              </w:rPr>
              <w:t>（3）粘合剂挥发的有机废气</w:t>
            </w:r>
          </w:p>
          <w:p>
            <w:pPr>
              <w:pStyle w:val="103"/>
              <w:spacing w:after="0"/>
              <w:ind w:left="0" w:leftChars="0" w:firstLine="480"/>
              <w:rPr>
                <w:color w:val="auto"/>
              </w:rPr>
            </w:pPr>
            <w:r>
              <w:rPr>
                <w:rFonts w:hint="eastAsia"/>
                <w:color w:val="auto"/>
              </w:rPr>
              <w:fldChar w:fldCharType="begin"/>
            </w:r>
            <w:r>
              <w:rPr>
                <w:rFonts w:hint="eastAsia"/>
                <w:color w:val="auto"/>
              </w:rPr>
              <w:instrText xml:space="preserve"> = 1 \* GB3 \* MERGEFORMAT </w:instrText>
            </w:r>
            <w:r>
              <w:rPr>
                <w:rFonts w:hint="eastAsia"/>
                <w:color w:val="auto"/>
              </w:rPr>
              <w:fldChar w:fldCharType="separate"/>
            </w:r>
            <w:r>
              <w:rPr>
                <w:color w:val="auto"/>
              </w:rPr>
              <w:t>①</w:t>
            </w:r>
            <w:r>
              <w:rPr>
                <w:rFonts w:hint="eastAsia"/>
                <w:color w:val="auto"/>
              </w:rPr>
              <w:fldChar w:fldCharType="end"/>
            </w:r>
            <w:r>
              <w:rPr>
                <w:rFonts w:hint="eastAsia"/>
                <w:color w:val="auto"/>
              </w:rPr>
              <w:t>扩建项目复合工序使用酯溶型聚氨酯粘合剂1t/a，</w:t>
            </w:r>
            <w:r>
              <w:rPr>
                <w:color w:val="auto"/>
              </w:rPr>
              <w:t>调配稀释过程使用</w:t>
            </w:r>
            <w:r>
              <w:rPr>
                <w:rFonts w:hint="eastAsia"/>
                <w:color w:val="auto"/>
              </w:rPr>
              <w:t>乙酸乙酯</w:t>
            </w:r>
            <w:r>
              <w:rPr>
                <w:color w:val="auto"/>
              </w:rPr>
              <w:t>溶剂</w:t>
            </w:r>
            <w:r>
              <w:rPr>
                <w:rFonts w:hint="eastAsia"/>
                <w:color w:val="auto"/>
              </w:rPr>
              <w:t>0.5</w:t>
            </w:r>
            <w:r>
              <w:rPr>
                <w:color w:val="auto"/>
              </w:rPr>
              <w:t>t/a</w:t>
            </w:r>
            <w:r>
              <w:rPr>
                <w:rFonts w:hint="eastAsia"/>
                <w:color w:val="auto"/>
              </w:rPr>
              <w:t>，其酯溶型聚氨酯粘合剂在调配、复合及烘干、熟化过程均会挥发有机废气。根据供应商提供的酯溶型聚氨酯粘合剂MSDS（见附件12）主要成分组成，其中</w:t>
            </w:r>
            <w:r>
              <w:rPr>
                <w:color w:val="auto"/>
                <w:szCs w:val="24"/>
              </w:rPr>
              <w:t>聚酯多元醇50-75%，乙酸乙酯25-50%</w:t>
            </w:r>
            <w:r>
              <w:rPr>
                <w:rFonts w:hint="eastAsia"/>
                <w:color w:val="auto"/>
                <w:szCs w:val="24"/>
              </w:rPr>
              <w:t>，</w:t>
            </w:r>
            <w:r>
              <w:rPr>
                <w:rFonts w:hint="eastAsia"/>
                <w:color w:val="auto"/>
              </w:rPr>
              <w:t>本评价以最不利影响分析，按粘合剂最大挥发性有机物含量（</w:t>
            </w:r>
            <w:r>
              <w:rPr>
                <w:color w:val="auto"/>
                <w:szCs w:val="24"/>
              </w:rPr>
              <w:t>乙酸乙酯</w:t>
            </w:r>
            <w:r>
              <w:rPr>
                <w:rFonts w:hint="eastAsia"/>
                <w:color w:val="auto"/>
                <w:szCs w:val="24"/>
              </w:rPr>
              <w:t>：</w:t>
            </w:r>
            <w:r>
              <w:rPr>
                <w:color w:val="auto"/>
                <w:szCs w:val="24"/>
              </w:rPr>
              <w:t>50%</w:t>
            </w:r>
            <w:r>
              <w:rPr>
                <w:rFonts w:hint="eastAsia"/>
                <w:color w:val="auto"/>
              </w:rPr>
              <w:t>）全部挥发，</w:t>
            </w:r>
            <w:r>
              <w:rPr>
                <w:color w:val="auto"/>
              </w:rPr>
              <w:t>调配使用的溶剂全部挥发，</w:t>
            </w:r>
            <w:r>
              <w:rPr>
                <w:rFonts w:hint="eastAsia"/>
                <w:color w:val="auto"/>
              </w:rPr>
              <w:t>预测项目酯溶型聚氨酯粘合剂调配、复合及烘干、熟化产生的有机废气</w:t>
            </w:r>
            <w:r>
              <w:rPr>
                <w:color w:val="auto"/>
              </w:rPr>
              <w:t>（以非甲烷总烃计）为1×50%+0.5=1t/a。</w:t>
            </w:r>
          </w:p>
          <w:p>
            <w:pPr>
              <w:pStyle w:val="103"/>
              <w:spacing w:after="0"/>
              <w:ind w:left="0" w:leftChars="0" w:firstLine="480"/>
              <w:rPr>
                <w:color w:val="auto"/>
              </w:rPr>
            </w:pPr>
            <w:r>
              <w:rPr>
                <w:color w:val="auto"/>
              </w:rPr>
              <w:t>②扩建项目复合工序使用无溶剂聚氨酯粘合剂50t/a，无需使用溶剂调配，其无溶剂聚氨酯粘合剂在复合及烘干、熟化过程均会挥发有机废气。根据供应商提供的无溶剂聚氨酯粘合剂挥发性有机物含量的检测报告（见附件1</w:t>
            </w:r>
            <w:r>
              <w:rPr>
                <w:rFonts w:hint="eastAsia"/>
                <w:color w:val="auto"/>
              </w:rPr>
              <w:t>2</w:t>
            </w:r>
            <w:r>
              <w:rPr>
                <w:color w:val="auto"/>
              </w:rPr>
              <w:t>），其挥发性有机物含量为1g/kg，本评价以最不利影响分析，按无溶剂聚氨酯粘合剂最大挥发性有机物含量全部挥发，预测项目无溶剂聚氨酯粘合剂复合及烘干、熟化产生的有机废气（以非甲烷总烃计）为50×0.001=0.05t/a。</w:t>
            </w:r>
          </w:p>
          <w:p>
            <w:pPr>
              <w:pStyle w:val="103"/>
              <w:spacing w:after="0"/>
              <w:ind w:left="0" w:leftChars="0" w:firstLine="480"/>
              <w:rPr>
                <w:rFonts w:hint="eastAsia"/>
                <w:color w:val="auto"/>
                <w:lang w:eastAsia="zh-CN"/>
              </w:rPr>
            </w:pPr>
            <w:r>
              <w:rPr>
                <w:rFonts w:hint="eastAsia"/>
                <w:color w:val="auto"/>
              </w:rPr>
              <w:t>综上分析，扩建项目油墨调配、印刷及烘干、酯溶型聚氨酯粘合剂调配、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eastAsia"/>
                <w:color w:val="auto"/>
              </w:rPr>
              <w:t>复合及烘干、熟化过程产生</w:t>
            </w:r>
            <w:r>
              <w:rPr>
                <w:rFonts w:hint="eastAsia"/>
                <w:color w:val="auto"/>
                <w:lang w:val="en-US" w:eastAsia="zh-CN"/>
              </w:rPr>
              <w:t>有</w:t>
            </w:r>
            <w:r>
              <w:rPr>
                <w:rFonts w:hint="eastAsia"/>
                <w:color w:val="auto"/>
              </w:rPr>
              <w:t>机废气（以非甲烷总烃计）为1.357t/a+3.56t/a+1t/a+0.05t/a=5.967t/a。油墨调配、印刷及烘干、酯溶型聚氨酯粘合剂调配、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eastAsia"/>
                <w:color w:val="auto"/>
              </w:rPr>
              <w:t>复合及烘干、熟化拟设置密闭空间，密闭空间约5440m</w:t>
            </w:r>
            <w:r>
              <w:rPr>
                <w:rFonts w:hint="eastAsia"/>
                <w:color w:val="auto"/>
                <w:vertAlign w:val="superscript"/>
              </w:rPr>
              <w:t>3</w:t>
            </w:r>
            <w:r>
              <w:rPr>
                <w:rFonts w:hint="eastAsia"/>
                <w:color w:val="auto"/>
              </w:rPr>
              <w:t>（长度68m、宽度16m、高度5m），密闭微负压收集产生的废气，本评价取换气次数为8次/h，则密闭</w:t>
            </w:r>
            <w:r>
              <w:rPr>
                <w:rFonts w:hint="eastAsia"/>
                <w:color w:val="auto"/>
                <w:lang w:val="en-US" w:eastAsia="zh-CN"/>
              </w:rPr>
              <w:t>空间</w:t>
            </w:r>
            <w:r>
              <w:rPr>
                <w:rFonts w:hint="eastAsia"/>
                <w:color w:val="auto"/>
              </w:rPr>
              <w:t>送风量为43520m³/h，根据《简明通风设计手册》（孙一坚主编，中国建筑工业出版社，1997），一般送风量需为排风量的80~90%，本项目取90%，则密闭空间需要的抽风量为48356m³/h，考虑管道等风量损失，本项目拟设计风量50000</w:t>
            </w:r>
            <w:r>
              <w:rPr>
                <w:color w:val="auto"/>
              </w:rPr>
              <w:t>m³/h，收集的有机废气经“</w:t>
            </w:r>
            <w:r>
              <w:rPr>
                <w:rFonts w:hint="eastAsia"/>
                <w:color w:val="auto"/>
                <w:lang w:val="en-US" w:eastAsia="zh-CN"/>
              </w:rPr>
              <w:t>水喷淋塔+</w:t>
            </w:r>
            <w:r>
              <w:rPr>
                <w:color w:val="auto"/>
              </w:rPr>
              <w:t>二级</w:t>
            </w:r>
            <w:r>
              <w:rPr>
                <w:rFonts w:hint="eastAsia"/>
                <w:color w:val="auto"/>
                <w:lang w:eastAsia="zh-CN"/>
              </w:rPr>
              <w:t>颗粒</w:t>
            </w:r>
            <w:r>
              <w:rPr>
                <w:color w:val="auto"/>
              </w:rPr>
              <w:t>活性炭吸附装置”处理后通过1根23m排气筒（DA001）排放</w:t>
            </w:r>
            <w:r>
              <w:rPr>
                <w:rFonts w:hint="eastAsia"/>
                <w:color w:val="auto"/>
                <w:lang w:eastAsia="zh-CN"/>
              </w:rPr>
              <w:t>。</w:t>
            </w:r>
          </w:p>
          <w:p>
            <w:pPr>
              <w:pStyle w:val="103"/>
              <w:spacing w:after="0"/>
              <w:ind w:left="0" w:leftChars="0" w:firstLine="480"/>
              <w:rPr>
                <w:rStyle w:val="200"/>
                <w:rFonts w:hint="default" w:ascii="Times New Roman" w:hAnsi="Times New Roman"/>
                <w:color w:val="auto"/>
                <w:lang w:val="en-US" w:eastAsia="zh-CN"/>
              </w:rPr>
            </w:pPr>
            <w:r>
              <w:rPr>
                <w:rFonts w:hint="eastAsia"/>
                <w:color w:val="auto"/>
                <w:sz w:val="24"/>
                <w:lang w:val="en-US" w:eastAsia="zh-CN"/>
              </w:rPr>
              <w:t>参考</w:t>
            </w:r>
            <w:r>
              <w:rPr>
                <w:rFonts w:hint="default" w:ascii="Times New Roman" w:hAnsi="Times New Roman" w:cs="Times New Roman"/>
                <w:bCs/>
                <w:color w:val="auto"/>
                <w:sz w:val="24"/>
                <w:szCs w:val="20"/>
                <w:highlight w:val="none"/>
                <w:lang w:eastAsia="zh-CN"/>
              </w:rPr>
              <w:t>生态环境部办公厅关于印发</w:t>
            </w:r>
            <w:r>
              <w:rPr>
                <w:rFonts w:hint="eastAsia" w:cs="Times New Roman"/>
                <w:bCs/>
                <w:color w:val="auto"/>
                <w:sz w:val="24"/>
                <w:szCs w:val="20"/>
                <w:highlight w:val="none"/>
                <w:lang w:val="en-US" w:eastAsia="zh-CN"/>
              </w:rPr>
              <w:t>《主要污染物总量减排核算技术指南（2022年修订）》的通知（环办综合函〔2022〕350号）表2-3，</w:t>
            </w:r>
            <w:r>
              <w:rPr>
                <w:rFonts w:hint="eastAsia" w:ascii="Times New Roman" w:hAnsi="Times New Roman" w:cs="Times New Roman"/>
                <w:bCs/>
                <w:color w:val="auto"/>
                <w:sz w:val="24"/>
                <w:szCs w:val="24"/>
                <w:lang w:val="en-US" w:eastAsia="zh-CN"/>
              </w:rPr>
              <w:t>密闭空间负压收集</w:t>
            </w:r>
            <w:r>
              <w:rPr>
                <w:rFonts w:hint="default" w:ascii="Times New Roman" w:hAnsi="Times New Roman" w:cs="Times New Roman"/>
                <w:bCs/>
                <w:color w:val="auto"/>
                <w:sz w:val="24"/>
                <w:szCs w:val="24"/>
              </w:rPr>
              <w:t>效率</w:t>
            </w:r>
            <w:r>
              <w:rPr>
                <w:rFonts w:hint="eastAsia" w:ascii="Times New Roman" w:hAnsi="Times New Roman" w:cs="Times New Roman"/>
                <w:bCs/>
                <w:color w:val="auto"/>
                <w:sz w:val="24"/>
                <w:szCs w:val="24"/>
                <w:lang w:val="en-US" w:eastAsia="zh-CN"/>
              </w:rPr>
              <w:t>按90</w:t>
            </w:r>
            <w:r>
              <w:rPr>
                <w:rFonts w:hint="default" w:ascii="Times New Roman" w:hAnsi="Times New Roman" w:cs="Times New Roman"/>
                <w:bCs/>
                <w:color w:val="auto"/>
                <w:sz w:val="24"/>
                <w:szCs w:val="24"/>
              </w:rPr>
              <w:t>%</w:t>
            </w:r>
            <w:r>
              <w:rPr>
                <w:rFonts w:hint="eastAsia" w:ascii="Times New Roman" w:hAnsi="Times New Roman" w:cs="Times New Roman"/>
                <w:bCs/>
                <w:color w:val="auto"/>
                <w:sz w:val="24"/>
                <w:szCs w:val="24"/>
                <w:lang w:val="en-US" w:eastAsia="zh-CN"/>
              </w:rPr>
              <w:t>计</w:t>
            </w:r>
            <w:r>
              <w:rPr>
                <w:rFonts w:hint="eastAsia"/>
                <w:color w:val="auto"/>
                <w:sz w:val="24"/>
              </w:rPr>
              <w:t>，</w:t>
            </w:r>
            <w:r>
              <w:rPr>
                <w:rFonts w:hint="eastAsia"/>
                <w:bCs/>
                <w:color w:val="auto"/>
                <w:sz w:val="24"/>
                <w:szCs w:val="20"/>
                <w:lang w:val="en-US" w:eastAsia="zh-CN"/>
              </w:rPr>
              <w:t>本项目属于微负压密闭空间，收集效率取90%，</w:t>
            </w:r>
            <w:r>
              <w:rPr>
                <w:rFonts w:hint="eastAsia" w:cs="Times New Roman"/>
                <w:bCs/>
                <w:color w:val="auto"/>
                <w:sz w:val="24"/>
                <w:szCs w:val="20"/>
                <w:highlight w:val="none"/>
                <w:lang w:val="en-US" w:eastAsia="zh-CN"/>
              </w:rPr>
              <w:t>有机废气采取喷淋吸收，非水溶性有机废气处理效率为10%，水溶性有机废气处理效率为30%（见下图4.1-1），本项目有机废气有水溶性的（占比约70%）和非水溶性的（占比约30%），处理效率保守取值按12%计；参考</w:t>
            </w:r>
            <w:r>
              <w:rPr>
                <w:rStyle w:val="200"/>
                <w:rFonts w:ascii="Times New Roman" w:hAnsi="Times New Roman"/>
                <w:color w:val="auto"/>
                <w:lang w:eastAsia="zh-CN"/>
              </w:rPr>
              <w:t>《厦门市工业源VOCs治理技术及区域性治理效果评估》</w:t>
            </w:r>
            <w:r>
              <w:rPr>
                <w:rStyle w:val="200"/>
                <w:rFonts w:hint="eastAsia" w:ascii="Times New Roman" w:hAnsi="Times New Roman"/>
                <w:color w:val="auto"/>
                <w:lang w:eastAsia="zh-CN"/>
              </w:rPr>
              <w:t>（</w:t>
            </w:r>
            <w:r>
              <w:rPr>
                <w:rFonts w:hint="eastAsia" w:cs="Times New Roman"/>
                <w:bCs/>
                <w:color w:val="auto"/>
                <w:sz w:val="24"/>
                <w:szCs w:val="20"/>
                <w:highlight w:val="none"/>
                <w:lang w:val="en-US" w:eastAsia="zh-CN"/>
              </w:rPr>
              <w:t xml:space="preserve">环境工程学报 </w:t>
            </w:r>
            <w:r>
              <w:rPr>
                <w:rStyle w:val="200"/>
                <w:rFonts w:hint="eastAsia" w:ascii="Times New Roman" w:hAnsi="Times New Roman"/>
                <w:color w:val="auto"/>
                <w:lang w:val="en-US" w:eastAsia="zh-CN"/>
              </w:rPr>
              <w:t>第15卷 第6期 2021年6月，网址：https://www.doc88.com/p-48739025970549.html</w:t>
            </w:r>
            <w:r>
              <w:rPr>
                <w:rStyle w:val="200"/>
                <w:rFonts w:hint="eastAsia" w:ascii="Times New Roman" w:hAnsi="Times New Roman"/>
                <w:color w:val="auto"/>
                <w:lang w:eastAsia="zh-CN"/>
              </w:rPr>
              <w:t>）</w:t>
            </w:r>
            <w:r>
              <w:rPr>
                <w:rStyle w:val="200"/>
                <w:rFonts w:ascii="Times New Roman" w:hAnsi="Times New Roman"/>
                <w:color w:val="auto"/>
                <w:lang w:eastAsia="zh-CN"/>
              </w:rPr>
              <w:t>表</w:t>
            </w:r>
            <w:r>
              <w:rPr>
                <w:rStyle w:val="200"/>
                <w:rFonts w:hint="eastAsia"/>
                <w:color w:val="auto"/>
                <w:lang w:val="en-US" w:eastAsia="zh-CN"/>
              </w:rPr>
              <w:t>2</w:t>
            </w:r>
            <w:r>
              <w:rPr>
                <w:rStyle w:val="200"/>
                <w:rFonts w:hint="eastAsia" w:ascii="Times New Roman" w:hAnsi="Times New Roman"/>
                <w:color w:val="auto"/>
                <w:lang w:val="en-US" w:eastAsia="zh-CN"/>
              </w:rPr>
              <w:t xml:space="preserve"> 不同</w:t>
            </w:r>
            <w:r>
              <w:rPr>
                <w:rStyle w:val="200"/>
                <w:rFonts w:hint="eastAsia"/>
                <w:color w:val="auto"/>
                <w:lang w:val="en-US" w:eastAsia="zh-CN"/>
              </w:rPr>
              <w:t>处理工艺在各行业的处理效果</w:t>
            </w:r>
            <w:r>
              <w:rPr>
                <w:rStyle w:val="200"/>
                <w:rFonts w:ascii="Times New Roman" w:hAnsi="Times New Roman"/>
                <w:color w:val="auto"/>
                <w:lang w:eastAsia="zh-CN"/>
              </w:rPr>
              <w:t>，</w:t>
            </w:r>
            <w:r>
              <w:rPr>
                <w:rStyle w:val="200"/>
                <w:rFonts w:hint="eastAsia"/>
                <w:color w:val="auto"/>
                <w:lang w:val="en-US" w:eastAsia="zh-CN"/>
              </w:rPr>
              <w:t>其中活性炭吸附在印刷行业的平均处理效率</w:t>
            </w:r>
            <w:r>
              <w:rPr>
                <w:rStyle w:val="200"/>
                <w:rFonts w:ascii="Times New Roman" w:hAnsi="Times New Roman"/>
                <w:color w:val="auto"/>
                <w:lang w:eastAsia="zh-CN"/>
              </w:rPr>
              <w:t>为</w:t>
            </w:r>
            <w:r>
              <w:rPr>
                <w:rStyle w:val="200"/>
                <w:rFonts w:hint="eastAsia"/>
                <w:color w:val="auto"/>
                <w:lang w:val="en-US" w:eastAsia="zh-CN"/>
              </w:rPr>
              <w:t>83</w:t>
            </w:r>
            <w:r>
              <w:rPr>
                <w:rStyle w:val="200"/>
                <w:rFonts w:ascii="Times New Roman" w:hAnsi="Times New Roman"/>
                <w:color w:val="auto"/>
                <w:lang w:eastAsia="zh-CN"/>
              </w:rPr>
              <w:t>%</w:t>
            </w:r>
            <w:r>
              <w:rPr>
                <w:rStyle w:val="200"/>
                <w:rFonts w:hint="eastAsia"/>
                <w:color w:val="auto"/>
                <w:lang w:val="en-US" w:eastAsia="zh-CN"/>
              </w:rPr>
              <w:t>(见下图4.1-2）</w:t>
            </w:r>
            <w:r>
              <w:rPr>
                <w:rStyle w:val="200"/>
                <w:rFonts w:hint="eastAsia" w:ascii="Times New Roman" w:hAnsi="Times New Roman"/>
                <w:color w:val="auto"/>
                <w:lang w:eastAsia="zh-CN"/>
              </w:rPr>
              <w:t>，</w:t>
            </w:r>
            <w:r>
              <w:rPr>
                <w:rStyle w:val="200"/>
                <w:rFonts w:hint="eastAsia" w:ascii="Times New Roman" w:hAnsi="Times New Roman"/>
                <w:color w:val="auto"/>
                <w:lang w:val="en-US" w:eastAsia="zh-CN"/>
              </w:rPr>
              <w:t>本次扩建项目一级</w:t>
            </w:r>
            <w:r>
              <w:rPr>
                <w:rStyle w:val="200"/>
                <w:rFonts w:ascii="Times New Roman" w:hAnsi="Times New Roman"/>
                <w:color w:val="auto"/>
                <w:lang w:eastAsia="zh-CN"/>
              </w:rPr>
              <w:t>活性炭</w:t>
            </w:r>
            <w:r>
              <w:rPr>
                <w:rStyle w:val="200"/>
                <w:rFonts w:hint="eastAsia"/>
                <w:color w:val="auto"/>
                <w:lang w:val="en-US" w:eastAsia="zh-CN"/>
              </w:rPr>
              <w:t>吸附装置处理效率</w:t>
            </w:r>
            <w:r>
              <w:rPr>
                <w:rStyle w:val="200"/>
                <w:rFonts w:hint="eastAsia" w:ascii="Times New Roman" w:hAnsi="Times New Roman"/>
                <w:color w:val="auto"/>
                <w:lang w:val="en-US" w:eastAsia="zh-CN"/>
              </w:rPr>
              <w:t>保守取值按67%计。</w:t>
            </w:r>
          </w:p>
          <w:p>
            <w:pPr>
              <w:pStyle w:val="103"/>
              <w:spacing w:after="0"/>
              <w:ind w:left="0" w:leftChars="0" w:firstLine="480"/>
              <w:rPr>
                <w:rFonts w:hint="eastAsia" w:cs="Times New Roman"/>
                <w:b/>
                <w:bCs w:val="0"/>
                <w:color w:val="auto"/>
                <w:sz w:val="24"/>
                <w:szCs w:val="20"/>
                <w:highlight w:val="none"/>
                <w:lang w:val="en-US" w:eastAsia="zh-CN"/>
              </w:rPr>
            </w:pPr>
            <w:r>
              <w:rPr>
                <w:rFonts w:hint="eastAsia" w:cs="Times New Roman"/>
                <w:bCs/>
                <w:color w:val="auto"/>
                <w:sz w:val="24"/>
                <w:szCs w:val="20"/>
                <w:highlight w:val="none"/>
                <w:lang w:val="en-US" w:eastAsia="zh-CN"/>
              </w:rPr>
              <w:t>类比《福建佳宁化妆品有限公司年加工400万套化妆品包材项目验收检测报告》（报告编号：JWJC250917001-1，见附件17），该项目于2025年09月24日~2025年09月25日对喷涂废气及固化废气环保设施（喷淋塔+一级活性炭吸附装置）进、出口数据，喷淋塔+一级活性炭吸附装置对有机废气非甲烷总烃的处理效率在64.7%~76.3%之间，扩建项目喷淋塔（处理效率保守取值12%）+一级活性炭吸附装置（处理效率保守取值67%）对有机废气非甲烷总烃处理效率理论计算值为70.96%，再加一级活性炭吸附装置（处理效率保守取值67%），则扩建项目喷淋塔+二级活性炭吸附装置对有机废气非甲烷总烃为90.42%（计算式：（1-（1-70.96%）*（1-67%））*100%=90.42%），取值按90%计。</w:t>
            </w:r>
          </w:p>
          <w:p>
            <w:pPr>
              <w:pStyle w:val="103"/>
              <w:spacing w:after="0"/>
              <w:ind w:left="0" w:leftChars="0" w:firstLine="480"/>
              <w:rPr>
                <w:color w:val="auto"/>
              </w:rPr>
            </w:pPr>
            <w:r>
              <w:rPr>
                <w:color w:val="auto"/>
              </w:rPr>
              <w:t>年工作300d，每天8h，则经处理后有组织排放的有机废气（以非甲烷总烃计）为</w:t>
            </w:r>
            <w:r>
              <w:rPr>
                <w:rFonts w:hint="eastAsia"/>
                <w:color w:val="auto"/>
              </w:rPr>
              <w:t>5.967</w:t>
            </w:r>
            <w:r>
              <w:rPr>
                <w:color w:val="auto"/>
              </w:rPr>
              <w:t>t/a×</w:t>
            </w:r>
            <w:r>
              <w:rPr>
                <w:rFonts w:hint="eastAsia"/>
                <w:color w:val="auto"/>
              </w:rPr>
              <w:t>9</w:t>
            </w:r>
            <w:r>
              <w:rPr>
                <w:color w:val="auto"/>
              </w:rPr>
              <w:t>0%×10%=0.</w:t>
            </w:r>
            <w:r>
              <w:rPr>
                <w:rFonts w:hint="eastAsia"/>
                <w:color w:val="auto"/>
              </w:rPr>
              <w:t>537</w:t>
            </w:r>
            <w:r>
              <w:rPr>
                <w:color w:val="auto"/>
              </w:rPr>
              <w:t>t/a，排放速率为0.</w:t>
            </w:r>
            <w:r>
              <w:rPr>
                <w:rFonts w:hint="eastAsia"/>
                <w:color w:val="auto"/>
              </w:rPr>
              <w:t>2238</w:t>
            </w:r>
            <w:r>
              <w:rPr>
                <w:color w:val="auto"/>
              </w:rPr>
              <w:t>kg/h，排放浓度为</w:t>
            </w:r>
            <w:r>
              <w:rPr>
                <w:rFonts w:hint="eastAsia"/>
                <w:color w:val="auto"/>
              </w:rPr>
              <w:t>4.5</w:t>
            </w:r>
            <w:r>
              <w:rPr>
                <w:color w:val="auto"/>
              </w:rPr>
              <w:t>mg/m³。无组织排放的有机废气（以非甲烷总烃计）为</w:t>
            </w:r>
            <w:r>
              <w:rPr>
                <w:rFonts w:hint="eastAsia"/>
                <w:color w:val="auto"/>
              </w:rPr>
              <w:t>0.597t</w:t>
            </w:r>
            <w:r>
              <w:rPr>
                <w:color w:val="auto"/>
              </w:rPr>
              <w:t>/a，排放速率为0.2</w:t>
            </w:r>
            <w:r>
              <w:rPr>
                <w:rFonts w:hint="eastAsia"/>
                <w:color w:val="auto"/>
              </w:rPr>
              <w:t>488</w:t>
            </w:r>
            <w:r>
              <w:rPr>
                <w:color w:val="auto"/>
              </w:rPr>
              <w:t>kg/h。扩建项目废气污染源源强核算结果及相关参数一览表见</w:t>
            </w:r>
            <w:r>
              <w:rPr>
                <w:b/>
                <w:bCs/>
                <w:color w:val="auto"/>
              </w:rPr>
              <w:t>表4.1-1</w:t>
            </w:r>
            <w:r>
              <w:rPr>
                <w:color w:val="auto"/>
              </w:rPr>
              <w:t>。</w:t>
            </w:r>
          </w:p>
          <w:p>
            <w:pPr>
              <w:pStyle w:val="103"/>
              <w:spacing w:after="0"/>
              <w:ind w:left="0" w:leftChars="0" w:firstLine="0" w:firstLineChars="0"/>
              <w:jc w:val="center"/>
              <w:rPr>
                <w:color w:val="auto"/>
                <w:highlight w:val="none"/>
              </w:rPr>
            </w:pPr>
            <w:r>
              <w:rPr>
                <w:color w:val="auto"/>
                <w:highlight w:val="none"/>
              </w:rPr>
              <w:drawing>
                <wp:inline distT="0" distB="0" distL="114300" distR="114300">
                  <wp:extent cx="5312410" cy="774065"/>
                  <wp:effectExtent l="0" t="0" r="6350" b="3175"/>
                  <wp:docPr id="20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
                          <pic:cNvPicPr>
                            <a:picLocks noChangeAspect="1"/>
                          </pic:cNvPicPr>
                        </pic:nvPicPr>
                        <pic:blipFill>
                          <a:blip r:embed="rId27"/>
                          <a:stretch>
                            <a:fillRect/>
                          </a:stretch>
                        </pic:blipFill>
                        <pic:spPr>
                          <a:xfrm>
                            <a:off x="0" y="0"/>
                            <a:ext cx="5312410" cy="774065"/>
                          </a:xfrm>
                          <a:prstGeom prst="rect">
                            <a:avLst/>
                          </a:prstGeom>
                          <a:noFill/>
                          <a:ln>
                            <a:noFill/>
                          </a:ln>
                        </pic:spPr>
                      </pic:pic>
                    </a:graphicData>
                  </a:graphic>
                </wp:inline>
              </w:drawing>
            </w:r>
          </w:p>
          <w:p>
            <w:pPr>
              <w:pStyle w:val="103"/>
              <w:spacing w:after="0" w:line="240" w:lineRule="auto"/>
              <w:ind w:left="0" w:leftChars="0" w:firstLine="0" w:firstLineChars="0"/>
              <w:jc w:val="center"/>
              <w:rPr>
                <w:rFonts w:hint="eastAsia" w:cs="Times New Roman"/>
                <w:b/>
                <w:bCs w:val="0"/>
                <w:color w:val="auto"/>
                <w:sz w:val="24"/>
                <w:szCs w:val="20"/>
                <w:highlight w:val="none"/>
                <w:lang w:val="en-US" w:eastAsia="zh-CN"/>
              </w:rPr>
            </w:pPr>
            <w:r>
              <w:rPr>
                <w:rFonts w:hint="eastAsia" w:cs="Times New Roman"/>
                <w:b/>
                <w:bCs w:val="0"/>
                <w:color w:val="auto"/>
                <w:sz w:val="24"/>
                <w:szCs w:val="20"/>
                <w:highlight w:val="none"/>
                <w:lang w:val="en-US" w:eastAsia="zh-CN"/>
              </w:rPr>
              <w:t>图4.1-1  水喷淋对水溶性有机废气治理效率</w:t>
            </w:r>
          </w:p>
          <w:p>
            <w:pPr>
              <w:pStyle w:val="103"/>
              <w:spacing w:after="0" w:line="240" w:lineRule="auto"/>
              <w:ind w:left="0" w:leftChars="0" w:firstLine="0" w:firstLineChars="0"/>
              <w:jc w:val="both"/>
              <w:rPr>
                <w:rFonts w:hint="default" w:cs="Times New Roman"/>
                <w:b/>
                <w:bCs w:val="0"/>
                <w:color w:val="auto"/>
                <w:sz w:val="24"/>
                <w:szCs w:val="20"/>
                <w:highlight w:val="none"/>
                <w:lang w:val="en-US" w:eastAsia="zh-CN"/>
              </w:rPr>
            </w:pP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697230</wp:posOffset>
                      </wp:positionH>
                      <wp:positionV relativeFrom="paragraph">
                        <wp:posOffset>762000</wp:posOffset>
                      </wp:positionV>
                      <wp:extent cx="1090930" cy="186690"/>
                      <wp:effectExtent l="12700" t="12700" r="24130" b="13970"/>
                      <wp:wrapNone/>
                      <wp:docPr id="207" name="圆角矩形 207"/>
                      <wp:cNvGraphicFramePr/>
                      <a:graphic xmlns:a="http://schemas.openxmlformats.org/drawingml/2006/main">
                        <a:graphicData uri="http://schemas.microsoft.com/office/word/2010/wordprocessingShape">
                          <wps:wsp>
                            <wps:cNvSpPr/>
                            <wps:spPr>
                              <a:xfrm>
                                <a:off x="1927860" y="3557905"/>
                                <a:ext cx="1090930" cy="186690"/>
                              </a:xfrm>
                              <a:prstGeom prst="round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54.9pt;margin-top:60pt;height:14.7pt;width:85.9pt;z-index:251666432;v-text-anchor:middle;mso-width-relative:page;mso-height-relative:page;" filled="f" stroked="t" coordsize="21600,21600" arcsize="0.166666666666667" o:gfxdata="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CAyD72AAAAAsBAAAPAAAAAAAAAAEAIAAA&#10;ACIAAABkcnMvZG93bnJldi54bWxQSwECFAAUAAAACACHTuJAv/pKcH4CAADPBAAADgAAAAAAAAAB&#10;ACAAAAAnAQAAZHJzL2Uyb0RvYy54bWxQSwUGAAAAAAYABgBZAQAAFwYAAAAA&#10;">
                      <v:fill on="f" focussize="0,0"/>
                      <v:stroke weight="2pt" color="#FF0000 [2404]" joinstyle="round"/>
                      <v:imagedata o:title=""/>
                      <o:lock v:ext="edit" aspectratio="f"/>
                    </v:roundrect>
                  </w:pict>
                </mc:Fallback>
              </mc:AlternateContent>
            </w:r>
            <w:r>
              <w:rPr>
                <w:rFonts w:hint="default" w:cs="Times New Roman"/>
                <w:b/>
                <w:bCs w:val="0"/>
                <w:color w:val="auto"/>
                <w:sz w:val="24"/>
                <w:szCs w:val="20"/>
                <w:highlight w:val="none"/>
                <w:lang w:val="en-US" w:eastAsia="zh-CN"/>
              </w:rPr>
              <w:drawing>
                <wp:inline distT="0" distB="0" distL="114300" distR="114300">
                  <wp:extent cx="5304790" cy="1969770"/>
                  <wp:effectExtent l="0" t="0" r="0" b="0"/>
                  <wp:docPr id="31" name="图片 31" descr="079bb0b0-b5b1-4441-9579-ca2f948cf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79bb0b0-b5b1-4441-9579-ca2f948cf22a"/>
                          <pic:cNvPicPr>
                            <a:picLocks noChangeAspect="1"/>
                          </pic:cNvPicPr>
                        </pic:nvPicPr>
                        <pic:blipFill>
                          <a:blip r:embed="rId28"/>
                          <a:srcRect t="5886"/>
                          <a:stretch>
                            <a:fillRect/>
                          </a:stretch>
                        </pic:blipFill>
                        <pic:spPr>
                          <a:xfrm>
                            <a:off x="0" y="0"/>
                            <a:ext cx="5304790" cy="1969770"/>
                          </a:xfrm>
                          <a:prstGeom prst="rect">
                            <a:avLst/>
                          </a:prstGeom>
                        </pic:spPr>
                      </pic:pic>
                    </a:graphicData>
                  </a:graphic>
                </wp:inline>
              </w:drawing>
            </w:r>
          </w:p>
          <w:p>
            <w:pPr>
              <w:pStyle w:val="103"/>
              <w:spacing w:after="0" w:line="240" w:lineRule="auto"/>
              <w:ind w:left="0" w:leftChars="0" w:firstLine="0" w:firstLineChars="0"/>
              <w:jc w:val="center"/>
              <w:rPr>
                <w:rFonts w:hint="default" w:cs="Times New Roman"/>
                <w:b/>
                <w:bCs w:val="0"/>
                <w:color w:val="FF0000"/>
                <w:sz w:val="24"/>
                <w:szCs w:val="20"/>
                <w:highlight w:val="none"/>
                <w:lang w:val="en-US" w:eastAsia="zh-CN"/>
              </w:rPr>
            </w:pPr>
            <w:r>
              <w:rPr>
                <w:rFonts w:hint="eastAsia" w:cs="Times New Roman"/>
                <w:b/>
                <w:bCs w:val="0"/>
                <w:color w:val="auto"/>
                <w:sz w:val="24"/>
                <w:szCs w:val="20"/>
                <w:highlight w:val="none"/>
                <w:lang w:val="en-US" w:eastAsia="zh-CN"/>
              </w:rPr>
              <w:t>图4.1-2  活性炭吸附对于印刷废气治理效率</w:t>
            </w:r>
          </w:p>
        </w:tc>
      </w:tr>
    </w:tbl>
    <w:p>
      <w:pPr>
        <w:rPr>
          <w:color w:val="auto"/>
        </w:rPr>
        <w:sectPr>
          <w:pgSz w:w="11907" w:h="16840"/>
          <w:pgMar w:top="1701" w:right="1531" w:bottom="2127" w:left="1531" w:header="851" w:footer="851" w:gutter="0"/>
          <w:cols w:space="720" w:num="1"/>
          <w:docGrid w:linePitch="312" w:charSpace="0"/>
        </w:sectPr>
      </w:pPr>
    </w:p>
    <w:tbl>
      <w:tblPr>
        <w:tblStyle w:val="36"/>
        <w:tblW w:w="198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984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67" w:hRule="atLeast"/>
          <w:jc w:val="center"/>
        </w:trPr>
        <w:tc>
          <w:tcPr>
            <w:tcW w:w="19842" w:type="dxa"/>
            <w:tcMar>
              <w:left w:w="28" w:type="dxa"/>
              <w:right w:w="28" w:type="dxa"/>
            </w:tcMar>
            <w:vAlign w:val="center"/>
          </w:tcPr>
          <w:p>
            <w:pPr>
              <w:pStyle w:val="49"/>
              <w:rPr>
                <w:bCs/>
                <w:color w:val="auto"/>
              </w:rPr>
            </w:pPr>
            <w:r>
              <w:rPr>
                <w:bCs/>
                <w:color w:val="auto"/>
              </w:rPr>
              <w:t>表4.</w:t>
            </w:r>
            <w:r>
              <w:rPr>
                <w:rFonts w:hint="eastAsia"/>
                <w:bCs/>
                <w:color w:val="auto"/>
              </w:rPr>
              <w:t>1-1  扩建项目废气污染源源强核算结果及相关参数一览表</w:t>
            </w:r>
          </w:p>
          <w:tbl>
            <w:tblPr>
              <w:tblStyle w:val="36"/>
              <w:tblW w:w="19723"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113"/>
              <w:gridCol w:w="1231"/>
              <w:gridCol w:w="663"/>
              <w:gridCol w:w="577"/>
              <w:gridCol w:w="1195"/>
              <w:gridCol w:w="1010"/>
              <w:gridCol w:w="743"/>
              <w:gridCol w:w="3288"/>
              <w:gridCol w:w="684"/>
              <w:gridCol w:w="1093"/>
              <w:gridCol w:w="1010"/>
              <w:gridCol w:w="846"/>
              <w:gridCol w:w="1070"/>
              <w:gridCol w:w="1045"/>
              <w:gridCol w:w="1418"/>
              <w:gridCol w:w="731"/>
              <w:gridCol w:w="999"/>
              <w:gridCol w:w="100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1113" w:type="dxa"/>
                  <w:vMerge w:val="restart"/>
                  <w:tcBorders>
                    <w:tl2br w:val="nil"/>
                    <w:tr2bl w:val="nil"/>
                  </w:tcBorders>
                  <w:vAlign w:val="center"/>
                </w:tcPr>
                <w:p>
                  <w:pPr>
                    <w:widowControl/>
                    <w:jc w:val="center"/>
                    <w:textAlignment w:val="center"/>
                    <w:rPr>
                      <w:color w:val="auto"/>
                      <w:szCs w:val="21"/>
                    </w:rPr>
                  </w:pPr>
                  <w:r>
                    <w:rPr>
                      <w:rFonts w:hint="eastAsia"/>
                      <w:color w:val="auto"/>
                      <w:szCs w:val="21"/>
                    </w:rPr>
                    <w:t>产污环节</w:t>
                  </w:r>
                </w:p>
              </w:tc>
              <w:tc>
                <w:tcPr>
                  <w:tcW w:w="1231" w:type="dxa"/>
                  <w:vMerge w:val="restart"/>
                  <w:tcBorders>
                    <w:tl2br w:val="nil"/>
                    <w:tr2bl w:val="nil"/>
                  </w:tcBorders>
                  <w:vAlign w:val="center"/>
                </w:tcPr>
                <w:p>
                  <w:pPr>
                    <w:widowControl/>
                    <w:jc w:val="center"/>
                    <w:textAlignment w:val="center"/>
                    <w:rPr>
                      <w:color w:val="auto"/>
                      <w:szCs w:val="21"/>
                    </w:rPr>
                  </w:pPr>
                  <w:r>
                    <w:rPr>
                      <w:rFonts w:hint="eastAsia"/>
                      <w:color w:val="auto"/>
                      <w:kern w:val="0"/>
                      <w:szCs w:val="21"/>
                      <w:lang w:bidi="ar"/>
                    </w:rPr>
                    <w:t>污染源</w:t>
                  </w:r>
                </w:p>
              </w:tc>
              <w:tc>
                <w:tcPr>
                  <w:tcW w:w="663" w:type="dxa"/>
                  <w:vMerge w:val="restart"/>
                  <w:tcBorders>
                    <w:tl2br w:val="nil"/>
                    <w:tr2bl w:val="nil"/>
                  </w:tcBorders>
                  <w:vAlign w:val="center"/>
                </w:tcPr>
                <w:p>
                  <w:pPr>
                    <w:widowControl/>
                    <w:jc w:val="center"/>
                    <w:textAlignment w:val="center"/>
                    <w:rPr>
                      <w:color w:val="auto"/>
                      <w:szCs w:val="21"/>
                    </w:rPr>
                  </w:pPr>
                  <w:r>
                    <w:rPr>
                      <w:color w:val="auto"/>
                      <w:kern w:val="0"/>
                      <w:szCs w:val="21"/>
                      <w:lang w:bidi="ar"/>
                    </w:rPr>
                    <w:t>污染物种类</w:t>
                  </w:r>
                </w:p>
              </w:tc>
              <w:tc>
                <w:tcPr>
                  <w:tcW w:w="577" w:type="dxa"/>
                  <w:vMerge w:val="restart"/>
                  <w:tcBorders>
                    <w:tl2br w:val="nil"/>
                    <w:tr2bl w:val="nil"/>
                  </w:tcBorders>
                  <w:vAlign w:val="center"/>
                </w:tcPr>
                <w:p>
                  <w:pPr>
                    <w:widowControl/>
                    <w:jc w:val="center"/>
                    <w:textAlignment w:val="center"/>
                    <w:rPr>
                      <w:color w:val="auto"/>
                      <w:szCs w:val="21"/>
                    </w:rPr>
                  </w:pPr>
                  <w:r>
                    <w:rPr>
                      <w:color w:val="auto"/>
                      <w:kern w:val="0"/>
                      <w:szCs w:val="21"/>
                      <w:lang w:bidi="ar"/>
                    </w:rPr>
                    <w:t>排放形式</w:t>
                  </w:r>
                </w:p>
              </w:tc>
              <w:tc>
                <w:tcPr>
                  <w:tcW w:w="2948" w:type="dxa"/>
                  <w:gridSpan w:val="3"/>
                  <w:tcBorders>
                    <w:tl2br w:val="nil"/>
                    <w:tr2bl w:val="nil"/>
                  </w:tcBorders>
                  <w:vAlign w:val="center"/>
                </w:tcPr>
                <w:p>
                  <w:pPr>
                    <w:widowControl/>
                    <w:jc w:val="center"/>
                    <w:textAlignment w:val="center"/>
                    <w:rPr>
                      <w:color w:val="auto"/>
                      <w:szCs w:val="21"/>
                    </w:rPr>
                  </w:pPr>
                  <w:r>
                    <w:rPr>
                      <w:color w:val="auto"/>
                      <w:kern w:val="0"/>
                      <w:szCs w:val="21"/>
                      <w:lang w:bidi="ar"/>
                    </w:rPr>
                    <w:t>产生情况</w:t>
                  </w:r>
                </w:p>
              </w:tc>
              <w:tc>
                <w:tcPr>
                  <w:tcW w:w="3288" w:type="dxa"/>
                  <w:vMerge w:val="restart"/>
                  <w:tcBorders>
                    <w:tl2br w:val="nil"/>
                    <w:tr2bl w:val="nil"/>
                  </w:tcBorders>
                  <w:vAlign w:val="center"/>
                </w:tcPr>
                <w:p>
                  <w:pPr>
                    <w:widowControl/>
                    <w:jc w:val="center"/>
                    <w:textAlignment w:val="center"/>
                    <w:rPr>
                      <w:color w:val="auto"/>
                      <w:szCs w:val="21"/>
                    </w:rPr>
                  </w:pPr>
                  <w:r>
                    <w:rPr>
                      <w:color w:val="auto"/>
                      <w:kern w:val="0"/>
                      <w:szCs w:val="21"/>
                      <w:lang w:bidi="ar"/>
                    </w:rPr>
                    <w:t>治理措施及去除效率</w:t>
                  </w:r>
                </w:p>
              </w:tc>
              <w:tc>
                <w:tcPr>
                  <w:tcW w:w="684" w:type="dxa"/>
                  <w:vMerge w:val="restart"/>
                  <w:tcBorders>
                    <w:tl2br w:val="nil"/>
                    <w:tr2bl w:val="nil"/>
                  </w:tcBorders>
                  <w:vAlign w:val="center"/>
                </w:tcPr>
                <w:p>
                  <w:pPr>
                    <w:widowControl/>
                    <w:jc w:val="center"/>
                    <w:textAlignment w:val="center"/>
                    <w:rPr>
                      <w:color w:val="auto"/>
                      <w:szCs w:val="21"/>
                    </w:rPr>
                  </w:pPr>
                  <w:r>
                    <w:rPr>
                      <w:color w:val="auto"/>
                      <w:kern w:val="0"/>
                      <w:szCs w:val="21"/>
                      <w:lang w:bidi="ar"/>
                    </w:rPr>
                    <w:t>是否为可行性技术</w:t>
                  </w:r>
                </w:p>
              </w:tc>
              <w:tc>
                <w:tcPr>
                  <w:tcW w:w="2949" w:type="dxa"/>
                  <w:gridSpan w:val="3"/>
                  <w:tcBorders>
                    <w:tl2br w:val="nil"/>
                    <w:tr2bl w:val="nil"/>
                  </w:tcBorders>
                  <w:vAlign w:val="center"/>
                </w:tcPr>
                <w:p>
                  <w:pPr>
                    <w:widowControl/>
                    <w:jc w:val="center"/>
                    <w:textAlignment w:val="center"/>
                    <w:rPr>
                      <w:color w:val="auto"/>
                      <w:szCs w:val="21"/>
                    </w:rPr>
                  </w:pPr>
                  <w:r>
                    <w:rPr>
                      <w:color w:val="auto"/>
                      <w:kern w:val="0"/>
                      <w:szCs w:val="21"/>
                      <w:lang w:bidi="ar"/>
                    </w:rPr>
                    <w:t>排放情况</w:t>
                  </w:r>
                </w:p>
              </w:tc>
              <w:tc>
                <w:tcPr>
                  <w:tcW w:w="3533" w:type="dxa"/>
                  <w:gridSpan w:val="3"/>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排放口</w:t>
                  </w:r>
                  <w:r>
                    <w:rPr>
                      <w:bCs/>
                      <w:color w:val="auto"/>
                      <w:szCs w:val="21"/>
                    </w:rPr>
                    <w:t>基本信息</w:t>
                  </w:r>
                </w:p>
              </w:tc>
              <w:tc>
                <w:tcPr>
                  <w:tcW w:w="731" w:type="dxa"/>
                  <w:vMerge w:val="restart"/>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年排放时间h</w:t>
                  </w:r>
                </w:p>
              </w:tc>
              <w:tc>
                <w:tcPr>
                  <w:tcW w:w="2006" w:type="dxa"/>
                  <w:gridSpan w:val="2"/>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排放标准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25" w:hRule="atLeast"/>
              </w:trPr>
              <w:tc>
                <w:tcPr>
                  <w:tcW w:w="1113" w:type="dxa"/>
                  <w:vMerge w:val="continue"/>
                  <w:tcBorders>
                    <w:tl2br w:val="nil"/>
                    <w:tr2bl w:val="nil"/>
                  </w:tcBorders>
                  <w:vAlign w:val="center"/>
                </w:tcPr>
                <w:p>
                  <w:pPr>
                    <w:jc w:val="center"/>
                    <w:rPr>
                      <w:color w:val="auto"/>
                      <w:szCs w:val="21"/>
                    </w:rPr>
                  </w:pPr>
                </w:p>
              </w:tc>
              <w:tc>
                <w:tcPr>
                  <w:tcW w:w="1231" w:type="dxa"/>
                  <w:vMerge w:val="continue"/>
                  <w:tcBorders>
                    <w:tl2br w:val="nil"/>
                    <w:tr2bl w:val="nil"/>
                  </w:tcBorders>
                  <w:vAlign w:val="center"/>
                </w:tcPr>
                <w:p>
                  <w:pPr>
                    <w:jc w:val="center"/>
                    <w:rPr>
                      <w:color w:val="auto"/>
                      <w:szCs w:val="21"/>
                    </w:rPr>
                  </w:pPr>
                </w:p>
              </w:tc>
              <w:tc>
                <w:tcPr>
                  <w:tcW w:w="663" w:type="dxa"/>
                  <w:vMerge w:val="continue"/>
                  <w:tcBorders>
                    <w:tl2br w:val="nil"/>
                    <w:tr2bl w:val="nil"/>
                  </w:tcBorders>
                  <w:vAlign w:val="center"/>
                </w:tcPr>
                <w:p>
                  <w:pPr>
                    <w:jc w:val="center"/>
                    <w:rPr>
                      <w:color w:val="auto"/>
                      <w:szCs w:val="21"/>
                    </w:rPr>
                  </w:pPr>
                </w:p>
              </w:tc>
              <w:tc>
                <w:tcPr>
                  <w:tcW w:w="577" w:type="dxa"/>
                  <w:vMerge w:val="continue"/>
                  <w:tcBorders>
                    <w:tl2br w:val="nil"/>
                    <w:tr2bl w:val="nil"/>
                  </w:tcBorders>
                  <w:vAlign w:val="center"/>
                </w:tcPr>
                <w:p>
                  <w:pPr>
                    <w:jc w:val="center"/>
                    <w:rPr>
                      <w:color w:val="auto"/>
                      <w:szCs w:val="21"/>
                    </w:rPr>
                  </w:pPr>
                </w:p>
              </w:tc>
              <w:tc>
                <w:tcPr>
                  <w:tcW w:w="1195" w:type="dxa"/>
                  <w:tcBorders>
                    <w:tl2br w:val="nil"/>
                    <w:tr2bl w:val="nil"/>
                  </w:tcBorders>
                  <w:vAlign w:val="center"/>
                </w:tcPr>
                <w:p>
                  <w:pPr>
                    <w:widowControl/>
                    <w:jc w:val="center"/>
                    <w:textAlignment w:val="center"/>
                    <w:rPr>
                      <w:color w:val="auto"/>
                      <w:szCs w:val="21"/>
                    </w:rPr>
                  </w:pPr>
                  <w:r>
                    <w:rPr>
                      <w:color w:val="auto"/>
                      <w:kern w:val="0"/>
                      <w:szCs w:val="21"/>
                      <w:lang w:bidi="ar"/>
                    </w:rPr>
                    <w:t>产生浓度（mg/m</w:t>
                  </w:r>
                  <w:r>
                    <w:rPr>
                      <w:color w:val="auto"/>
                      <w:kern w:val="0"/>
                      <w:szCs w:val="21"/>
                      <w:vertAlign w:val="superscript"/>
                      <w:lang w:bidi="ar"/>
                    </w:rPr>
                    <w:t>3</w:t>
                  </w:r>
                  <w:r>
                    <w:rPr>
                      <w:color w:val="auto"/>
                      <w:kern w:val="0"/>
                      <w:szCs w:val="21"/>
                      <w:lang w:bidi="ar"/>
                    </w:rPr>
                    <w:t>）</w:t>
                  </w:r>
                </w:p>
              </w:tc>
              <w:tc>
                <w:tcPr>
                  <w:tcW w:w="1010" w:type="dxa"/>
                  <w:tcBorders>
                    <w:tl2br w:val="nil"/>
                    <w:tr2bl w:val="nil"/>
                  </w:tcBorders>
                  <w:vAlign w:val="center"/>
                </w:tcPr>
                <w:p>
                  <w:pPr>
                    <w:widowControl/>
                    <w:jc w:val="center"/>
                    <w:textAlignment w:val="center"/>
                    <w:rPr>
                      <w:color w:val="auto"/>
                      <w:szCs w:val="21"/>
                    </w:rPr>
                  </w:pPr>
                  <w:r>
                    <w:rPr>
                      <w:color w:val="auto"/>
                      <w:kern w:val="0"/>
                      <w:szCs w:val="21"/>
                      <w:lang w:bidi="ar"/>
                    </w:rPr>
                    <w:t>产生速率（kg/h）</w:t>
                  </w:r>
                </w:p>
              </w:tc>
              <w:tc>
                <w:tcPr>
                  <w:tcW w:w="743" w:type="dxa"/>
                  <w:tcBorders>
                    <w:tl2br w:val="nil"/>
                    <w:tr2bl w:val="nil"/>
                  </w:tcBorders>
                  <w:vAlign w:val="center"/>
                </w:tcPr>
                <w:p>
                  <w:pPr>
                    <w:widowControl/>
                    <w:jc w:val="center"/>
                    <w:textAlignment w:val="center"/>
                    <w:rPr>
                      <w:color w:val="auto"/>
                      <w:szCs w:val="21"/>
                    </w:rPr>
                  </w:pPr>
                  <w:r>
                    <w:rPr>
                      <w:color w:val="auto"/>
                      <w:kern w:val="0"/>
                      <w:szCs w:val="21"/>
                      <w:lang w:bidi="ar"/>
                    </w:rPr>
                    <w:t>产生量（t/a）</w:t>
                  </w:r>
                </w:p>
              </w:tc>
              <w:tc>
                <w:tcPr>
                  <w:tcW w:w="3288" w:type="dxa"/>
                  <w:vMerge w:val="continue"/>
                  <w:tcBorders>
                    <w:tl2br w:val="nil"/>
                    <w:tr2bl w:val="nil"/>
                  </w:tcBorders>
                  <w:vAlign w:val="center"/>
                </w:tcPr>
                <w:p>
                  <w:pPr>
                    <w:jc w:val="center"/>
                    <w:rPr>
                      <w:color w:val="auto"/>
                      <w:szCs w:val="21"/>
                    </w:rPr>
                  </w:pPr>
                </w:p>
              </w:tc>
              <w:tc>
                <w:tcPr>
                  <w:tcW w:w="684" w:type="dxa"/>
                  <w:vMerge w:val="continue"/>
                  <w:tcBorders>
                    <w:tl2br w:val="nil"/>
                    <w:tr2bl w:val="nil"/>
                  </w:tcBorders>
                  <w:vAlign w:val="center"/>
                </w:tcPr>
                <w:p>
                  <w:pPr>
                    <w:jc w:val="center"/>
                    <w:rPr>
                      <w:color w:val="auto"/>
                      <w:szCs w:val="21"/>
                    </w:rPr>
                  </w:pPr>
                </w:p>
              </w:tc>
              <w:tc>
                <w:tcPr>
                  <w:tcW w:w="1093" w:type="dxa"/>
                  <w:tcBorders>
                    <w:tl2br w:val="nil"/>
                    <w:tr2bl w:val="nil"/>
                  </w:tcBorders>
                  <w:vAlign w:val="center"/>
                </w:tcPr>
                <w:p>
                  <w:pPr>
                    <w:widowControl/>
                    <w:jc w:val="center"/>
                    <w:textAlignment w:val="center"/>
                    <w:rPr>
                      <w:color w:val="auto"/>
                      <w:szCs w:val="21"/>
                    </w:rPr>
                  </w:pPr>
                  <w:r>
                    <w:rPr>
                      <w:color w:val="auto"/>
                      <w:kern w:val="0"/>
                      <w:szCs w:val="21"/>
                      <w:lang w:bidi="ar"/>
                    </w:rPr>
                    <w:t>排放浓度（mg/m</w:t>
                  </w:r>
                  <w:r>
                    <w:rPr>
                      <w:color w:val="auto"/>
                      <w:kern w:val="0"/>
                      <w:szCs w:val="21"/>
                      <w:vertAlign w:val="superscript"/>
                      <w:lang w:bidi="ar"/>
                    </w:rPr>
                    <w:t>3</w:t>
                  </w:r>
                  <w:r>
                    <w:rPr>
                      <w:color w:val="auto"/>
                      <w:kern w:val="0"/>
                      <w:szCs w:val="21"/>
                      <w:lang w:bidi="ar"/>
                    </w:rPr>
                    <w:t>）</w:t>
                  </w:r>
                </w:p>
              </w:tc>
              <w:tc>
                <w:tcPr>
                  <w:tcW w:w="1010" w:type="dxa"/>
                  <w:tcBorders>
                    <w:tl2br w:val="nil"/>
                    <w:tr2bl w:val="nil"/>
                  </w:tcBorders>
                  <w:vAlign w:val="center"/>
                </w:tcPr>
                <w:p>
                  <w:pPr>
                    <w:widowControl/>
                    <w:jc w:val="center"/>
                    <w:textAlignment w:val="center"/>
                    <w:rPr>
                      <w:color w:val="auto"/>
                      <w:szCs w:val="21"/>
                    </w:rPr>
                  </w:pPr>
                  <w:r>
                    <w:rPr>
                      <w:color w:val="auto"/>
                      <w:kern w:val="0"/>
                      <w:szCs w:val="21"/>
                      <w:lang w:bidi="ar"/>
                    </w:rPr>
                    <w:t>排放速率（kg/h）</w:t>
                  </w:r>
                </w:p>
              </w:tc>
              <w:tc>
                <w:tcPr>
                  <w:tcW w:w="846" w:type="dxa"/>
                  <w:tcBorders>
                    <w:tl2br w:val="nil"/>
                    <w:tr2bl w:val="nil"/>
                  </w:tcBorders>
                  <w:vAlign w:val="center"/>
                </w:tcPr>
                <w:p>
                  <w:pPr>
                    <w:widowControl/>
                    <w:jc w:val="center"/>
                    <w:textAlignment w:val="center"/>
                    <w:rPr>
                      <w:color w:val="auto"/>
                      <w:szCs w:val="21"/>
                    </w:rPr>
                  </w:pPr>
                  <w:r>
                    <w:rPr>
                      <w:color w:val="auto"/>
                      <w:kern w:val="0"/>
                      <w:szCs w:val="21"/>
                      <w:lang w:bidi="ar"/>
                    </w:rPr>
                    <w:t>排放量（t/a）</w:t>
                  </w:r>
                </w:p>
              </w:tc>
              <w:tc>
                <w:tcPr>
                  <w:tcW w:w="1070" w:type="dxa"/>
                  <w:tcBorders>
                    <w:tl2br w:val="nil"/>
                    <w:tr2bl w:val="nil"/>
                  </w:tcBorders>
                  <w:vAlign w:val="center"/>
                </w:tcPr>
                <w:p>
                  <w:pPr>
                    <w:pStyle w:val="33"/>
                    <w:snapToGrid w:val="0"/>
                    <w:spacing w:before="0" w:beforeAutospacing="0" w:after="0" w:afterAutospacing="0"/>
                    <w:jc w:val="center"/>
                    <w:rPr>
                      <w:rFonts w:ascii="Times New Roman" w:hAnsi="Times New Roman"/>
                      <w:color w:val="auto"/>
                      <w:sz w:val="21"/>
                      <w:szCs w:val="21"/>
                    </w:rPr>
                  </w:pPr>
                  <w:r>
                    <w:rPr>
                      <w:color w:val="auto"/>
                      <w:kern w:val="2"/>
                      <w:sz w:val="21"/>
                      <w:szCs w:val="21"/>
                    </w:rPr>
                    <w:t>排气筒内径、高度、温度</w:t>
                  </w:r>
                </w:p>
              </w:tc>
              <w:tc>
                <w:tcPr>
                  <w:tcW w:w="1045" w:type="dxa"/>
                  <w:tcBorders>
                    <w:tl2br w:val="nil"/>
                    <w:tr2bl w:val="nil"/>
                  </w:tcBorders>
                  <w:vAlign w:val="center"/>
                </w:tcPr>
                <w:p>
                  <w:pPr>
                    <w:pStyle w:val="33"/>
                    <w:snapToGrid w:val="0"/>
                    <w:spacing w:before="0" w:beforeAutospacing="0" w:after="0" w:afterAutospacing="0"/>
                    <w:jc w:val="center"/>
                    <w:rPr>
                      <w:rFonts w:ascii="Times New Roman" w:hAnsi="Times New Roman"/>
                      <w:color w:val="auto"/>
                      <w:sz w:val="21"/>
                      <w:szCs w:val="21"/>
                    </w:rPr>
                  </w:pPr>
                  <w:r>
                    <w:rPr>
                      <w:color w:val="auto"/>
                      <w:kern w:val="2"/>
                      <w:sz w:val="21"/>
                      <w:szCs w:val="21"/>
                    </w:rPr>
                    <w:t>编号及名称、类型</w:t>
                  </w:r>
                </w:p>
              </w:tc>
              <w:tc>
                <w:tcPr>
                  <w:tcW w:w="1418" w:type="dxa"/>
                  <w:tcBorders>
                    <w:tl2br w:val="nil"/>
                    <w:tr2bl w:val="nil"/>
                  </w:tcBorders>
                  <w:vAlign w:val="center"/>
                </w:tcPr>
                <w:p>
                  <w:pPr>
                    <w:pStyle w:val="33"/>
                    <w:snapToGrid w:val="0"/>
                    <w:spacing w:before="0" w:beforeAutospacing="0" w:after="0" w:afterAutospacing="0"/>
                    <w:jc w:val="center"/>
                    <w:rPr>
                      <w:rFonts w:ascii="Times New Roman" w:hAnsi="Times New Roman"/>
                      <w:color w:val="auto"/>
                      <w:sz w:val="21"/>
                      <w:szCs w:val="21"/>
                    </w:rPr>
                  </w:pPr>
                  <w:r>
                    <w:rPr>
                      <w:color w:val="auto"/>
                      <w:kern w:val="2"/>
                      <w:sz w:val="21"/>
                      <w:szCs w:val="21"/>
                    </w:rPr>
                    <w:t>地理坐标</w:t>
                  </w:r>
                </w:p>
              </w:tc>
              <w:tc>
                <w:tcPr>
                  <w:tcW w:w="731" w:type="dxa"/>
                  <w:vMerge w:val="continue"/>
                  <w:tcBorders>
                    <w:tl2br w:val="nil"/>
                    <w:tr2bl w:val="nil"/>
                  </w:tcBorders>
                  <w:vAlign w:val="center"/>
                </w:tcPr>
                <w:p>
                  <w:pPr>
                    <w:jc w:val="center"/>
                    <w:rPr>
                      <w:color w:val="auto"/>
                      <w:szCs w:val="21"/>
                    </w:rPr>
                  </w:pPr>
                </w:p>
              </w:tc>
              <w:tc>
                <w:tcPr>
                  <w:tcW w:w="999" w:type="dxa"/>
                  <w:tcBorders>
                    <w:tl2br w:val="nil"/>
                    <w:tr2bl w:val="nil"/>
                  </w:tcBorders>
                  <w:vAlign w:val="center"/>
                </w:tcPr>
                <w:p>
                  <w:pPr>
                    <w:pStyle w:val="33"/>
                    <w:snapToGrid w:val="0"/>
                    <w:spacing w:before="0" w:beforeAutospacing="0" w:after="0" w:afterAutospacing="0"/>
                    <w:jc w:val="center"/>
                    <w:rPr>
                      <w:rFonts w:ascii="Times New Roman" w:hAnsi="Times New Roman"/>
                      <w:color w:val="auto"/>
                      <w:sz w:val="21"/>
                      <w:szCs w:val="21"/>
                    </w:rPr>
                  </w:pPr>
                  <w:r>
                    <w:rPr>
                      <w:color w:val="auto"/>
                      <w:kern w:val="2"/>
                      <w:sz w:val="21"/>
                      <w:szCs w:val="21"/>
                    </w:rPr>
                    <w:t>浓度</w:t>
                  </w:r>
                  <w:r>
                    <w:rPr>
                      <w:rFonts w:ascii="Times New Roman" w:hAnsi="Times New Roman"/>
                      <w:color w:val="auto"/>
                      <w:kern w:val="2"/>
                      <w:sz w:val="21"/>
                      <w:szCs w:val="21"/>
                    </w:rPr>
                    <w:t>/</w:t>
                  </w:r>
                </w:p>
                <w:p>
                  <w:pPr>
                    <w:pStyle w:val="33"/>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kern w:val="2"/>
                      <w:sz w:val="21"/>
                      <w:szCs w:val="21"/>
                    </w:rPr>
                    <w:t>mg/m</w:t>
                  </w:r>
                  <w:r>
                    <w:rPr>
                      <w:rFonts w:ascii="Times New Roman" w:hAnsi="Times New Roman"/>
                      <w:color w:val="auto"/>
                      <w:kern w:val="2"/>
                      <w:sz w:val="21"/>
                      <w:szCs w:val="21"/>
                      <w:vertAlign w:val="superscript"/>
                    </w:rPr>
                    <w:t>3</w:t>
                  </w:r>
                </w:p>
              </w:tc>
              <w:tc>
                <w:tcPr>
                  <w:tcW w:w="1007" w:type="dxa"/>
                  <w:tcBorders>
                    <w:tl2br w:val="nil"/>
                    <w:tr2bl w:val="nil"/>
                  </w:tcBorders>
                  <w:vAlign w:val="center"/>
                </w:tcPr>
                <w:p>
                  <w:pPr>
                    <w:pStyle w:val="33"/>
                    <w:snapToGrid w:val="0"/>
                    <w:spacing w:before="0" w:beforeAutospacing="0" w:after="0" w:afterAutospacing="0"/>
                    <w:jc w:val="center"/>
                    <w:rPr>
                      <w:rFonts w:ascii="Times New Roman" w:hAnsi="Times New Roman"/>
                      <w:color w:val="auto"/>
                      <w:sz w:val="21"/>
                      <w:szCs w:val="21"/>
                    </w:rPr>
                  </w:pPr>
                  <w:r>
                    <w:rPr>
                      <w:color w:val="auto"/>
                      <w:kern w:val="2"/>
                      <w:sz w:val="21"/>
                      <w:szCs w:val="21"/>
                    </w:rPr>
                    <w:t>速</w:t>
                  </w:r>
                  <w:r>
                    <w:rPr>
                      <w:rFonts w:hint="eastAsia" w:ascii="Times New Roman" w:hAnsi="Times New Roman"/>
                      <w:color w:val="auto"/>
                      <w:sz w:val="21"/>
                      <w:szCs w:val="21"/>
                      <w:lang w:bidi="ar"/>
                    </w:rPr>
                    <w:t>率</w:t>
                  </w:r>
                  <w:r>
                    <w:rPr>
                      <w:rFonts w:ascii="Times New Roman" w:hAnsi="Times New Roman"/>
                      <w:color w:val="auto"/>
                      <w:kern w:val="2"/>
                      <w:sz w:val="21"/>
                      <w:szCs w:val="21"/>
                    </w:rPr>
                    <w:t>kg/h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7" w:hRule="atLeast"/>
              </w:trPr>
              <w:tc>
                <w:tcPr>
                  <w:tcW w:w="1113" w:type="dxa"/>
                  <w:vMerge w:val="restart"/>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油墨调配、印刷及烘干、酯溶型聚氨酯粘合剂调配、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color w:val="auto"/>
                      <w:kern w:val="0"/>
                      <w:szCs w:val="21"/>
                      <w:lang w:bidi="ar"/>
                    </w:rPr>
                    <w:t>复合及烘干、熟化工序</w:t>
                  </w:r>
                </w:p>
              </w:tc>
              <w:tc>
                <w:tcPr>
                  <w:tcW w:w="1231" w:type="dxa"/>
                  <w:vMerge w:val="restart"/>
                  <w:tcBorders>
                    <w:tl2br w:val="nil"/>
                    <w:tr2bl w:val="nil"/>
                  </w:tcBorders>
                  <w:vAlign w:val="center"/>
                </w:tcPr>
                <w:p>
                  <w:pPr>
                    <w:widowControl/>
                    <w:jc w:val="center"/>
                    <w:textAlignment w:val="center"/>
                    <w:rPr>
                      <w:color w:val="auto"/>
                      <w:szCs w:val="21"/>
                    </w:rPr>
                  </w:pPr>
                  <w:r>
                    <w:rPr>
                      <w:rFonts w:hint="eastAsia"/>
                      <w:color w:val="auto"/>
                      <w:kern w:val="0"/>
                      <w:szCs w:val="21"/>
                      <w:lang w:bidi="ar"/>
                    </w:rPr>
                    <w:t>油墨调配、印刷及烘干、酯溶型聚氨酯粘合剂调配、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eastAsia"/>
                      <w:color w:val="auto"/>
                      <w:kern w:val="0"/>
                      <w:szCs w:val="21"/>
                      <w:lang w:bidi="ar"/>
                    </w:rPr>
                    <w:t>复合及烘干、熟化有机废气</w:t>
                  </w:r>
                </w:p>
              </w:tc>
              <w:tc>
                <w:tcPr>
                  <w:tcW w:w="663" w:type="dxa"/>
                  <w:vMerge w:val="restart"/>
                  <w:tcBorders>
                    <w:tl2br w:val="nil"/>
                    <w:tr2bl w:val="nil"/>
                  </w:tcBorders>
                  <w:vAlign w:val="center"/>
                </w:tcPr>
                <w:p>
                  <w:pPr>
                    <w:widowControl/>
                    <w:jc w:val="center"/>
                    <w:textAlignment w:val="top"/>
                    <w:rPr>
                      <w:color w:val="auto"/>
                      <w:szCs w:val="21"/>
                    </w:rPr>
                  </w:pPr>
                  <w:r>
                    <w:rPr>
                      <w:color w:val="auto"/>
                      <w:kern w:val="0"/>
                      <w:szCs w:val="21"/>
                      <w:lang w:bidi="ar"/>
                    </w:rPr>
                    <w:t>非甲烷总烃</w:t>
                  </w:r>
                </w:p>
              </w:tc>
              <w:tc>
                <w:tcPr>
                  <w:tcW w:w="577" w:type="dxa"/>
                  <w:tcBorders>
                    <w:tl2br w:val="nil"/>
                    <w:tr2bl w:val="nil"/>
                  </w:tcBorders>
                  <w:vAlign w:val="center"/>
                </w:tcPr>
                <w:p>
                  <w:pPr>
                    <w:widowControl/>
                    <w:jc w:val="center"/>
                    <w:textAlignment w:val="center"/>
                    <w:rPr>
                      <w:color w:val="auto"/>
                      <w:szCs w:val="21"/>
                    </w:rPr>
                  </w:pPr>
                  <w:r>
                    <w:rPr>
                      <w:color w:val="auto"/>
                      <w:kern w:val="0"/>
                      <w:szCs w:val="21"/>
                      <w:lang w:bidi="ar"/>
                    </w:rPr>
                    <w:t>有组织</w:t>
                  </w:r>
                </w:p>
              </w:tc>
              <w:tc>
                <w:tcPr>
                  <w:tcW w:w="1195"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44.8</w:t>
                  </w:r>
                </w:p>
              </w:tc>
              <w:tc>
                <w:tcPr>
                  <w:tcW w:w="1010"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2.2375</w:t>
                  </w:r>
                </w:p>
              </w:tc>
              <w:tc>
                <w:tcPr>
                  <w:tcW w:w="743"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5.370</w:t>
                  </w:r>
                </w:p>
              </w:tc>
              <w:tc>
                <w:tcPr>
                  <w:tcW w:w="3288" w:type="dxa"/>
                  <w:tcBorders>
                    <w:tl2br w:val="nil"/>
                    <w:tr2bl w:val="nil"/>
                  </w:tcBorders>
                  <w:vAlign w:val="center"/>
                </w:tcPr>
                <w:p>
                  <w:pPr>
                    <w:widowControl/>
                    <w:textAlignment w:val="center"/>
                    <w:rPr>
                      <w:rFonts w:hint="eastAsia" w:eastAsia="宋体"/>
                      <w:color w:val="auto"/>
                      <w:kern w:val="0"/>
                      <w:szCs w:val="21"/>
                      <w:lang w:val="en-US" w:eastAsia="zh-CN" w:bidi="ar"/>
                    </w:rPr>
                  </w:pPr>
                  <w:r>
                    <w:rPr>
                      <w:color w:val="auto"/>
                      <w:kern w:val="0"/>
                      <w:szCs w:val="21"/>
                      <w:lang w:bidi="ar"/>
                    </w:rPr>
                    <w:t>①</w:t>
                  </w:r>
                  <w:r>
                    <w:rPr>
                      <w:rFonts w:hint="eastAsia"/>
                      <w:color w:val="auto"/>
                      <w:kern w:val="0"/>
                      <w:szCs w:val="21"/>
                      <w:lang w:bidi="ar"/>
                    </w:rPr>
                    <w:t>收集措施：油墨调配、印刷及烘干、酯溶型聚氨酯粘合剂调配、粘合剂(含溶剂型粘合剂、无溶剂粘合剂)复合及烘干、熟化工序拟设置密闭空间</w:t>
                  </w:r>
                  <w:r>
                    <w:rPr>
                      <w:rFonts w:hint="eastAsia"/>
                      <w:color w:val="auto"/>
                      <w:kern w:val="0"/>
                      <w:szCs w:val="21"/>
                      <w:lang w:eastAsia="zh-CN" w:bidi="ar"/>
                    </w:rPr>
                    <w:t>，</w:t>
                  </w:r>
                  <w:r>
                    <w:rPr>
                      <w:rFonts w:hint="eastAsia"/>
                      <w:color w:val="auto"/>
                      <w:kern w:val="0"/>
                      <w:szCs w:val="21"/>
                      <w:lang w:val="en-US" w:eastAsia="zh-CN" w:bidi="ar"/>
                    </w:rPr>
                    <w:t>密闭</w:t>
                  </w:r>
                  <w:r>
                    <w:rPr>
                      <w:rFonts w:hint="eastAsia"/>
                      <w:color w:val="auto"/>
                      <w:kern w:val="0"/>
                      <w:szCs w:val="21"/>
                      <w:lang w:bidi="ar"/>
                    </w:rPr>
                    <w:t>微负压收集</w:t>
                  </w:r>
                  <w:r>
                    <w:rPr>
                      <w:rFonts w:hint="eastAsia"/>
                      <w:color w:val="auto"/>
                      <w:kern w:val="0"/>
                      <w:szCs w:val="21"/>
                      <w:lang w:val="en-US" w:eastAsia="zh-CN" w:bidi="ar"/>
                    </w:rPr>
                    <w:t>废气</w:t>
                  </w:r>
                </w:p>
                <w:p>
                  <w:pPr>
                    <w:widowControl/>
                    <w:textAlignment w:val="center"/>
                    <w:rPr>
                      <w:color w:val="auto"/>
                      <w:kern w:val="0"/>
                      <w:szCs w:val="21"/>
                      <w:lang w:bidi="ar"/>
                    </w:rPr>
                  </w:pPr>
                  <w:r>
                    <w:rPr>
                      <w:color w:val="auto"/>
                      <w:kern w:val="0"/>
                      <w:szCs w:val="21"/>
                      <w:lang w:bidi="ar"/>
                    </w:rPr>
                    <w:t>②治理措施：</w:t>
                  </w:r>
                  <w:r>
                    <w:rPr>
                      <w:rFonts w:hint="eastAsia"/>
                      <w:color w:val="auto"/>
                      <w:kern w:val="0"/>
                      <w:szCs w:val="21"/>
                      <w:lang w:val="en-US" w:eastAsia="zh-CN" w:bidi="ar"/>
                    </w:rPr>
                    <w:t>喷淋塔+</w:t>
                  </w:r>
                  <w:r>
                    <w:rPr>
                      <w:color w:val="auto"/>
                      <w:kern w:val="0"/>
                      <w:szCs w:val="21"/>
                      <w:lang w:bidi="ar"/>
                    </w:rPr>
                    <w:t>二级</w:t>
                  </w:r>
                  <w:r>
                    <w:rPr>
                      <w:rFonts w:hint="eastAsia"/>
                      <w:color w:val="auto"/>
                      <w:kern w:val="0"/>
                      <w:szCs w:val="21"/>
                      <w:lang w:eastAsia="zh-CN" w:bidi="ar"/>
                    </w:rPr>
                    <w:t>颗粒</w:t>
                  </w:r>
                  <w:r>
                    <w:rPr>
                      <w:color w:val="auto"/>
                      <w:kern w:val="0"/>
                      <w:szCs w:val="21"/>
                      <w:lang w:bidi="ar"/>
                    </w:rPr>
                    <w:t>活性炭吸附</w:t>
                  </w:r>
                </w:p>
                <w:p>
                  <w:pPr>
                    <w:widowControl/>
                    <w:textAlignment w:val="center"/>
                    <w:rPr>
                      <w:color w:val="auto"/>
                      <w:kern w:val="0"/>
                      <w:szCs w:val="21"/>
                      <w:lang w:bidi="ar"/>
                    </w:rPr>
                  </w:pPr>
                  <w:r>
                    <w:rPr>
                      <w:color w:val="auto"/>
                      <w:kern w:val="0"/>
                      <w:szCs w:val="21"/>
                      <w:lang w:bidi="ar"/>
                    </w:rPr>
                    <w:t>③风机风量：</w:t>
                  </w:r>
                  <w:r>
                    <w:rPr>
                      <w:rFonts w:hint="eastAsia"/>
                      <w:color w:val="auto"/>
                      <w:kern w:val="0"/>
                      <w:szCs w:val="21"/>
                      <w:lang w:bidi="ar"/>
                    </w:rPr>
                    <w:t>5</w:t>
                  </w:r>
                  <w:r>
                    <w:rPr>
                      <w:color w:val="auto"/>
                      <w:kern w:val="0"/>
                      <w:szCs w:val="21"/>
                      <w:lang w:bidi="ar"/>
                    </w:rPr>
                    <w:t>000</w:t>
                  </w:r>
                  <w:r>
                    <w:rPr>
                      <w:rFonts w:hint="eastAsia"/>
                      <w:color w:val="auto"/>
                      <w:kern w:val="0"/>
                      <w:szCs w:val="21"/>
                      <w:lang w:bidi="ar"/>
                    </w:rPr>
                    <w:t>0</w:t>
                  </w:r>
                  <w:r>
                    <w:rPr>
                      <w:color w:val="auto"/>
                      <w:kern w:val="0"/>
                      <w:szCs w:val="21"/>
                      <w:lang w:bidi="ar"/>
                    </w:rPr>
                    <w:t>m</w:t>
                  </w:r>
                  <w:r>
                    <w:rPr>
                      <w:color w:val="auto"/>
                      <w:kern w:val="0"/>
                      <w:szCs w:val="21"/>
                      <w:vertAlign w:val="superscript"/>
                      <w:lang w:bidi="ar"/>
                    </w:rPr>
                    <w:t>3</w:t>
                  </w:r>
                  <w:r>
                    <w:rPr>
                      <w:color w:val="auto"/>
                      <w:kern w:val="0"/>
                      <w:szCs w:val="21"/>
                      <w:lang w:bidi="ar"/>
                    </w:rPr>
                    <w:t>/h</w:t>
                  </w:r>
                </w:p>
                <w:p>
                  <w:pPr>
                    <w:widowControl/>
                    <w:textAlignment w:val="center"/>
                    <w:rPr>
                      <w:color w:val="auto"/>
                      <w:kern w:val="0"/>
                      <w:szCs w:val="21"/>
                      <w:lang w:bidi="ar"/>
                    </w:rPr>
                  </w:pPr>
                  <w:r>
                    <w:rPr>
                      <w:color w:val="auto"/>
                      <w:kern w:val="0"/>
                      <w:szCs w:val="21"/>
                      <w:lang w:bidi="ar"/>
                    </w:rPr>
                    <w:fldChar w:fldCharType="begin"/>
                  </w:r>
                  <w:r>
                    <w:rPr>
                      <w:color w:val="auto"/>
                      <w:kern w:val="0"/>
                      <w:szCs w:val="21"/>
                      <w:lang w:bidi="ar"/>
                    </w:rPr>
                    <w:instrText xml:space="preserve"> = 4 \* GB3 \* MERGEFORMAT </w:instrText>
                  </w:r>
                  <w:r>
                    <w:rPr>
                      <w:color w:val="auto"/>
                      <w:kern w:val="0"/>
                      <w:szCs w:val="21"/>
                      <w:lang w:bidi="ar"/>
                    </w:rPr>
                    <w:fldChar w:fldCharType="separate"/>
                  </w:r>
                  <w:r>
                    <w:rPr>
                      <w:color w:val="auto"/>
                    </w:rPr>
                    <w:t>④</w:t>
                  </w:r>
                  <w:r>
                    <w:rPr>
                      <w:color w:val="auto"/>
                      <w:kern w:val="0"/>
                      <w:szCs w:val="21"/>
                      <w:lang w:bidi="ar"/>
                    </w:rPr>
                    <w:fldChar w:fldCharType="end"/>
                  </w:r>
                  <w:r>
                    <w:rPr>
                      <w:rFonts w:hint="eastAsia"/>
                      <w:color w:val="auto"/>
                      <w:kern w:val="0"/>
                      <w:szCs w:val="21"/>
                      <w:lang w:bidi="ar"/>
                    </w:rPr>
                    <w:t>收集率：90%，</w:t>
                  </w:r>
                  <w:r>
                    <w:rPr>
                      <w:color w:val="auto"/>
                      <w:kern w:val="0"/>
                      <w:szCs w:val="21"/>
                      <w:lang w:bidi="ar"/>
                    </w:rPr>
                    <w:t>去除率：90%</w:t>
                  </w:r>
                </w:p>
                <w:p>
                  <w:pPr>
                    <w:widowControl/>
                    <w:textAlignment w:val="center"/>
                    <w:rPr>
                      <w:rFonts w:hint="default" w:eastAsia="宋体"/>
                      <w:color w:val="auto"/>
                      <w:kern w:val="0"/>
                      <w:szCs w:val="21"/>
                      <w:lang w:val="en-US" w:eastAsia="zh-CN" w:bidi="ar"/>
                    </w:rPr>
                  </w:pPr>
                  <w:r>
                    <w:rPr>
                      <w:rFonts w:hint="eastAsia"/>
                      <w:color w:val="auto"/>
                      <w:szCs w:val="21"/>
                    </w:rPr>
                    <w:fldChar w:fldCharType="begin"/>
                  </w:r>
                  <w:r>
                    <w:rPr>
                      <w:rFonts w:hint="eastAsia"/>
                      <w:color w:val="auto"/>
                      <w:szCs w:val="21"/>
                    </w:rPr>
                    <w:instrText xml:space="preserve"> = 5 \* GB3 \* MERGEFORMAT </w:instrText>
                  </w:r>
                  <w:r>
                    <w:rPr>
                      <w:rFonts w:hint="eastAsia"/>
                      <w:color w:val="auto"/>
                      <w:szCs w:val="21"/>
                    </w:rPr>
                    <w:fldChar w:fldCharType="separate"/>
                  </w:r>
                  <w:r>
                    <w:rPr>
                      <w:color w:val="auto"/>
                    </w:rPr>
                    <w:t>⑤</w:t>
                  </w:r>
                  <w:r>
                    <w:rPr>
                      <w:rFonts w:hint="eastAsia"/>
                      <w:color w:val="auto"/>
                      <w:szCs w:val="21"/>
                    </w:rPr>
                    <w:fldChar w:fldCharType="end"/>
                  </w:r>
                  <w:r>
                    <w:rPr>
                      <w:rFonts w:hint="eastAsia"/>
                      <w:color w:val="auto"/>
                      <w:szCs w:val="21"/>
                      <w:lang w:val="en-US" w:eastAsia="zh-CN"/>
                    </w:rPr>
                    <w:t>喷淋塔定期更换喷淋废液；</w:t>
                  </w:r>
                  <w:r>
                    <w:rPr>
                      <w:rFonts w:hint="eastAsia"/>
                      <w:color w:val="auto"/>
                      <w:szCs w:val="21"/>
                    </w:rPr>
                    <w:t>二级</w:t>
                  </w:r>
                  <w:r>
                    <w:rPr>
                      <w:rFonts w:hint="eastAsia"/>
                      <w:color w:val="auto"/>
                      <w:kern w:val="0"/>
                      <w:szCs w:val="21"/>
                      <w:lang w:eastAsia="zh-CN" w:bidi="ar"/>
                    </w:rPr>
                    <w:t>颗粒</w:t>
                  </w:r>
                  <w:r>
                    <w:rPr>
                      <w:color w:val="auto"/>
                      <w:kern w:val="0"/>
                      <w:szCs w:val="21"/>
                      <w:lang w:bidi="ar"/>
                    </w:rPr>
                    <w:t>活性炭</w:t>
                  </w:r>
                  <w:r>
                    <w:rPr>
                      <w:rFonts w:hint="eastAsia"/>
                      <w:color w:val="auto"/>
                      <w:szCs w:val="21"/>
                    </w:rPr>
                    <w:t>吸附净化装置维护保养</w:t>
                  </w:r>
                  <w:r>
                    <w:rPr>
                      <w:rFonts w:hint="eastAsia"/>
                      <w:color w:val="auto"/>
                      <w:szCs w:val="21"/>
                      <w:lang w:val="en-US" w:eastAsia="zh-CN"/>
                    </w:rPr>
                    <w:t>并及时更换失效活性炭</w:t>
                  </w:r>
                </w:p>
              </w:tc>
              <w:tc>
                <w:tcPr>
                  <w:tcW w:w="684" w:type="dxa"/>
                  <w:tcBorders>
                    <w:tl2br w:val="nil"/>
                    <w:tr2bl w:val="nil"/>
                  </w:tcBorders>
                  <w:vAlign w:val="center"/>
                </w:tcPr>
                <w:p>
                  <w:pPr>
                    <w:widowControl/>
                    <w:jc w:val="center"/>
                    <w:textAlignment w:val="center"/>
                    <w:rPr>
                      <w:color w:val="auto"/>
                      <w:szCs w:val="21"/>
                    </w:rPr>
                  </w:pPr>
                  <w:r>
                    <w:rPr>
                      <w:color w:val="auto"/>
                      <w:kern w:val="0"/>
                      <w:szCs w:val="21"/>
                      <w:lang w:bidi="ar"/>
                    </w:rPr>
                    <w:t>是</w:t>
                  </w:r>
                </w:p>
              </w:tc>
              <w:tc>
                <w:tcPr>
                  <w:tcW w:w="1093" w:type="dxa"/>
                  <w:tcBorders>
                    <w:tl2br w:val="nil"/>
                    <w:tr2bl w:val="nil"/>
                  </w:tcBorders>
                  <w:vAlign w:val="center"/>
                </w:tcPr>
                <w:p>
                  <w:pPr>
                    <w:widowControl/>
                    <w:jc w:val="center"/>
                    <w:textAlignment w:val="center"/>
                    <w:rPr>
                      <w:color w:val="auto"/>
                      <w:szCs w:val="21"/>
                    </w:rPr>
                  </w:pPr>
                  <w:r>
                    <w:rPr>
                      <w:rFonts w:hint="eastAsia"/>
                      <w:color w:val="auto"/>
                    </w:rPr>
                    <w:t>4.5</w:t>
                  </w:r>
                </w:p>
              </w:tc>
              <w:tc>
                <w:tcPr>
                  <w:tcW w:w="1010" w:type="dxa"/>
                  <w:tcBorders>
                    <w:tl2br w:val="nil"/>
                    <w:tr2bl w:val="nil"/>
                  </w:tcBorders>
                  <w:vAlign w:val="center"/>
                </w:tcPr>
                <w:p>
                  <w:pPr>
                    <w:widowControl/>
                    <w:jc w:val="center"/>
                    <w:textAlignment w:val="center"/>
                    <w:rPr>
                      <w:color w:val="auto"/>
                      <w:szCs w:val="21"/>
                    </w:rPr>
                  </w:pPr>
                  <w:r>
                    <w:rPr>
                      <w:rFonts w:hint="eastAsia"/>
                      <w:color w:val="auto"/>
                    </w:rPr>
                    <w:t>0.2238</w:t>
                  </w:r>
                </w:p>
              </w:tc>
              <w:tc>
                <w:tcPr>
                  <w:tcW w:w="846" w:type="dxa"/>
                  <w:tcBorders>
                    <w:tl2br w:val="nil"/>
                    <w:tr2bl w:val="nil"/>
                  </w:tcBorders>
                  <w:vAlign w:val="center"/>
                </w:tcPr>
                <w:p>
                  <w:pPr>
                    <w:widowControl/>
                    <w:jc w:val="center"/>
                    <w:textAlignment w:val="center"/>
                    <w:rPr>
                      <w:color w:val="auto"/>
                      <w:szCs w:val="21"/>
                    </w:rPr>
                  </w:pPr>
                  <w:r>
                    <w:rPr>
                      <w:rFonts w:hint="eastAsia"/>
                      <w:color w:val="auto"/>
                    </w:rPr>
                    <w:t>0.537</w:t>
                  </w:r>
                </w:p>
              </w:tc>
              <w:tc>
                <w:tcPr>
                  <w:tcW w:w="1070" w:type="dxa"/>
                  <w:tcBorders>
                    <w:tl2br w:val="nil"/>
                    <w:tr2bl w:val="nil"/>
                  </w:tcBorders>
                  <w:vAlign w:val="center"/>
                </w:tcPr>
                <w:p>
                  <w:pPr>
                    <w:widowControl/>
                    <w:jc w:val="center"/>
                    <w:textAlignment w:val="center"/>
                    <w:rPr>
                      <w:color w:val="auto"/>
                      <w:szCs w:val="21"/>
                    </w:rPr>
                  </w:pPr>
                  <w:r>
                    <w:rPr>
                      <w:color w:val="auto"/>
                      <w:szCs w:val="21"/>
                    </w:rPr>
                    <w:t>排气筒内径</w:t>
                  </w:r>
                  <w:r>
                    <w:rPr>
                      <w:rFonts w:hint="eastAsia"/>
                      <w:color w:val="auto"/>
                      <w:szCs w:val="21"/>
                    </w:rPr>
                    <w:t>1.4</w:t>
                  </w:r>
                  <w:r>
                    <w:rPr>
                      <w:color w:val="auto"/>
                      <w:szCs w:val="21"/>
                    </w:rPr>
                    <w:t>m，H=</w:t>
                  </w:r>
                  <w:r>
                    <w:rPr>
                      <w:rFonts w:hint="eastAsia"/>
                      <w:color w:val="auto"/>
                      <w:szCs w:val="21"/>
                    </w:rPr>
                    <w:t>23</w:t>
                  </w:r>
                  <w:r>
                    <w:rPr>
                      <w:color w:val="auto"/>
                      <w:szCs w:val="21"/>
                    </w:rPr>
                    <w:t>m，温度</w:t>
                  </w:r>
                  <w:r>
                    <w:rPr>
                      <w:rFonts w:hint="eastAsia"/>
                      <w:color w:val="auto"/>
                      <w:szCs w:val="21"/>
                    </w:rPr>
                    <w:t>25</w:t>
                  </w:r>
                  <w:r>
                    <w:rPr>
                      <w:color w:val="auto"/>
                      <w:szCs w:val="21"/>
                    </w:rPr>
                    <w:t>℃</w:t>
                  </w:r>
                </w:p>
              </w:tc>
              <w:tc>
                <w:tcPr>
                  <w:tcW w:w="1045" w:type="dxa"/>
                  <w:tcBorders>
                    <w:tl2br w:val="nil"/>
                    <w:tr2bl w:val="nil"/>
                  </w:tcBorders>
                  <w:vAlign w:val="center"/>
                </w:tcPr>
                <w:p>
                  <w:pPr>
                    <w:widowControl/>
                    <w:jc w:val="center"/>
                    <w:textAlignment w:val="center"/>
                    <w:rPr>
                      <w:color w:val="auto"/>
                      <w:kern w:val="0"/>
                      <w:szCs w:val="21"/>
                      <w:lang w:bidi="ar"/>
                    </w:rPr>
                  </w:pPr>
                  <w:r>
                    <w:rPr>
                      <w:color w:val="auto"/>
                      <w:szCs w:val="21"/>
                    </w:rPr>
                    <w:t>DA00</w:t>
                  </w:r>
                  <w:r>
                    <w:rPr>
                      <w:rFonts w:hint="eastAsia"/>
                      <w:color w:val="auto"/>
                      <w:szCs w:val="21"/>
                    </w:rPr>
                    <w:t>1</w:t>
                  </w:r>
                  <w:r>
                    <w:rPr>
                      <w:color w:val="auto"/>
                      <w:szCs w:val="21"/>
                    </w:rPr>
                    <w:t>、一般排放口</w:t>
                  </w:r>
                </w:p>
              </w:tc>
              <w:tc>
                <w:tcPr>
                  <w:tcW w:w="1418" w:type="dxa"/>
                  <w:tcBorders>
                    <w:tl2br w:val="nil"/>
                    <w:tr2bl w:val="nil"/>
                  </w:tcBorders>
                  <w:vAlign w:val="center"/>
                </w:tcPr>
                <w:p>
                  <w:pPr>
                    <w:pStyle w:val="33"/>
                    <w:widowControl w:val="0"/>
                    <w:spacing w:before="0" w:beforeAutospacing="0" w:after="0" w:afterAutospacing="0"/>
                    <w:jc w:val="center"/>
                    <w:rPr>
                      <w:rFonts w:ascii="Times New Roman" w:hAnsi="Times New Roman"/>
                      <w:color w:val="auto"/>
                      <w:sz w:val="21"/>
                      <w:szCs w:val="21"/>
                    </w:rPr>
                  </w:pPr>
                  <w:r>
                    <w:rPr>
                      <w:rFonts w:hint="eastAsia" w:ascii="Times New Roman" w:hAnsi="Times New Roman"/>
                      <w:color w:val="auto"/>
                      <w:kern w:val="2"/>
                      <w:sz w:val="21"/>
                      <w:szCs w:val="21"/>
                    </w:rPr>
                    <w:t>119.598754</w:t>
                  </w:r>
                  <w:r>
                    <w:rPr>
                      <w:rFonts w:ascii="Times New Roman" w:hAnsi="Times New Roman"/>
                      <w:color w:val="auto"/>
                      <w:kern w:val="2"/>
                      <w:sz w:val="21"/>
                      <w:szCs w:val="21"/>
                    </w:rPr>
                    <w:t>°E</w:t>
                  </w:r>
                </w:p>
                <w:p>
                  <w:pPr>
                    <w:widowControl/>
                    <w:jc w:val="center"/>
                    <w:textAlignment w:val="center"/>
                    <w:rPr>
                      <w:color w:val="auto"/>
                      <w:kern w:val="0"/>
                      <w:szCs w:val="21"/>
                      <w:lang w:bidi="ar"/>
                    </w:rPr>
                  </w:pPr>
                  <w:r>
                    <w:rPr>
                      <w:rFonts w:hint="eastAsia"/>
                      <w:color w:val="auto"/>
                      <w:szCs w:val="21"/>
                    </w:rPr>
                    <w:t>25.95653</w:t>
                  </w:r>
                  <w:r>
                    <w:rPr>
                      <w:color w:val="auto"/>
                      <w:szCs w:val="21"/>
                    </w:rPr>
                    <w:t>°N</w:t>
                  </w:r>
                </w:p>
              </w:tc>
              <w:tc>
                <w:tcPr>
                  <w:tcW w:w="731" w:type="dxa"/>
                  <w:vMerge w:val="restart"/>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2400</w:t>
                  </w:r>
                </w:p>
              </w:tc>
              <w:tc>
                <w:tcPr>
                  <w:tcW w:w="999"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50</w:t>
                  </w:r>
                </w:p>
              </w:tc>
              <w:tc>
                <w:tcPr>
                  <w:tcW w:w="1007"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1.5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0" w:hRule="atLeast"/>
              </w:trPr>
              <w:tc>
                <w:tcPr>
                  <w:tcW w:w="1113" w:type="dxa"/>
                  <w:vMerge w:val="continue"/>
                  <w:tcBorders>
                    <w:tl2br w:val="nil"/>
                    <w:tr2bl w:val="nil"/>
                  </w:tcBorders>
                  <w:vAlign w:val="center"/>
                </w:tcPr>
                <w:p>
                  <w:pPr>
                    <w:jc w:val="center"/>
                    <w:rPr>
                      <w:color w:val="auto"/>
                      <w:szCs w:val="21"/>
                    </w:rPr>
                  </w:pPr>
                </w:p>
              </w:tc>
              <w:tc>
                <w:tcPr>
                  <w:tcW w:w="1231" w:type="dxa"/>
                  <w:vMerge w:val="continue"/>
                  <w:tcBorders>
                    <w:tl2br w:val="nil"/>
                    <w:tr2bl w:val="nil"/>
                  </w:tcBorders>
                  <w:vAlign w:val="center"/>
                </w:tcPr>
                <w:p>
                  <w:pPr>
                    <w:widowControl/>
                    <w:jc w:val="center"/>
                    <w:textAlignment w:val="center"/>
                    <w:rPr>
                      <w:color w:val="auto"/>
                      <w:szCs w:val="21"/>
                    </w:rPr>
                  </w:pPr>
                </w:p>
              </w:tc>
              <w:tc>
                <w:tcPr>
                  <w:tcW w:w="663" w:type="dxa"/>
                  <w:vMerge w:val="continue"/>
                  <w:tcBorders>
                    <w:tl2br w:val="nil"/>
                    <w:tr2bl w:val="nil"/>
                  </w:tcBorders>
                  <w:vAlign w:val="center"/>
                </w:tcPr>
                <w:p>
                  <w:pPr>
                    <w:widowControl/>
                    <w:jc w:val="center"/>
                    <w:textAlignment w:val="center"/>
                    <w:rPr>
                      <w:color w:val="auto"/>
                      <w:szCs w:val="21"/>
                    </w:rPr>
                  </w:pPr>
                </w:p>
              </w:tc>
              <w:tc>
                <w:tcPr>
                  <w:tcW w:w="577" w:type="dxa"/>
                  <w:tcBorders>
                    <w:tl2br w:val="nil"/>
                    <w:tr2bl w:val="nil"/>
                  </w:tcBorders>
                  <w:vAlign w:val="center"/>
                </w:tcPr>
                <w:p>
                  <w:pPr>
                    <w:widowControl/>
                    <w:jc w:val="center"/>
                    <w:textAlignment w:val="center"/>
                    <w:rPr>
                      <w:color w:val="auto"/>
                      <w:szCs w:val="21"/>
                    </w:rPr>
                  </w:pPr>
                  <w:r>
                    <w:rPr>
                      <w:color w:val="auto"/>
                      <w:kern w:val="0"/>
                      <w:szCs w:val="21"/>
                      <w:lang w:bidi="ar"/>
                    </w:rPr>
                    <w:t>无组织</w:t>
                  </w:r>
                </w:p>
              </w:tc>
              <w:tc>
                <w:tcPr>
                  <w:tcW w:w="119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w:t>
                  </w:r>
                </w:p>
              </w:tc>
              <w:tc>
                <w:tcPr>
                  <w:tcW w:w="1010" w:type="dxa"/>
                  <w:tcBorders>
                    <w:tl2br w:val="nil"/>
                    <w:tr2bl w:val="nil"/>
                  </w:tcBorders>
                  <w:vAlign w:val="center"/>
                </w:tcPr>
                <w:p>
                  <w:pPr>
                    <w:widowControl/>
                    <w:jc w:val="center"/>
                    <w:textAlignment w:val="center"/>
                    <w:rPr>
                      <w:color w:val="auto"/>
                      <w:szCs w:val="21"/>
                    </w:rPr>
                  </w:pPr>
                  <w:r>
                    <w:rPr>
                      <w:color w:val="auto"/>
                      <w:szCs w:val="21"/>
                    </w:rPr>
                    <w:t>0.2</w:t>
                  </w:r>
                  <w:r>
                    <w:rPr>
                      <w:rFonts w:hint="eastAsia"/>
                      <w:color w:val="auto"/>
                      <w:szCs w:val="21"/>
                    </w:rPr>
                    <w:t>488</w:t>
                  </w:r>
                </w:p>
              </w:tc>
              <w:tc>
                <w:tcPr>
                  <w:tcW w:w="743" w:type="dxa"/>
                  <w:tcBorders>
                    <w:tl2br w:val="nil"/>
                    <w:tr2bl w:val="nil"/>
                  </w:tcBorders>
                  <w:vAlign w:val="center"/>
                </w:tcPr>
                <w:p>
                  <w:pPr>
                    <w:widowControl/>
                    <w:jc w:val="center"/>
                    <w:textAlignment w:val="center"/>
                    <w:rPr>
                      <w:color w:val="auto"/>
                      <w:szCs w:val="21"/>
                    </w:rPr>
                  </w:pPr>
                  <w:r>
                    <w:rPr>
                      <w:rFonts w:hint="eastAsia"/>
                      <w:color w:val="auto"/>
                      <w:szCs w:val="21"/>
                    </w:rPr>
                    <w:t>0.597</w:t>
                  </w:r>
                </w:p>
              </w:tc>
              <w:tc>
                <w:tcPr>
                  <w:tcW w:w="3288" w:type="dxa"/>
                  <w:tcBorders>
                    <w:tl2br w:val="nil"/>
                    <w:tr2bl w:val="nil"/>
                  </w:tcBorders>
                  <w:vAlign w:val="center"/>
                </w:tcPr>
                <w:p>
                  <w:pPr>
                    <w:widowControl/>
                    <w:textAlignment w:val="center"/>
                    <w:rPr>
                      <w:color w:val="auto"/>
                      <w:szCs w:val="21"/>
                    </w:rPr>
                  </w:pPr>
                  <w:r>
                    <w:rPr>
                      <w:color w:val="auto"/>
                      <w:kern w:val="0"/>
                      <w:szCs w:val="21"/>
                      <w:lang w:bidi="ar"/>
                    </w:rPr>
                    <w:t>①含有VOCs的原辅料、危废密闭容器包装，含有VOCs的原辅料使用过程中随取随开，用后应及时密闭；</w:t>
                  </w:r>
                </w:p>
                <w:p>
                  <w:pPr>
                    <w:widowControl/>
                    <w:textAlignment w:val="center"/>
                    <w:rPr>
                      <w:color w:val="auto"/>
                      <w:kern w:val="0"/>
                      <w:szCs w:val="21"/>
                      <w:lang w:bidi="ar"/>
                    </w:rPr>
                  </w:pPr>
                  <w:r>
                    <w:rPr>
                      <w:color w:val="auto"/>
                      <w:kern w:val="0"/>
                      <w:szCs w:val="21"/>
                      <w:lang w:bidi="ar"/>
                    </w:rPr>
                    <w:t>②涉及VOCs的原辅料采用桶泵等给料方式密闭投加</w:t>
                  </w:r>
                  <w:r>
                    <w:rPr>
                      <w:rFonts w:hint="eastAsia"/>
                      <w:color w:val="auto"/>
                      <w:kern w:val="0"/>
                      <w:szCs w:val="21"/>
                      <w:lang w:bidi="ar"/>
                    </w:rPr>
                    <w:t>；</w:t>
                  </w:r>
                </w:p>
                <w:p>
                  <w:pPr>
                    <w:widowControl/>
                    <w:textAlignment w:val="center"/>
                    <w:rPr>
                      <w:color w:val="auto"/>
                      <w:szCs w:val="21"/>
                    </w:rPr>
                  </w:pPr>
                  <w:r>
                    <w:rPr>
                      <w:color w:val="auto"/>
                      <w:kern w:val="0"/>
                      <w:szCs w:val="21"/>
                      <w:lang w:bidi="ar"/>
                    </w:rPr>
                    <w:t>③印刷、复合、熟化等过程密闭</w:t>
                  </w:r>
                </w:p>
              </w:tc>
              <w:tc>
                <w:tcPr>
                  <w:tcW w:w="684" w:type="dxa"/>
                  <w:tcBorders>
                    <w:tl2br w:val="nil"/>
                    <w:tr2bl w:val="nil"/>
                  </w:tcBorders>
                  <w:vAlign w:val="center"/>
                </w:tcPr>
                <w:p>
                  <w:pPr>
                    <w:widowControl/>
                    <w:jc w:val="center"/>
                    <w:textAlignment w:val="center"/>
                    <w:rPr>
                      <w:color w:val="auto"/>
                      <w:szCs w:val="21"/>
                    </w:rPr>
                  </w:pPr>
                  <w:r>
                    <w:rPr>
                      <w:rFonts w:hint="eastAsia"/>
                      <w:color w:val="auto"/>
                      <w:kern w:val="0"/>
                      <w:szCs w:val="21"/>
                      <w:lang w:bidi="ar"/>
                    </w:rPr>
                    <w:t>/</w:t>
                  </w:r>
                </w:p>
              </w:tc>
              <w:tc>
                <w:tcPr>
                  <w:tcW w:w="1093" w:type="dxa"/>
                  <w:tcBorders>
                    <w:tl2br w:val="nil"/>
                    <w:tr2bl w:val="nil"/>
                  </w:tcBorders>
                  <w:vAlign w:val="center"/>
                </w:tcPr>
                <w:p>
                  <w:pPr>
                    <w:widowControl/>
                    <w:jc w:val="center"/>
                    <w:textAlignment w:val="center"/>
                    <w:rPr>
                      <w:color w:val="auto"/>
                      <w:szCs w:val="21"/>
                    </w:rPr>
                  </w:pPr>
                  <w:r>
                    <w:rPr>
                      <w:color w:val="auto"/>
                      <w:kern w:val="0"/>
                      <w:szCs w:val="21"/>
                      <w:lang w:bidi="ar"/>
                    </w:rPr>
                    <w:t>/</w:t>
                  </w:r>
                </w:p>
              </w:tc>
              <w:tc>
                <w:tcPr>
                  <w:tcW w:w="1010" w:type="dxa"/>
                  <w:tcBorders>
                    <w:tl2br w:val="nil"/>
                    <w:tr2bl w:val="nil"/>
                  </w:tcBorders>
                  <w:vAlign w:val="center"/>
                </w:tcPr>
                <w:p>
                  <w:pPr>
                    <w:widowControl/>
                    <w:jc w:val="center"/>
                    <w:textAlignment w:val="center"/>
                    <w:rPr>
                      <w:color w:val="auto"/>
                      <w:szCs w:val="21"/>
                    </w:rPr>
                  </w:pPr>
                  <w:r>
                    <w:rPr>
                      <w:color w:val="auto"/>
                      <w:szCs w:val="21"/>
                    </w:rPr>
                    <w:t>0.2</w:t>
                  </w:r>
                  <w:r>
                    <w:rPr>
                      <w:rFonts w:hint="eastAsia"/>
                      <w:color w:val="auto"/>
                      <w:szCs w:val="21"/>
                    </w:rPr>
                    <w:t>488</w:t>
                  </w:r>
                </w:p>
              </w:tc>
              <w:tc>
                <w:tcPr>
                  <w:tcW w:w="846" w:type="dxa"/>
                  <w:tcBorders>
                    <w:tl2br w:val="nil"/>
                    <w:tr2bl w:val="nil"/>
                  </w:tcBorders>
                  <w:vAlign w:val="center"/>
                </w:tcPr>
                <w:p>
                  <w:pPr>
                    <w:widowControl/>
                    <w:jc w:val="center"/>
                    <w:textAlignment w:val="center"/>
                    <w:rPr>
                      <w:color w:val="auto"/>
                      <w:szCs w:val="21"/>
                    </w:rPr>
                  </w:pPr>
                  <w:r>
                    <w:rPr>
                      <w:rFonts w:hint="eastAsia"/>
                      <w:color w:val="auto"/>
                      <w:szCs w:val="21"/>
                    </w:rPr>
                    <w:t>0.597</w:t>
                  </w:r>
                </w:p>
              </w:tc>
              <w:tc>
                <w:tcPr>
                  <w:tcW w:w="1070" w:type="dxa"/>
                  <w:tcBorders>
                    <w:tl2br w:val="nil"/>
                    <w:tr2bl w:val="nil"/>
                  </w:tcBorders>
                  <w:vAlign w:val="center"/>
                </w:tcPr>
                <w:p>
                  <w:pPr>
                    <w:widowControl/>
                    <w:jc w:val="center"/>
                    <w:textAlignment w:val="center"/>
                    <w:rPr>
                      <w:color w:val="auto"/>
                      <w:szCs w:val="21"/>
                    </w:rPr>
                  </w:pPr>
                  <w:r>
                    <w:rPr>
                      <w:color w:val="auto"/>
                      <w:kern w:val="0"/>
                      <w:szCs w:val="21"/>
                      <w:lang w:bidi="ar"/>
                    </w:rPr>
                    <w:t>/</w:t>
                  </w:r>
                </w:p>
              </w:tc>
              <w:tc>
                <w:tcPr>
                  <w:tcW w:w="1045"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w:t>
                  </w:r>
                </w:p>
              </w:tc>
              <w:tc>
                <w:tcPr>
                  <w:tcW w:w="1418" w:type="dxa"/>
                  <w:tcBorders>
                    <w:tl2br w:val="nil"/>
                    <w:tr2bl w:val="nil"/>
                  </w:tcBorders>
                  <w:vAlign w:val="center"/>
                </w:tcPr>
                <w:p>
                  <w:pPr>
                    <w:widowControl/>
                    <w:jc w:val="center"/>
                    <w:textAlignment w:val="center"/>
                    <w:rPr>
                      <w:color w:val="auto"/>
                      <w:kern w:val="0"/>
                      <w:szCs w:val="21"/>
                      <w:lang w:bidi="ar"/>
                    </w:rPr>
                  </w:pPr>
                  <w:r>
                    <w:rPr>
                      <w:color w:val="auto"/>
                      <w:kern w:val="0"/>
                      <w:szCs w:val="21"/>
                      <w:lang w:bidi="ar"/>
                    </w:rPr>
                    <w:t>/</w:t>
                  </w:r>
                </w:p>
              </w:tc>
              <w:tc>
                <w:tcPr>
                  <w:tcW w:w="731" w:type="dxa"/>
                  <w:vMerge w:val="continue"/>
                  <w:tcBorders>
                    <w:tl2br w:val="nil"/>
                    <w:tr2bl w:val="nil"/>
                  </w:tcBorders>
                  <w:vAlign w:val="center"/>
                </w:tcPr>
                <w:p>
                  <w:pPr>
                    <w:widowControl/>
                    <w:jc w:val="center"/>
                    <w:textAlignment w:val="center"/>
                    <w:rPr>
                      <w:color w:val="auto"/>
                      <w:kern w:val="0"/>
                      <w:szCs w:val="21"/>
                      <w:lang w:bidi="ar"/>
                    </w:rPr>
                  </w:pPr>
                </w:p>
              </w:tc>
              <w:tc>
                <w:tcPr>
                  <w:tcW w:w="999"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w:t>
                  </w:r>
                </w:p>
              </w:tc>
              <w:tc>
                <w:tcPr>
                  <w:tcW w:w="1007" w:type="dxa"/>
                  <w:tcBorders>
                    <w:tl2br w:val="nil"/>
                    <w:tr2bl w:val="nil"/>
                  </w:tcBorders>
                  <w:vAlign w:val="center"/>
                </w:tcPr>
                <w:p>
                  <w:pPr>
                    <w:widowControl/>
                    <w:jc w:val="center"/>
                    <w:textAlignment w:val="center"/>
                    <w:rPr>
                      <w:color w:val="auto"/>
                      <w:kern w:val="0"/>
                      <w:szCs w:val="21"/>
                      <w:lang w:bidi="ar"/>
                    </w:rPr>
                  </w:pPr>
                  <w:r>
                    <w:rPr>
                      <w:rFonts w:hint="eastAsia"/>
                      <w:color w:val="auto"/>
                      <w:kern w:val="0"/>
                      <w:szCs w:val="21"/>
                      <w:lang w:bidi="ar"/>
                    </w:rPr>
                    <w:t>/</w:t>
                  </w:r>
                </w:p>
              </w:tc>
            </w:tr>
          </w:tbl>
          <w:p>
            <w:pPr>
              <w:pStyle w:val="159"/>
              <w:spacing w:line="360" w:lineRule="auto"/>
              <w:ind w:right="40" w:firstLine="480" w:firstLineChars="200"/>
              <w:rPr>
                <w:rFonts w:hint="eastAsia"/>
                <w:color w:val="auto"/>
                <w:lang w:eastAsia="zh-CN"/>
              </w:rPr>
            </w:pPr>
            <w:r>
              <w:rPr>
                <w:rFonts w:ascii="Times New Roman" w:hAnsi="Times New Roman" w:cs="Times New Roman"/>
                <w:color w:val="auto"/>
                <w:lang w:eastAsia="zh-CN"/>
              </w:rPr>
              <w:t>综上所述，全厂有机废气（以非甲烷总烃计）有组织排放量为0.537t/a，无组织排放量为0.597t/a，全厂有机废气（以非甲烷总烃计）总排放量为1.134t/a。</w:t>
            </w:r>
          </w:p>
        </w:tc>
      </w:tr>
    </w:tbl>
    <w:p>
      <w:pPr>
        <w:rPr>
          <w:color w:val="auto"/>
        </w:rPr>
        <w:sectPr>
          <w:pgSz w:w="23811" w:h="16838" w:orient="landscape"/>
          <w:pgMar w:top="1531" w:right="1701" w:bottom="1531" w:left="2127" w:header="851" w:footer="851" w:gutter="0"/>
          <w:cols w:space="720" w:num="1"/>
          <w:docGrid w:linePitch="312" w:charSpace="0"/>
        </w:sectPr>
      </w:pPr>
    </w:p>
    <w:tbl>
      <w:tblPr>
        <w:tblStyle w:val="36"/>
        <w:tblW w:w="89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3"/>
        <w:gridCol w:w="85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353" w:type="dxa"/>
            <w:tcMar>
              <w:left w:w="28" w:type="dxa"/>
              <w:right w:w="28" w:type="dxa"/>
            </w:tcMar>
            <w:vAlign w:val="center"/>
          </w:tcPr>
          <w:p>
            <w:pPr>
              <w:spacing w:line="360" w:lineRule="auto"/>
              <w:jc w:val="center"/>
              <w:rPr>
                <w:b/>
                <w:bCs/>
                <w:color w:val="auto"/>
                <w:sz w:val="24"/>
                <w:szCs w:val="21"/>
              </w:rPr>
            </w:pPr>
            <w:r>
              <w:rPr>
                <w:b/>
                <w:bCs/>
                <w:color w:val="auto"/>
                <w:sz w:val="24"/>
                <w:szCs w:val="21"/>
              </w:rPr>
              <w:t>运</w:t>
            </w:r>
          </w:p>
          <w:p>
            <w:pPr>
              <w:spacing w:line="360" w:lineRule="auto"/>
              <w:jc w:val="center"/>
              <w:rPr>
                <w:b/>
                <w:bCs/>
                <w:color w:val="auto"/>
                <w:sz w:val="24"/>
                <w:szCs w:val="21"/>
              </w:rPr>
            </w:pPr>
            <w:r>
              <w:rPr>
                <w:b/>
                <w:bCs/>
                <w:color w:val="auto"/>
                <w:sz w:val="24"/>
                <w:szCs w:val="21"/>
              </w:rPr>
              <w:t>营</w:t>
            </w:r>
          </w:p>
          <w:p>
            <w:pPr>
              <w:spacing w:line="360" w:lineRule="auto"/>
              <w:jc w:val="center"/>
              <w:rPr>
                <w:b/>
                <w:bCs/>
                <w:color w:val="auto"/>
                <w:sz w:val="24"/>
                <w:szCs w:val="21"/>
              </w:rPr>
            </w:pPr>
            <w:r>
              <w:rPr>
                <w:b/>
                <w:bCs/>
                <w:color w:val="auto"/>
                <w:sz w:val="24"/>
                <w:szCs w:val="21"/>
              </w:rPr>
              <w:t>期</w:t>
            </w:r>
          </w:p>
          <w:p>
            <w:pPr>
              <w:spacing w:line="360" w:lineRule="auto"/>
              <w:jc w:val="center"/>
              <w:rPr>
                <w:b/>
                <w:bCs/>
                <w:color w:val="auto"/>
                <w:sz w:val="24"/>
                <w:szCs w:val="21"/>
              </w:rPr>
            </w:pPr>
            <w:r>
              <w:rPr>
                <w:b/>
                <w:bCs/>
                <w:color w:val="auto"/>
                <w:sz w:val="24"/>
                <w:szCs w:val="21"/>
              </w:rPr>
              <w:t>环</w:t>
            </w:r>
          </w:p>
          <w:p>
            <w:pPr>
              <w:spacing w:line="360" w:lineRule="auto"/>
              <w:jc w:val="center"/>
              <w:rPr>
                <w:b/>
                <w:bCs/>
                <w:color w:val="auto"/>
                <w:sz w:val="24"/>
                <w:szCs w:val="21"/>
              </w:rPr>
            </w:pPr>
            <w:r>
              <w:rPr>
                <w:b/>
                <w:bCs/>
                <w:color w:val="auto"/>
                <w:sz w:val="24"/>
                <w:szCs w:val="21"/>
              </w:rPr>
              <w:t>境</w:t>
            </w:r>
          </w:p>
          <w:p>
            <w:pPr>
              <w:spacing w:line="360" w:lineRule="auto"/>
              <w:jc w:val="center"/>
              <w:rPr>
                <w:b/>
                <w:bCs/>
                <w:color w:val="auto"/>
                <w:sz w:val="24"/>
                <w:szCs w:val="21"/>
              </w:rPr>
            </w:pPr>
            <w:r>
              <w:rPr>
                <w:b/>
                <w:bCs/>
                <w:color w:val="auto"/>
                <w:sz w:val="24"/>
                <w:szCs w:val="21"/>
              </w:rPr>
              <w:t>影</w:t>
            </w:r>
          </w:p>
          <w:p>
            <w:pPr>
              <w:spacing w:line="360" w:lineRule="auto"/>
              <w:jc w:val="center"/>
              <w:rPr>
                <w:b/>
                <w:bCs/>
                <w:color w:val="auto"/>
                <w:sz w:val="24"/>
                <w:szCs w:val="21"/>
              </w:rPr>
            </w:pPr>
            <w:r>
              <w:rPr>
                <w:b/>
                <w:bCs/>
                <w:color w:val="auto"/>
                <w:sz w:val="24"/>
                <w:szCs w:val="21"/>
              </w:rPr>
              <w:t>响</w:t>
            </w:r>
          </w:p>
          <w:p>
            <w:pPr>
              <w:spacing w:line="360" w:lineRule="auto"/>
              <w:jc w:val="center"/>
              <w:rPr>
                <w:b/>
                <w:bCs/>
                <w:color w:val="auto"/>
                <w:sz w:val="24"/>
                <w:szCs w:val="21"/>
              </w:rPr>
            </w:pPr>
            <w:r>
              <w:rPr>
                <w:b/>
                <w:bCs/>
                <w:color w:val="auto"/>
                <w:sz w:val="24"/>
                <w:szCs w:val="21"/>
              </w:rPr>
              <w:t>和</w:t>
            </w:r>
          </w:p>
          <w:p>
            <w:pPr>
              <w:spacing w:line="360" w:lineRule="auto"/>
              <w:jc w:val="center"/>
              <w:rPr>
                <w:b/>
                <w:bCs/>
                <w:color w:val="auto"/>
                <w:sz w:val="24"/>
                <w:szCs w:val="21"/>
              </w:rPr>
            </w:pPr>
            <w:r>
              <w:rPr>
                <w:b/>
                <w:bCs/>
                <w:color w:val="auto"/>
                <w:sz w:val="24"/>
                <w:szCs w:val="21"/>
              </w:rPr>
              <w:t>保</w:t>
            </w:r>
          </w:p>
          <w:p>
            <w:pPr>
              <w:spacing w:line="360" w:lineRule="auto"/>
              <w:jc w:val="center"/>
              <w:rPr>
                <w:b/>
                <w:bCs/>
                <w:color w:val="auto"/>
                <w:sz w:val="24"/>
                <w:szCs w:val="21"/>
              </w:rPr>
            </w:pPr>
            <w:r>
              <w:rPr>
                <w:b/>
                <w:bCs/>
                <w:color w:val="auto"/>
                <w:sz w:val="24"/>
                <w:szCs w:val="21"/>
              </w:rPr>
              <w:t>护</w:t>
            </w:r>
          </w:p>
          <w:p>
            <w:pPr>
              <w:spacing w:line="360" w:lineRule="auto"/>
              <w:jc w:val="center"/>
              <w:rPr>
                <w:b/>
                <w:bCs/>
                <w:color w:val="auto"/>
                <w:sz w:val="24"/>
                <w:szCs w:val="21"/>
              </w:rPr>
            </w:pPr>
            <w:r>
              <w:rPr>
                <w:b/>
                <w:bCs/>
                <w:color w:val="auto"/>
                <w:sz w:val="24"/>
                <w:szCs w:val="21"/>
              </w:rPr>
              <w:t>措</w:t>
            </w:r>
          </w:p>
          <w:p>
            <w:pPr>
              <w:pStyle w:val="33"/>
              <w:spacing w:before="0" w:beforeAutospacing="0" w:after="0" w:afterAutospacing="0" w:line="360" w:lineRule="auto"/>
              <w:jc w:val="center"/>
              <w:rPr>
                <w:rFonts w:hint="eastAsia"/>
                <w:b/>
                <w:bCs/>
                <w:color w:val="auto"/>
                <w:szCs w:val="21"/>
              </w:rPr>
            </w:pPr>
            <w:r>
              <w:rPr>
                <w:b/>
                <w:bCs/>
                <w:color w:val="auto"/>
                <w:szCs w:val="21"/>
              </w:rPr>
              <w:t>施</w:t>
            </w:r>
          </w:p>
        </w:tc>
        <w:tc>
          <w:tcPr>
            <w:tcW w:w="8569" w:type="dxa"/>
          </w:tcPr>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.1.</w:t>
            </w:r>
            <w:r>
              <w:rPr>
                <w:rFonts w:hint="eastAsia" w:eastAsia="宋体" w:cs="Times New Roman"/>
                <w:b/>
                <w:bCs w:val="0"/>
                <w:color w:val="auto"/>
                <w:sz w:val="30"/>
                <w:szCs w:val="30"/>
              </w:rPr>
              <w:t>2</w:t>
            </w:r>
            <w:r>
              <w:rPr>
                <w:rFonts w:hint="eastAsia" w:eastAsia="宋体" w:cs="Times New Roman"/>
                <w:b/>
                <w:bCs w:val="0"/>
                <w:color w:val="auto"/>
                <w:sz w:val="30"/>
                <w:szCs w:val="30"/>
                <w:lang w:val="en-GB"/>
              </w:rPr>
              <w:t>运营期大气环境影响和污染防治措施合理性分析</w:t>
            </w:r>
          </w:p>
          <w:p>
            <w:pPr>
              <w:pStyle w:val="122"/>
              <w:ind w:firstLine="480"/>
              <w:rPr>
                <w:color w:val="auto"/>
              </w:rPr>
            </w:pPr>
            <w:r>
              <w:rPr>
                <w:rFonts w:hint="eastAsia"/>
                <w:color w:val="auto"/>
              </w:rPr>
              <w:t>扩建项目设置1根废气排气筒，DA001为有机废气排气筒，具体分析如下：</w:t>
            </w:r>
          </w:p>
          <w:p>
            <w:pPr>
              <w:pStyle w:val="122"/>
              <w:ind w:firstLine="480"/>
              <w:rPr>
                <w:color w:val="auto"/>
              </w:rPr>
            </w:pPr>
            <w:r>
              <w:rPr>
                <w:rFonts w:hint="eastAsia"/>
                <w:color w:val="auto"/>
              </w:rPr>
              <w:t>（1）工艺流程</w:t>
            </w:r>
          </w:p>
          <w:p>
            <w:pPr>
              <w:pStyle w:val="122"/>
              <w:ind w:firstLine="480"/>
              <w:rPr>
                <w:color w:val="auto"/>
              </w:rPr>
            </w:pPr>
            <w:r>
              <w:rPr>
                <w:rFonts w:hint="eastAsia"/>
                <w:color w:val="auto"/>
              </w:rPr>
              <w:t>扩建项目油墨调配、印刷及烘干、酯溶型聚氨酯粘合剂调配、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eastAsia"/>
                <w:color w:val="auto"/>
              </w:rPr>
              <w:t>复合及烘干工序拟设置在密闭空间内，微负压收集的有机废气采用一套TA001</w:t>
            </w:r>
            <w:r>
              <w:rPr>
                <w:color w:val="auto"/>
              </w:rPr>
              <w:t>“</w:t>
            </w:r>
            <w:r>
              <w:rPr>
                <w:rFonts w:hint="eastAsia"/>
                <w:color w:val="auto"/>
                <w:lang w:val="en-US" w:eastAsia="zh-CN"/>
              </w:rPr>
              <w:t>喷淋塔+</w:t>
            </w:r>
            <w:r>
              <w:rPr>
                <w:color w:val="auto"/>
              </w:rPr>
              <w:t>二级</w:t>
            </w:r>
            <w:r>
              <w:rPr>
                <w:rFonts w:hint="eastAsia"/>
                <w:color w:val="auto"/>
                <w:lang w:eastAsia="zh-CN"/>
              </w:rPr>
              <w:t>颗粒</w:t>
            </w:r>
            <w:r>
              <w:rPr>
                <w:color w:val="auto"/>
              </w:rPr>
              <w:t>活性炭吸附装置”</w:t>
            </w:r>
            <w:r>
              <w:rPr>
                <w:rFonts w:hint="eastAsia"/>
                <w:color w:val="auto"/>
              </w:rPr>
              <w:t>处理达标引至1根23m排气筒排放（DA001），具体处理工艺流程详见</w:t>
            </w:r>
            <w:r>
              <w:rPr>
                <w:rFonts w:hint="eastAsia"/>
                <w:b/>
                <w:bCs w:val="0"/>
                <w:color w:val="auto"/>
              </w:rPr>
              <w:t>图4.1-</w:t>
            </w:r>
            <w:r>
              <w:rPr>
                <w:rFonts w:hint="eastAsia"/>
                <w:b/>
                <w:bCs w:val="0"/>
                <w:color w:val="auto"/>
                <w:lang w:val="en-US" w:eastAsia="zh-CN"/>
              </w:rPr>
              <w:t>3</w:t>
            </w:r>
            <w:r>
              <w:rPr>
                <w:rFonts w:hint="eastAsia"/>
                <w:color w:val="auto"/>
              </w:rPr>
              <w:t>。</w:t>
            </w:r>
          </w:p>
          <w:p>
            <w:pPr>
              <w:pStyle w:val="122"/>
              <w:ind w:firstLine="0" w:firstLineChars="0"/>
              <w:rPr>
                <w:color w:val="auto"/>
              </w:rPr>
            </w:pPr>
            <w:r>
              <w:drawing>
                <wp:inline distT="0" distB="0" distL="114300" distR="114300">
                  <wp:extent cx="5297805" cy="1168400"/>
                  <wp:effectExtent l="0" t="0" r="5715" b="508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29"/>
                          <a:stretch>
                            <a:fillRect/>
                          </a:stretch>
                        </pic:blipFill>
                        <pic:spPr>
                          <a:xfrm>
                            <a:off x="0" y="0"/>
                            <a:ext cx="5297805" cy="1168400"/>
                          </a:xfrm>
                          <a:prstGeom prst="rect">
                            <a:avLst/>
                          </a:prstGeom>
                          <a:noFill/>
                          <a:ln>
                            <a:noFill/>
                          </a:ln>
                        </pic:spPr>
                      </pic:pic>
                    </a:graphicData>
                  </a:graphic>
                </wp:inline>
              </w:drawing>
            </w:r>
          </w:p>
          <w:p>
            <w:pPr>
              <w:pStyle w:val="122"/>
              <w:ind w:firstLine="0" w:firstLineChars="0"/>
              <w:jc w:val="center"/>
              <w:rPr>
                <w:b/>
                <w:bCs w:val="0"/>
                <w:color w:val="auto"/>
                <w:highlight w:val="none"/>
              </w:rPr>
            </w:pPr>
            <w:r>
              <w:rPr>
                <w:rFonts w:hint="eastAsia"/>
                <w:b/>
                <w:bCs w:val="0"/>
                <w:color w:val="auto"/>
                <w:highlight w:val="none"/>
              </w:rPr>
              <w:t>图4.1-</w:t>
            </w:r>
            <w:r>
              <w:rPr>
                <w:rFonts w:hint="eastAsia"/>
                <w:b/>
                <w:bCs w:val="0"/>
                <w:color w:val="auto"/>
                <w:highlight w:val="none"/>
                <w:lang w:val="en-US" w:eastAsia="zh-CN"/>
              </w:rPr>
              <w:t>3</w:t>
            </w:r>
            <w:r>
              <w:rPr>
                <w:rFonts w:hint="eastAsia"/>
                <w:b/>
                <w:bCs w:val="0"/>
                <w:color w:val="auto"/>
                <w:highlight w:val="none"/>
              </w:rPr>
              <w:t xml:space="preserve">  扩建项目有机废气处理工艺流程图</w:t>
            </w:r>
          </w:p>
          <w:p>
            <w:pPr>
              <w:pStyle w:val="122"/>
              <w:ind w:firstLine="480"/>
              <w:rPr>
                <w:color w:val="auto"/>
              </w:rPr>
            </w:pPr>
            <w:r>
              <w:rPr>
                <w:rFonts w:hint="eastAsia"/>
                <w:color w:val="auto"/>
              </w:rPr>
              <w:t>（2）工艺原理</w:t>
            </w:r>
          </w:p>
          <w:p>
            <w:pPr>
              <w:spacing w:line="360" w:lineRule="auto"/>
              <w:ind w:firstLine="454"/>
              <w:rPr>
                <w:rFonts w:hint="default" w:ascii="Times New Roman" w:hAnsi="Times New Roman" w:cs="Times New Roman"/>
                <w:bCs/>
                <w:snapToGrid w:val="0"/>
                <w:color w:val="auto"/>
                <w:kern w:val="0"/>
                <w:sz w:val="24"/>
                <w:lang w:val="zh-CN"/>
              </w:rPr>
            </w:pPr>
            <w:r>
              <w:rPr>
                <w:rFonts w:hint="eastAsia" w:ascii="Times New Roman" w:hAnsi="Times New Roman" w:cs="Times New Roman"/>
                <w:bCs/>
                <w:snapToGrid w:val="0"/>
                <w:color w:val="auto"/>
                <w:kern w:val="0"/>
                <w:sz w:val="24"/>
                <w:lang w:val="en-US" w:eastAsia="zh-CN"/>
              </w:rPr>
              <w:t>1)</w:t>
            </w:r>
            <w:r>
              <w:rPr>
                <w:rFonts w:hint="default" w:ascii="Times New Roman" w:hAnsi="Times New Roman" w:cs="Times New Roman"/>
                <w:bCs/>
                <w:snapToGrid w:val="0"/>
                <w:color w:val="auto"/>
                <w:kern w:val="0"/>
                <w:sz w:val="24"/>
              </w:rPr>
              <w:t>水喷淋塔</w:t>
            </w:r>
            <w:r>
              <w:rPr>
                <w:rFonts w:hint="default" w:ascii="Times New Roman" w:hAnsi="Times New Roman" w:cs="Times New Roman"/>
                <w:bCs/>
                <w:snapToGrid w:val="0"/>
                <w:color w:val="auto"/>
                <w:kern w:val="0"/>
                <w:sz w:val="24"/>
                <w:lang w:val="zh-CN"/>
              </w:rPr>
              <w:t>工作原理</w:t>
            </w:r>
          </w:p>
          <w:p>
            <w:pPr>
              <w:spacing w:line="360" w:lineRule="auto"/>
              <w:ind w:firstLine="454"/>
              <w:rPr>
                <w:bCs/>
                <w:snapToGrid w:val="0"/>
                <w:color w:val="auto"/>
                <w:kern w:val="0"/>
                <w:sz w:val="24"/>
                <w:lang w:val="zh-CN"/>
              </w:rPr>
            </w:pPr>
            <w:r>
              <w:rPr>
                <w:rFonts w:hint="eastAsia"/>
                <w:bCs/>
                <w:snapToGrid w:val="0"/>
                <w:color w:val="auto"/>
                <w:kern w:val="0"/>
                <w:sz w:val="24"/>
                <w:lang w:val="zh-CN"/>
              </w:rPr>
              <w:t>喷淋塔将淋化装置安装在进风口上沿平面上，水向上方喷射成淋状后，在塔内先上升后下落，与上升气流接触有顺流和逆流两个冷却过程，保证热交换时间。另外在一定的冷却空间内，通过淋化装置，调整淋滴大小和气流速度，能使大部分淋滴在塔内喷淋段(热区)的上部区域悬浮一段时间，从而延长了一定的水气接触时间，增强了冷却效果，同时避免了填料塔由于填料结垢、长菌、生藻、黏泥以及老化、变形、脆裂引起的堵塞、局部死区、沟流以及同此造成的冷却分布不均匀现象，冷却效果明显优于填料塔。</w:t>
            </w:r>
          </w:p>
          <w:p>
            <w:pPr>
              <w:spacing w:line="360" w:lineRule="auto"/>
              <w:ind w:firstLine="454"/>
              <w:rPr>
                <w:bCs/>
                <w:snapToGrid w:val="0"/>
                <w:color w:val="auto"/>
                <w:kern w:val="0"/>
                <w:sz w:val="24"/>
                <w:lang w:val="zh-CN"/>
              </w:rPr>
            </w:pPr>
            <w:r>
              <w:rPr>
                <w:rFonts w:hint="eastAsia"/>
                <w:bCs/>
                <w:snapToGrid w:val="0"/>
                <w:color w:val="auto"/>
                <w:kern w:val="0"/>
                <w:sz w:val="24"/>
                <w:lang w:val="zh-CN"/>
              </w:rPr>
              <w:t>经喷淋塔处理后的废气中含有水分，因此，需经过</w:t>
            </w:r>
            <w:r>
              <w:rPr>
                <w:rFonts w:hint="eastAsia"/>
                <w:bCs/>
                <w:snapToGrid w:val="0"/>
                <w:color w:val="auto"/>
                <w:kern w:val="0"/>
                <w:sz w:val="24"/>
                <w:lang w:val="en-US" w:eastAsia="zh-CN"/>
              </w:rPr>
              <w:t>除雾器</w:t>
            </w:r>
            <w:r>
              <w:rPr>
                <w:rFonts w:hint="eastAsia"/>
                <w:bCs/>
                <w:snapToGrid w:val="0"/>
                <w:color w:val="auto"/>
                <w:kern w:val="0"/>
                <w:sz w:val="24"/>
                <w:lang w:val="zh-CN"/>
              </w:rPr>
              <w:t>处理去除水分。</w:t>
            </w:r>
            <w:r>
              <w:rPr>
                <w:rFonts w:hint="eastAsia"/>
                <w:bCs/>
                <w:snapToGrid w:val="0"/>
                <w:color w:val="auto"/>
                <w:kern w:val="0"/>
                <w:sz w:val="24"/>
              </w:rPr>
              <w:t>水喷淋塔</w:t>
            </w:r>
            <w:r>
              <w:rPr>
                <w:rFonts w:hint="eastAsia"/>
                <w:bCs/>
                <w:snapToGrid w:val="0"/>
                <w:color w:val="auto"/>
                <w:kern w:val="0"/>
                <w:sz w:val="24"/>
                <w:lang w:val="zh-CN"/>
              </w:rPr>
              <w:t>工作原理见</w:t>
            </w:r>
            <w:r>
              <w:rPr>
                <w:rFonts w:hint="eastAsia"/>
                <w:b/>
                <w:bCs w:val="0"/>
                <w:snapToGrid w:val="0"/>
                <w:color w:val="auto"/>
                <w:kern w:val="0"/>
                <w:sz w:val="24"/>
                <w:lang w:val="en-US" w:eastAsia="zh-CN"/>
              </w:rPr>
              <w:t>图4.1-4</w:t>
            </w:r>
            <w:r>
              <w:rPr>
                <w:rFonts w:hint="eastAsia"/>
                <w:bCs/>
                <w:snapToGrid w:val="0"/>
                <w:color w:val="auto"/>
                <w:kern w:val="0"/>
                <w:sz w:val="24"/>
                <w:lang w:val="zh-CN"/>
              </w:rPr>
              <w:t>。</w:t>
            </w:r>
          </w:p>
          <w:p>
            <w:pPr>
              <w:jc w:val="center"/>
              <w:rPr>
                <w:color w:val="auto"/>
                <w:kern w:val="0"/>
              </w:rPr>
            </w:pPr>
            <w:r>
              <w:rPr>
                <w:color w:val="auto"/>
              </w:rPr>
              <w:drawing>
                <wp:inline distT="0" distB="0" distL="114300" distR="114300">
                  <wp:extent cx="3307715" cy="2658110"/>
                  <wp:effectExtent l="0" t="0" r="14605" b="8890"/>
                  <wp:docPr id="2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
                          <pic:cNvPicPr>
                            <a:picLocks noChangeAspect="1"/>
                          </pic:cNvPicPr>
                        </pic:nvPicPr>
                        <pic:blipFill>
                          <a:blip r:embed="rId30"/>
                          <a:stretch>
                            <a:fillRect/>
                          </a:stretch>
                        </pic:blipFill>
                        <pic:spPr>
                          <a:xfrm>
                            <a:off x="0" y="0"/>
                            <a:ext cx="3307715" cy="2658110"/>
                          </a:xfrm>
                          <a:prstGeom prst="rect">
                            <a:avLst/>
                          </a:prstGeom>
                          <a:noFill/>
                          <a:ln>
                            <a:noFill/>
                          </a:ln>
                        </pic:spPr>
                      </pic:pic>
                    </a:graphicData>
                  </a:graphic>
                </wp:inline>
              </w:drawing>
            </w:r>
          </w:p>
          <w:p>
            <w:pPr>
              <w:pStyle w:val="110"/>
              <w:tabs>
                <w:tab w:val="left" w:pos="0"/>
              </w:tabs>
              <w:spacing w:before="240" w:beforeLines="100" w:line="360" w:lineRule="auto"/>
              <w:ind w:left="1582" w:hanging="1582"/>
              <w:rPr>
                <w:rFonts w:hint="default" w:ascii="Times New Roman" w:hAnsi="Times New Roman" w:cs="Times New Roman"/>
                <w:color w:val="auto"/>
              </w:rPr>
            </w:pPr>
            <w:bookmarkStart w:id="21" w:name="_Ref11840"/>
            <w:r>
              <w:rPr>
                <w:rFonts w:hint="default" w:ascii="Times New Roman" w:hAnsi="Times New Roman" w:cs="Times New Roman"/>
                <w:bCs/>
                <w:color w:val="auto"/>
              </w:rPr>
              <w:t>图4.</w:t>
            </w:r>
            <w:r>
              <w:rPr>
                <w:rFonts w:hint="default" w:ascii="Times New Roman" w:hAnsi="Times New Roman" w:cs="Times New Roman"/>
                <w:bCs/>
                <w:color w:val="auto"/>
                <w:lang w:val="en-US" w:eastAsia="zh-CN"/>
              </w:rPr>
              <w:t>1-</w:t>
            </w:r>
            <w:r>
              <w:rPr>
                <w:rFonts w:hint="eastAsia" w:ascii="Times New Roman" w:hAnsi="Times New Roman" w:cs="Times New Roman"/>
                <w:bCs/>
                <w:color w:val="auto"/>
                <w:lang w:val="en-US" w:eastAsia="zh-CN"/>
              </w:rPr>
              <w:t>4</w:t>
            </w:r>
            <w:r>
              <w:rPr>
                <w:rFonts w:hint="default" w:ascii="Times New Roman" w:hAnsi="Times New Roman" w:cs="Times New Roman"/>
                <w:bCs/>
                <w:color w:val="auto"/>
              </w:rPr>
              <w:t xml:space="preserve">  水喷淋塔工作原理</w:t>
            </w:r>
            <w:r>
              <w:rPr>
                <w:rFonts w:hint="default" w:ascii="Times New Roman" w:hAnsi="Times New Roman" w:cs="Times New Roman"/>
                <w:color w:val="auto"/>
              </w:rPr>
              <w:t>图</w:t>
            </w:r>
            <w:bookmarkEnd w:id="21"/>
          </w:p>
          <w:p>
            <w:pPr>
              <w:pStyle w:val="122"/>
              <w:ind w:firstLine="480"/>
              <w:rPr>
                <w:rFonts w:hint="eastAsia" w:eastAsia="宋体"/>
                <w:color w:val="auto"/>
                <w:lang w:val="en-US" w:eastAsia="zh-CN"/>
              </w:rPr>
            </w:pPr>
            <w:r>
              <w:rPr>
                <w:rFonts w:hint="eastAsia" w:ascii="Times New Roman" w:hAnsi="Times New Roman" w:cs="Times New Roman"/>
                <w:bCs/>
                <w:snapToGrid w:val="0"/>
                <w:color w:val="auto"/>
                <w:kern w:val="0"/>
                <w:sz w:val="24"/>
                <w:lang w:val="en-US" w:eastAsia="zh-CN"/>
              </w:rPr>
              <w:t>2)</w:t>
            </w:r>
            <w:r>
              <w:rPr>
                <w:rFonts w:hint="eastAsia"/>
                <w:color w:val="auto"/>
                <w:lang w:val="en-US" w:eastAsia="zh-CN"/>
              </w:rPr>
              <w:t>活性炭吸附装置工作原理</w:t>
            </w:r>
          </w:p>
          <w:p>
            <w:pPr>
              <w:pStyle w:val="122"/>
              <w:ind w:firstLine="480"/>
              <w:rPr>
                <w:color w:val="auto"/>
              </w:rPr>
            </w:pPr>
            <w:r>
              <w:rPr>
                <w:rFonts w:hint="eastAsia"/>
                <w:color w:val="auto"/>
                <w:lang w:val="en-US" w:eastAsia="zh-CN"/>
              </w:rPr>
              <w:t>颗粒</w:t>
            </w:r>
            <w:r>
              <w:rPr>
                <w:rFonts w:hint="eastAsia"/>
                <w:color w:val="auto"/>
              </w:rPr>
              <w:t>活性炭：具有较大的表面积和发达的微孔结构，这使得它能够有效地吸附空气中的有害物质，如有机气体、恶臭味气体等。使用过程中能够与气体充分接触，从而提高了吸附效率；风阻系数小，减少能源消耗，从而降低运行成本。</w:t>
            </w:r>
          </w:p>
          <w:p>
            <w:pPr>
              <w:pStyle w:val="122"/>
              <w:ind w:firstLine="480"/>
              <w:rPr>
                <w:color w:val="auto"/>
              </w:rPr>
            </w:pPr>
            <w:r>
              <w:rPr>
                <w:color w:val="auto"/>
              </w:rPr>
              <w:t>二级</w:t>
            </w:r>
            <w:r>
              <w:rPr>
                <w:rFonts w:hint="eastAsia"/>
                <w:color w:val="auto"/>
                <w:lang w:eastAsia="zh-CN"/>
              </w:rPr>
              <w:t>颗粒</w:t>
            </w:r>
            <w:r>
              <w:rPr>
                <w:color w:val="auto"/>
              </w:rPr>
              <w:t>活性炭吸附装置工作原理是通过两个</w:t>
            </w:r>
            <w:r>
              <w:rPr>
                <w:rFonts w:hint="eastAsia"/>
                <w:color w:val="auto"/>
                <w:lang w:eastAsia="zh-CN"/>
              </w:rPr>
              <w:t>颗粒</w:t>
            </w:r>
            <w:r>
              <w:rPr>
                <w:color w:val="auto"/>
              </w:rPr>
              <w:t>活性炭箱的串联运作，对废气进行两阶段的吸附处理。具体流程如下：</w:t>
            </w:r>
          </w:p>
          <w:p>
            <w:pPr>
              <w:pStyle w:val="122"/>
              <w:ind w:firstLine="480"/>
              <w:rPr>
                <w:color w:val="auto"/>
              </w:rPr>
            </w:pPr>
            <w:r>
              <w:rPr>
                <w:color w:val="auto"/>
              </w:rPr>
              <w:t>①废气收集‌：废气首先通过收集管道进行集中收集，随后通过离心风机输送到二级</w:t>
            </w:r>
            <w:r>
              <w:rPr>
                <w:rFonts w:hint="eastAsia"/>
                <w:color w:val="auto"/>
                <w:lang w:eastAsia="zh-CN"/>
              </w:rPr>
              <w:t>颗粒</w:t>
            </w:r>
            <w:r>
              <w:rPr>
                <w:color w:val="auto"/>
              </w:rPr>
              <w:t>活性炭吸附装置。‌</w:t>
            </w:r>
          </w:p>
          <w:p>
            <w:pPr>
              <w:pStyle w:val="122"/>
              <w:ind w:firstLine="480"/>
              <w:rPr>
                <w:color w:val="auto"/>
              </w:rPr>
            </w:pPr>
            <w:r>
              <w:rPr>
                <w:color w:val="auto"/>
              </w:rPr>
              <w:t>②‌第一级吸附‌：废气进入第一级</w:t>
            </w:r>
            <w:r>
              <w:rPr>
                <w:rFonts w:hint="eastAsia"/>
                <w:color w:val="auto"/>
                <w:lang w:eastAsia="zh-CN"/>
              </w:rPr>
              <w:t>颗粒</w:t>
            </w:r>
            <w:r>
              <w:rPr>
                <w:color w:val="auto"/>
              </w:rPr>
              <w:t>活性炭吸附层，这些活性炭因其巨大的比表面积和错综复杂的孔隙结构，能够吸附气体中的有机污染物、异味分子以及部分无机污染物。‌</w:t>
            </w:r>
          </w:p>
          <w:p>
            <w:pPr>
              <w:pStyle w:val="122"/>
              <w:ind w:firstLine="480"/>
              <w:rPr>
                <w:color w:val="auto"/>
              </w:rPr>
            </w:pPr>
            <w:r>
              <w:rPr>
                <w:color w:val="auto"/>
              </w:rPr>
              <w:t>③‌第二级吸附‌：经过第一级处理的废气进入第二级</w:t>
            </w:r>
            <w:r>
              <w:rPr>
                <w:rFonts w:hint="eastAsia"/>
                <w:color w:val="auto"/>
                <w:lang w:eastAsia="zh-CN"/>
              </w:rPr>
              <w:t>颗粒</w:t>
            </w:r>
            <w:r>
              <w:rPr>
                <w:color w:val="auto"/>
              </w:rPr>
              <w:t>活性炭吸附层。第二级</w:t>
            </w:r>
            <w:r>
              <w:rPr>
                <w:rFonts w:hint="eastAsia"/>
                <w:color w:val="auto"/>
                <w:lang w:eastAsia="zh-CN"/>
              </w:rPr>
              <w:t>颗粒</w:t>
            </w:r>
            <w:r>
              <w:rPr>
                <w:color w:val="auto"/>
              </w:rPr>
              <w:t>活性炭能够针对前一级未能完全去除的微量污染物进行深度净化，确保即便是极为顽固的污染物分子也能被有效吸附‌。</w:t>
            </w:r>
          </w:p>
          <w:p>
            <w:pPr>
              <w:pStyle w:val="122"/>
              <w:ind w:firstLine="480"/>
              <w:rPr>
                <w:color w:val="auto"/>
              </w:rPr>
            </w:pPr>
            <w:r>
              <w:rPr>
                <w:color w:val="auto"/>
              </w:rPr>
              <w:fldChar w:fldCharType="begin"/>
            </w:r>
            <w:r>
              <w:rPr>
                <w:color w:val="auto"/>
              </w:rPr>
              <w:instrText xml:space="preserve"> = 4 \* GB3 \* MERGEFORMAT </w:instrText>
            </w:r>
            <w:r>
              <w:rPr>
                <w:color w:val="auto"/>
              </w:rPr>
              <w:fldChar w:fldCharType="separate"/>
            </w:r>
            <w:r>
              <w:rPr>
                <w:color w:val="auto"/>
              </w:rPr>
              <w:t>④</w:t>
            </w:r>
            <w:r>
              <w:rPr>
                <w:color w:val="auto"/>
              </w:rPr>
              <w:fldChar w:fldCharType="end"/>
            </w:r>
            <w:r>
              <w:rPr>
                <w:color w:val="auto"/>
              </w:rPr>
              <w:t>‌净化与排放‌：经过两级吸附处理后的废气通过排气筒排入大气，从而实现废气的有效净化‌。</w:t>
            </w:r>
          </w:p>
          <w:p>
            <w:pPr>
              <w:pStyle w:val="122"/>
              <w:ind w:firstLine="480"/>
              <w:rPr>
                <w:color w:val="auto"/>
              </w:rPr>
            </w:pPr>
            <w:r>
              <w:rPr>
                <w:rFonts w:hint="eastAsia"/>
                <w:color w:val="auto"/>
              </w:rPr>
              <w:t>（3）技术可行分析</w:t>
            </w:r>
          </w:p>
          <w:p>
            <w:pPr>
              <w:pStyle w:val="122"/>
              <w:ind w:firstLine="480"/>
              <w:rPr>
                <w:rFonts w:hint="eastAsia"/>
                <w:color w:val="auto"/>
                <w:lang w:val="en-US" w:eastAsia="zh-CN"/>
              </w:rPr>
            </w:pPr>
            <w:r>
              <w:rPr>
                <w:rFonts w:hint="eastAsia"/>
                <w:color w:val="auto"/>
              </w:rPr>
              <w:t>根据《排污许可证申请与核发技术规范 印刷行业》（HJ1066－2019）表A1废气治理可行技术参考表（详见</w:t>
            </w:r>
            <w:r>
              <w:rPr>
                <w:rFonts w:hint="eastAsia"/>
                <w:b/>
                <w:bCs w:val="0"/>
                <w:color w:val="auto"/>
              </w:rPr>
              <w:t>表4.1-2</w:t>
            </w:r>
            <w:r>
              <w:rPr>
                <w:rFonts w:hint="eastAsia"/>
                <w:color w:val="auto"/>
              </w:rPr>
              <w:t>）</w:t>
            </w:r>
            <w:r>
              <w:rPr>
                <w:rFonts w:hint="eastAsia"/>
                <w:color w:val="auto"/>
                <w:lang w:val="en-US" w:eastAsia="zh-CN"/>
              </w:rPr>
              <w:t>和《挥发性有机物治理实用手册》</w:t>
            </w:r>
            <w:r>
              <w:rPr>
                <w:rFonts w:hint="eastAsia"/>
                <w:color w:val="auto"/>
              </w:rPr>
              <w:t>，</w:t>
            </w:r>
            <w:r>
              <w:rPr>
                <w:rFonts w:hint="eastAsia"/>
                <w:color w:val="auto"/>
                <w:lang w:val="en-US" w:eastAsia="zh-CN"/>
              </w:rPr>
              <w:t>印刷、复合等工序采用活性炭吸附（现场再生）处理是目前较为成熟可行的技术。</w:t>
            </w:r>
          </w:p>
          <w:p>
            <w:pPr>
              <w:pStyle w:val="49"/>
              <w:rPr>
                <w:bCs/>
                <w:color w:val="auto"/>
              </w:rPr>
            </w:pPr>
            <w:r>
              <w:rPr>
                <w:bCs/>
                <w:color w:val="auto"/>
              </w:rPr>
              <w:t>表</w:t>
            </w:r>
            <w:r>
              <w:rPr>
                <w:rFonts w:hint="eastAsia"/>
                <w:bCs/>
                <w:color w:val="auto"/>
              </w:rPr>
              <w:t xml:space="preserve">4.1-2  </w:t>
            </w:r>
            <w:r>
              <w:rPr>
                <w:bCs/>
                <w:color w:val="auto"/>
              </w:rPr>
              <w:t>《排污许可证申请与核发技术规范 印刷行业》（HJ1066－2019）表A1废气治理可行技术参考表</w:t>
            </w:r>
          </w:p>
          <w:tbl>
            <w:tblPr>
              <w:tblStyle w:val="179"/>
              <w:tblW w:w="8504"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1404"/>
              <w:gridCol w:w="1960"/>
              <w:gridCol w:w="1754"/>
              <w:gridCol w:w="3386"/>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404" w:type="dxa"/>
                  <w:tcBorders>
                    <w:tl2br w:val="nil"/>
                    <w:tr2bl w:val="nil"/>
                  </w:tcBorders>
                  <w:vAlign w:val="center"/>
                </w:tcPr>
                <w:p>
                  <w:pPr>
                    <w:pStyle w:val="143"/>
                    <w:rPr>
                      <w:color w:val="auto"/>
                      <w:szCs w:val="21"/>
                    </w:rPr>
                  </w:pPr>
                  <w:r>
                    <w:rPr>
                      <w:rFonts w:hint="eastAsia"/>
                      <w:color w:val="auto"/>
                      <w:szCs w:val="21"/>
                    </w:rPr>
                    <w:t>工艺环节</w:t>
                  </w:r>
                </w:p>
              </w:tc>
              <w:tc>
                <w:tcPr>
                  <w:tcW w:w="1960" w:type="dxa"/>
                  <w:tcBorders>
                    <w:tl2br w:val="nil"/>
                    <w:tr2bl w:val="nil"/>
                  </w:tcBorders>
                  <w:vAlign w:val="center"/>
                </w:tcPr>
                <w:p>
                  <w:pPr>
                    <w:pStyle w:val="143"/>
                    <w:rPr>
                      <w:color w:val="auto"/>
                      <w:szCs w:val="21"/>
                    </w:rPr>
                  </w:pPr>
                  <w:r>
                    <w:rPr>
                      <w:rFonts w:hint="eastAsia"/>
                      <w:color w:val="auto"/>
                      <w:szCs w:val="21"/>
                    </w:rPr>
                    <w:t>废气来源</w:t>
                  </w:r>
                </w:p>
              </w:tc>
              <w:tc>
                <w:tcPr>
                  <w:tcW w:w="1754" w:type="dxa"/>
                  <w:tcBorders>
                    <w:tl2br w:val="nil"/>
                    <w:tr2bl w:val="nil"/>
                  </w:tcBorders>
                  <w:vAlign w:val="center"/>
                </w:tcPr>
                <w:p>
                  <w:pPr>
                    <w:pStyle w:val="143"/>
                    <w:rPr>
                      <w:color w:val="auto"/>
                      <w:szCs w:val="21"/>
                    </w:rPr>
                  </w:pPr>
                  <w:r>
                    <w:rPr>
                      <w:rFonts w:hint="eastAsia"/>
                      <w:color w:val="auto"/>
                      <w:szCs w:val="21"/>
                    </w:rPr>
                    <w:t>适用污染物情况</w:t>
                  </w:r>
                </w:p>
              </w:tc>
              <w:tc>
                <w:tcPr>
                  <w:tcW w:w="3386" w:type="dxa"/>
                  <w:tcBorders>
                    <w:tl2br w:val="nil"/>
                    <w:tr2bl w:val="nil"/>
                  </w:tcBorders>
                  <w:vAlign w:val="center"/>
                </w:tcPr>
                <w:p>
                  <w:pPr>
                    <w:pStyle w:val="143"/>
                    <w:rPr>
                      <w:color w:val="auto"/>
                      <w:szCs w:val="21"/>
                    </w:rPr>
                  </w:pPr>
                  <w:r>
                    <w:rPr>
                      <w:rFonts w:hint="eastAsia"/>
                      <w:color w:val="auto"/>
                      <w:szCs w:val="21"/>
                    </w:rPr>
                    <w:t>可行技术</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404" w:type="dxa"/>
                  <w:vMerge w:val="restart"/>
                  <w:tcBorders>
                    <w:tl2br w:val="nil"/>
                    <w:tr2bl w:val="nil"/>
                  </w:tcBorders>
                  <w:vAlign w:val="center"/>
                </w:tcPr>
                <w:p>
                  <w:pPr>
                    <w:pStyle w:val="143"/>
                    <w:rPr>
                      <w:color w:val="auto"/>
                      <w:szCs w:val="21"/>
                    </w:rPr>
                  </w:pPr>
                  <w:r>
                    <w:rPr>
                      <w:rFonts w:hint="eastAsia"/>
                      <w:color w:val="auto"/>
                      <w:szCs w:val="21"/>
                    </w:rPr>
                    <w:t>印前加工、印刷和复合涂布等其他生产单元</w:t>
                  </w:r>
                </w:p>
              </w:tc>
              <w:tc>
                <w:tcPr>
                  <w:tcW w:w="1960" w:type="dxa"/>
                  <w:vMerge w:val="restart"/>
                  <w:tcBorders>
                    <w:tl2br w:val="nil"/>
                    <w:tr2bl w:val="nil"/>
                  </w:tcBorders>
                  <w:vAlign w:val="center"/>
                </w:tcPr>
                <w:p>
                  <w:pPr>
                    <w:pStyle w:val="143"/>
                    <w:rPr>
                      <w:color w:val="auto"/>
                      <w:szCs w:val="21"/>
                    </w:rPr>
                  </w:pPr>
                  <w:r>
                    <w:rPr>
                      <w:rFonts w:hint="eastAsia"/>
                      <w:color w:val="auto"/>
                      <w:szCs w:val="21"/>
                    </w:rPr>
                    <w:t>调墨、供墨、凹版印刷、平版印刷、凸版（柔版）印刷、孔版印刷、复合（覆膜）、涂布等</w:t>
                  </w:r>
                </w:p>
              </w:tc>
              <w:tc>
                <w:tcPr>
                  <w:tcW w:w="1754" w:type="dxa"/>
                  <w:tcBorders>
                    <w:tl2br w:val="nil"/>
                    <w:tr2bl w:val="nil"/>
                  </w:tcBorders>
                  <w:vAlign w:val="center"/>
                </w:tcPr>
                <w:p>
                  <w:pPr>
                    <w:pStyle w:val="143"/>
                    <w:rPr>
                      <w:color w:val="auto"/>
                      <w:szCs w:val="21"/>
                    </w:rPr>
                  </w:pPr>
                  <w:r>
                    <w:rPr>
                      <w:rFonts w:hint="eastAsia"/>
                      <w:color w:val="auto"/>
                      <w:szCs w:val="21"/>
                    </w:rPr>
                    <w:t>挥发性有机物浓度&gt;1000mg/m</w:t>
                  </w:r>
                  <w:r>
                    <w:rPr>
                      <w:rFonts w:hint="eastAsia"/>
                      <w:color w:val="auto"/>
                      <w:szCs w:val="21"/>
                      <w:vertAlign w:val="superscript"/>
                    </w:rPr>
                    <w:t>3</w:t>
                  </w:r>
                </w:p>
              </w:tc>
              <w:tc>
                <w:tcPr>
                  <w:tcW w:w="3386" w:type="dxa"/>
                  <w:tcBorders>
                    <w:tl2br w:val="nil"/>
                    <w:tr2bl w:val="nil"/>
                  </w:tcBorders>
                  <w:vAlign w:val="center"/>
                </w:tcPr>
                <w:p>
                  <w:pPr>
                    <w:pStyle w:val="143"/>
                    <w:rPr>
                      <w:color w:val="auto"/>
                      <w:szCs w:val="21"/>
                    </w:rPr>
                  </w:pPr>
                  <w:r>
                    <w:rPr>
                      <w:rFonts w:hint="eastAsia"/>
                      <w:color w:val="auto"/>
                      <w:szCs w:val="21"/>
                    </w:rPr>
                    <w:t>吸附+冷凝回收、活性炭吸附（现场再生）、浓缩+热力（催化）氧化、直接热力（催化）氧化、其他</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1404" w:type="dxa"/>
                  <w:vMerge w:val="continue"/>
                  <w:tcBorders>
                    <w:tl2br w:val="nil"/>
                    <w:tr2bl w:val="nil"/>
                  </w:tcBorders>
                  <w:vAlign w:val="center"/>
                </w:tcPr>
                <w:p>
                  <w:pPr>
                    <w:pStyle w:val="143"/>
                    <w:rPr>
                      <w:color w:val="auto"/>
                      <w:szCs w:val="21"/>
                    </w:rPr>
                  </w:pPr>
                </w:p>
              </w:tc>
              <w:tc>
                <w:tcPr>
                  <w:tcW w:w="1960" w:type="dxa"/>
                  <w:vMerge w:val="continue"/>
                  <w:tcBorders>
                    <w:tl2br w:val="nil"/>
                    <w:tr2bl w:val="nil"/>
                  </w:tcBorders>
                  <w:vAlign w:val="center"/>
                </w:tcPr>
                <w:p>
                  <w:pPr>
                    <w:pStyle w:val="143"/>
                    <w:rPr>
                      <w:color w:val="auto"/>
                      <w:szCs w:val="21"/>
                    </w:rPr>
                  </w:pPr>
                </w:p>
              </w:tc>
              <w:tc>
                <w:tcPr>
                  <w:tcW w:w="1754" w:type="dxa"/>
                  <w:tcBorders>
                    <w:tl2br w:val="nil"/>
                    <w:tr2bl w:val="nil"/>
                  </w:tcBorders>
                  <w:vAlign w:val="center"/>
                </w:tcPr>
                <w:p>
                  <w:pPr>
                    <w:pStyle w:val="143"/>
                    <w:jc w:val="both"/>
                    <w:rPr>
                      <w:color w:val="auto"/>
                      <w:szCs w:val="21"/>
                    </w:rPr>
                  </w:pPr>
                  <w:r>
                    <w:rPr>
                      <w:rFonts w:hint="eastAsia"/>
                      <w:color w:val="auto"/>
                      <w:szCs w:val="21"/>
                    </w:rPr>
                    <w:t>挥发性有机物浓度</w:t>
                  </w:r>
                  <w:r>
                    <w:rPr>
                      <w:rFonts w:hint="default" w:ascii="Times New Roman" w:hAnsi="Times New Roman" w:cs="Times New Roman"/>
                      <w:color w:val="auto"/>
                      <w:szCs w:val="21"/>
                    </w:rPr>
                    <w:t>&lt;</w:t>
                  </w:r>
                  <w:r>
                    <w:rPr>
                      <w:rFonts w:hint="eastAsia"/>
                      <w:color w:val="auto"/>
                      <w:szCs w:val="21"/>
                    </w:rPr>
                    <w:t>1000mg/m</w:t>
                  </w:r>
                  <w:r>
                    <w:rPr>
                      <w:rFonts w:hint="eastAsia"/>
                      <w:color w:val="auto"/>
                      <w:szCs w:val="21"/>
                      <w:vertAlign w:val="superscript"/>
                    </w:rPr>
                    <w:t>3</w:t>
                  </w:r>
                </w:p>
              </w:tc>
              <w:tc>
                <w:tcPr>
                  <w:tcW w:w="3386" w:type="dxa"/>
                  <w:tcBorders>
                    <w:tl2br w:val="nil"/>
                    <w:tr2bl w:val="nil"/>
                  </w:tcBorders>
                  <w:vAlign w:val="center"/>
                </w:tcPr>
                <w:p>
                  <w:pPr>
                    <w:pStyle w:val="143"/>
                    <w:jc w:val="both"/>
                    <w:rPr>
                      <w:color w:val="auto"/>
                      <w:szCs w:val="21"/>
                    </w:rPr>
                  </w:pPr>
                  <w:r>
                    <w:rPr>
                      <w:rFonts w:hint="eastAsia"/>
                      <w:b w:val="0"/>
                      <w:bCs w:val="0"/>
                      <w:color w:val="auto"/>
                      <w:szCs w:val="21"/>
                    </w:rPr>
                    <w:t>活性炭吸附</w:t>
                  </w:r>
                  <w:r>
                    <w:rPr>
                      <w:rFonts w:hint="eastAsia"/>
                      <w:b w:val="0"/>
                      <w:bCs w:val="0"/>
                      <w:color w:val="auto"/>
                      <w:szCs w:val="21"/>
                      <w:lang w:eastAsia="zh-CN"/>
                    </w:rPr>
                    <w:t>（</w:t>
                  </w:r>
                  <w:r>
                    <w:rPr>
                      <w:rFonts w:hint="eastAsia"/>
                      <w:b w:val="0"/>
                      <w:bCs w:val="0"/>
                      <w:color w:val="auto"/>
                      <w:szCs w:val="21"/>
                      <w:lang w:val="en-US" w:eastAsia="zh-CN"/>
                    </w:rPr>
                    <w:t>现场再生</w:t>
                  </w:r>
                  <w:r>
                    <w:rPr>
                      <w:rFonts w:hint="eastAsia"/>
                      <w:b w:val="0"/>
                      <w:bCs w:val="0"/>
                      <w:color w:val="auto"/>
                      <w:szCs w:val="21"/>
                      <w:lang w:eastAsia="zh-CN"/>
                    </w:rPr>
                    <w:t>）</w:t>
                  </w:r>
                  <w:r>
                    <w:rPr>
                      <w:rFonts w:hint="eastAsia"/>
                      <w:b w:val="0"/>
                      <w:bCs w:val="0"/>
                      <w:color w:val="auto"/>
                      <w:szCs w:val="21"/>
                    </w:rPr>
                    <w:t>、</w:t>
                  </w:r>
                  <w:r>
                    <w:rPr>
                      <w:rFonts w:hint="eastAsia"/>
                      <w:color w:val="auto"/>
                      <w:szCs w:val="21"/>
                    </w:rPr>
                    <w:t>浓缩+热力（催化）氧化、直接热力（催化）氧化、</w:t>
                  </w:r>
                  <w:r>
                    <w:rPr>
                      <w:rFonts w:hint="eastAsia"/>
                      <w:b/>
                      <w:bCs/>
                      <w:color w:val="auto"/>
                      <w:szCs w:val="21"/>
                    </w:rPr>
                    <w:t>其他</w:t>
                  </w:r>
                </w:p>
              </w:tc>
            </w:tr>
          </w:tbl>
          <w:p>
            <w:pPr>
              <w:pStyle w:val="122"/>
              <w:ind w:firstLine="480"/>
              <w:rPr>
                <w:rFonts w:hint="eastAsia" w:eastAsia="宋体"/>
                <w:color w:val="auto"/>
                <w:lang w:val="en-US" w:eastAsia="zh-CN"/>
              </w:rPr>
            </w:pPr>
            <w:r>
              <w:rPr>
                <w:rFonts w:hint="eastAsia"/>
                <w:color w:val="auto"/>
                <w:lang w:val="en-US" w:eastAsia="zh-CN"/>
              </w:rPr>
              <w:t>扩建项目采用喷淋塔+</w:t>
            </w:r>
            <w:r>
              <w:rPr>
                <w:rFonts w:hint="eastAsia"/>
                <w:color w:val="auto"/>
              </w:rPr>
              <w:t>二级</w:t>
            </w:r>
            <w:r>
              <w:rPr>
                <w:rFonts w:hint="eastAsia"/>
                <w:color w:val="auto"/>
                <w:lang w:eastAsia="zh-CN"/>
              </w:rPr>
              <w:t>颗粒</w:t>
            </w:r>
            <w:r>
              <w:rPr>
                <w:color w:val="auto"/>
              </w:rPr>
              <w:t>活性炭</w:t>
            </w:r>
            <w:r>
              <w:rPr>
                <w:rFonts w:hint="eastAsia"/>
                <w:color w:val="auto"/>
              </w:rPr>
              <w:t>吸附工艺</w:t>
            </w:r>
            <w:r>
              <w:rPr>
                <w:rFonts w:hint="eastAsia"/>
                <w:color w:val="auto"/>
                <w:lang w:eastAsia="zh-CN"/>
              </w:rPr>
              <w:t>，</w:t>
            </w:r>
            <w:r>
              <w:rPr>
                <w:rFonts w:hint="eastAsia"/>
                <w:color w:val="auto"/>
                <w:lang w:val="en-US" w:eastAsia="zh-CN"/>
              </w:rPr>
              <w:t>有机废气非甲烷总烃的处理效率能达到90%，可以达标排放，</w:t>
            </w:r>
            <w:r>
              <w:rPr>
                <w:rFonts w:hint="eastAsia"/>
                <w:color w:val="auto"/>
              </w:rPr>
              <w:t>为保证废气与</w:t>
            </w:r>
            <w:r>
              <w:rPr>
                <w:rFonts w:hint="eastAsia"/>
                <w:color w:val="auto"/>
                <w:lang w:eastAsia="zh-CN"/>
              </w:rPr>
              <w:t>颗粒</w:t>
            </w:r>
            <w:r>
              <w:rPr>
                <w:color w:val="auto"/>
              </w:rPr>
              <w:t>活性炭</w:t>
            </w:r>
            <w:r>
              <w:rPr>
                <w:rFonts w:hint="eastAsia"/>
                <w:color w:val="auto"/>
              </w:rPr>
              <w:t>的接触时间和吸附效果，要求控制吸附装置吸附层的风速，一般取0.10m/s～0.15m/s之间；吸附剂和气体的接触时间宜按不低于3s计；同时确保项目</w:t>
            </w:r>
            <w:r>
              <w:rPr>
                <w:rFonts w:hint="eastAsia"/>
                <w:color w:val="auto"/>
                <w:lang w:eastAsia="zh-CN"/>
              </w:rPr>
              <w:t>颗粒</w:t>
            </w:r>
            <w:r>
              <w:rPr>
                <w:color w:val="auto"/>
              </w:rPr>
              <w:t>活性炭</w:t>
            </w:r>
            <w:r>
              <w:rPr>
                <w:rFonts w:hint="eastAsia"/>
                <w:color w:val="auto"/>
              </w:rPr>
              <w:t>吸附装置一次性装置量，定期更换</w:t>
            </w:r>
            <w:r>
              <w:rPr>
                <w:rFonts w:hint="eastAsia"/>
                <w:color w:val="auto"/>
                <w:lang w:eastAsia="zh-CN"/>
              </w:rPr>
              <w:t>颗粒</w:t>
            </w:r>
            <w:r>
              <w:rPr>
                <w:color w:val="auto"/>
              </w:rPr>
              <w:t>活性炭</w:t>
            </w:r>
            <w:r>
              <w:rPr>
                <w:rFonts w:hint="eastAsia"/>
                <w:color w:val="auto"/>
                <w:lang w:eastAsia="zh-CN"/>
              </w:rPr>
              <w:t>；</w:t>
            </w:r>
            <w:r>
              <w:rPr>
                <w:rFonts w:hint="eastAsia"/>
                <w:color w:val="auto"/>
                <w:lang w:val="en-US" w:eastAsia="zh-CN"/>
              </w:rPr>
              <w:t>定期更换喷淋废液，则扩建项目采用喷淋塔+</w:t>
            </w:r>
            <w:r>
              <w:rPr>
                <w:rFonts w:hint="eastAsia"/>
                <w:color w:val="auto"/>
              </w:rPr>
              <w:t>二级</w:t>
            </w:r>
            <w:r>
              <w:rPr>
                <w:rFonts w:hint="eastAsia"/>
                <w:color w:val="auto"/>
                <w:lang w:eastAsia="zh-CN"/>
              </w:rPr>
              <w:t>颗粒</w:t>
            </w:r>
            <w:r>
              <w:rPr>
                <w:color w:val="auto"/>
              </w:rPr>
              <w:t>活性炭</w:t>
            </w:r>
            <w:r>
              <w:rPr>
                <w:rFonts w:hint="eastAsia"/>
                <w:color w:val="auto"/>
              </w:rPr>
              <w:t>吸附</w:t>
            </w:r>
            <w:r>
              <w:rPr>
                <w:rFonts w:hint="eastAsia"/>
                <w:color w:val="auto"/>
                <w:lang w:val="en-US" w:eastAsia="zh-CN"/>
              </w:rPr>
              <w:t>属于可行措施。</w:t>
            </w:r>
          </w:p>
          <w:p>
            <w:pPr>
              <w:pStyle w:val="122"/>
              <w:ind w:firstLine="480"/>
              <w:rPr>
                <w:color w:val="auto"/>
              </w:rPr>
            </w:pPr>
            <w:r>
              <w:rPr>
                <w:rFonts w:hint="eastAsia"/>
                <w:color w:val="auto"/>
              </w:rPr>
              <w:t>（4）集气效率要求</w:t>
            </w:r>
          </w:p>
          <w:p>
            <w:pPr>
              <w:pStyle w:val="122"/>
              <w:ind w:firstLine="480"/>
              <w:rPr>
                <w:color w:val="auto"/>
              </w:rPr>
            </w:pPr>
            <w:r>
              <w:rPr>
                <w:rFonts w:hint="eastAsia"/>
                <w:color w:val="auto"/>
              </w:rPr>
              <w:t>根据《福建省环保厅关于印发福建省重点行业挥发性有机物排放控制要求（试行）的通知》（闽环保大气〔2017〕9号）中提出的密闭式局部收集的逸散的VOCs废气收集率应达到80%以上，项目油墨调配、印刷及烘干、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eastAsia"/>
                <w:color w:val="auto"/>
              </w:rPr>
              <w:t>复合及烘干、熟化会产生有机废气，则油墨调配、印刷及烘干、酯溶型聚氨酯粘合剂调配、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eastAsia"/>
                <w:color w:val="auto"/>
              </w:rPr>
              <w:t>复合及烘干、熟化工序拟设置密闭空间，微负压收集废气，参照生态环境部办公厅关于印发《主要污染物总量减排核算技术指南（2022年修订）》的通知（环办综合函〔2022〕350号）表2-3，密闭空间负压收集效率按90%计，本项目属于微负压密闭空间，收集效率取90%，本项目要求废气收集系统与生产设备自动同步启动，采取以上措施后，正常情况下，可确保收集效率达到90%，可符合闽环保大气〔2017〕9号提出VOCs废气收集率应达到80%以上。</w:t>
            </w:r>
          </w:p>
          <w:p>
            <w:pPr>
              <w:pStyle w:val="122"/>
              <w:ind w:firstLine="480"/>
              <w:rPr>
                <w:color w:val="auto"/>
              </w:rPr>
            </w:pPr>
            <w:r>
              <w:rPr>
                <w:rFonts w:hint="eastAsia"/>
                <w:color w:val="auto"/>
              </w:rPr>
              <w:t>（5）长期稳定运行和达标排放要求</w:t>
            </w:r>
          </w:p>
          <w:p>
            <w:pPr>
              <w:pStyle w:val="122"/>
              <w:ind w:firstLine="480"/>
              <w:rPr>
                <w:color w:val="auto"/>
              </w:rPr>
            </w:pPr>
            <w:r>
              <w:rPr>
                <w:rFonts w:hint="eastAsia"/>
                <w:color w:val="auto"/>
              </w:rPr>
              <w:t>为确保</w:t>
            </w:r>
            <w:r>
              <w:rPr>
                <w:rFonts w:hint="eastAsia"/>
                <w:color w:val="auto"/>
                <w:lang w:eastAsia="zh-CN"/>
              </w:rPr>
              <w:t>颗粒</w:t>
            </w:r>
            <w:r>
              <w:rPr>
                <w:color w:val="auto"/>
              </w:rPr>
              <w:t>活性炭</w:t>
            </w:r>
            <w:r>
              <w:rPr>
                <w:rFonts w:hint="eastAsia"/>
                <w:color w:val="auto"/>
              </w:rPr>
              <w:t>对有机废气的净化效率，本评价要求采取以下设计措施：</w:t>
            </w:r>
          </w:p>
          <w:p>
            <w:pPr>
              <w:pStyle w:val="122"/>
              <w:ind w:firstLine="480"/>
              <w:rPr>
                <w:color w:val="auto"/>
              </w:rPr>
            </w:pPr>
            <w:r>
              <w:rPr>
                <w:rFonts w:hint="eastAsia"/>
                <w:color w:val="auto"/>
              </w:rPr>
              <w:t>A.</w:t>
            </w:r>
            <w:r>
              <w:rPr>
                <w:rFonts w:hint="eastAsia"/>
                <w:color w:val="auto"/>
                <w:lang w:eastAsia="zh-CN"/>
              </w:rPr>
              <w:t>颗粒</w:t>
            </w:r>
            <w:r>
              <w:rPr>
                <w:color w:val="auto"/>
              </w:rPr>
              <w:t>活性炭</w:t>
            </w:r>
            <w:r>
              <w:rPr>
                <w:rFonts w:hint="eastAsia"/>
                <w:color w:val="auto"/>
              </w:rPr>
              <w:t>的BET比表面积应不低于</w:t>
            </w:r>
            <w:r>
              <w:rPr>
                <w:rFonts w:hint="eastAsia"/>
                <w:color w:val="auto"/>
                <w:lang w:val="en-US" w:eastAsia="zh-CN"/>
              </w:rPr>
              <w:t>850</w:t>
            </w:r>
            <w:r>
              <w:rPr>
                <w:rFonts w:hint="eastAsia"/>
                <w:color w:val="auto"/>
              </w:rPr>
              <w:t>m</w:t>
            </w:r>
            <w:r>
              <w:rPr>
                <w:rFonts w:hint="eastAsia"/>
                <w:color w:val="auto"/>
                <w:vertAlign w:val="superscript"/>
              </w:rPr>
              <w:t>2</w:t>
            </w:r>
            <w:r>
              <w:rPr>
                <w:rFonts w:hint="eastAsia"/>
                <w:color w:val="auto"/>
              </w:rPr>
              <w:t>/g；</w:t>
            </w:r>
          </w:p>
          <w:p>
            <w:pPr>
              <w:pStyle w:val="122"/>
              <w:ind w:firstLine="480"/>
              <w:rPr>
                <w:color w:val="auto"/>
              </w:rPr>
            </w:pPr>
            <w:r>
              <w:rPr>
                <w:rFonts w:hint="eastAsia"/>
                <w:color w:val="auto"/>
              </w:rPr>
              <w:t>B.采用</w:t>
            </w:r>
            <w:r>
              <w:rPr>
                <w:rFonts w:hint="eastAsia"/>
                <w:color w:val="auto"/>
                <w:lang w:eastAsia="zh-CN"/>
              </w:rPr>
              <w:t>颗粒</w:t>
            </w:r>
            <w:r>
              <w:rPr>
                <w:color w:val="auto"/>
              </w:rPr>
              <w:t>活性炭</w:t>
            </w:r>
            <w:r>
              <w:rPr>
                <w:rFonts w:hint="eastAsia"/>
                <w:color w:val="auto"/>
              </w:rPr>
              <w:t>吸附时，气体流速宜低于0.15m/s；</w:t>
            </w:r>
          </w:p>
          <w:p>
            <w:pPr>
              <w:pStyle w:val="122"/>
              <w:ind w:firstLine="480"/>
              <w:rPr>
                <w:color w:val="auto"/>
              </w:rPr>
            </w:pPr>
            <w:r>
              <w:rPr>
                <w:rFonts w:hint="eastAsia"/>
                <w:color w:val="auto"/>
              </w:rPr>
              <w:t>C.有机废气中颗粒物含量不得超过1mg/m</w:t>
            </w:r>
            <w:r>
              <w:rPr>
                <w:rFonts w:hint="eastAsia"/>
                <w:color w:val="auto"/>
                <w:vertAlign w:val="superscript"/>
              </w:rPr>
              <w:t>3</w:t>
            </w:r>
            <w:r>
              <w:rPr>
                <w:rFonts w:hint="eastAsia"/>
                <w:color w:val="auto"/>
              </w:rPr>
              <w:t>时；</w:t>
            </w:r>
          </w:p>
          <w:p>
            <w:pPr>
              <w:pStyle w:val="122"/>
              <w:ind w:firstLine="480"/>
              <w:rPr>
                <w:color w:val="auto"/>
              </w:rPr>
            </w:pPr>
            <w:r>
              <w:rPr>
                <w:rFonts w:hint="eastAsia"/>
                <w:color w:val="auto"/>
              </w:rPr>
              <w:t>D.当排气浓度不能满足设计或排放要求时应更换吸附剂；</w:t>
            </w:r>
          </w:p>
          <w:p>
            <w:pPr>
              <w:pStyle w:val="122"/>
              <w:ind w:firstLine="480"/>
              <w:rPr>
                <w:color w:val="auto"/>
              </w:rPr>
            </w:pPr>
            <w:r>
              <w:rPr>
                <w:rFonts w:hint="eastAsia"/>
                <w:color w:val="auto"/>
              </w:rPr>
              <w:t>E.采用</w:t>
            </w:r>
            <w:r>
              <w:rPr>
                <w:rFonts w:hint="eastAsia"/>
                <w:color w:val="auto"/>
                <w:lang w:eastAsia="zh-CN"/>
              </w:rPr>
              <w:t>颗粒</w:t>
            </w:r>
            <w:r>
              <w:rPr>
                <w:color w:val="auto"/>
              </w:rPr>
              <w:t>活性炭</w:t>
            </w:r>
            <w:r>
              <w:rPr>
                <w:rFonts w:hint="eastAsia"/>
                <w:color w:val="auto"/>
              </w:rPr>
              <w:t>吸附时，吸附单元的压力损失宜低于4kPa；</w:t>
            </w:r>
          </w:p>
          <w:p>
            <w:pPr>
              <w:pStyle w:val="122"/>
              <w:ind w:firstLine="480"/>
              <w:rPr>
                <w:color w:val="auto"/>
              </w:rPr>
            </w:pPr>
            <w:r>
              <w:rPr>
                <w:rFonts w:hint="eastAsia"/>
                <w:color w:val="auto"/>
              </w:rPr>
              <w:t>F.采用孔径、空间分布及比表面积大的</w:t>
            </w:r>
            <w:r>
              <w:rPr>
                <w:rFonts w:hint="eastAsia"/>
                <w:color w:val="auto"/>
                <w:lang w:eastAsia="zh-CN"/>
              </w:rPr>
              <w:t>颗粒</w:t>
            </w:r>
            <w:r>
              <w:rPr>
                <w:color w:val="auto"/>
              </w:rPr>
              <w:t>活性炭</w:t>
            </w:r>
            <w:r>
              <w:rPr>
                <w:rFonts w:hint="eastAsia"/>
                <w:color w:val="auto"/>
              </w:rPr>
              <w:t>；</w:t>
            </w:r>
          </w:p>
          <w:p>
            <w:pPr>
              <w:pStyle w:val="122"/>
              <w:ind w:firstLine="480"/>
              <w:rPr>
                <w:color w:val="auto"/>
              </w:rPr>
            </w:pPr>
            <w:r>
              <w:rPr>
                <w:rFonts w:hint="eastAsia"/>
                <w:color w:val="auto"/>
              </w:rPr>
              <w:t>G.保证吸附质与吸附剂之间一定的接触时间，才能使吸附剂发挥最大的吸附能力。</w:t>
            </w:r>
          </w:p>
          <w:p>
            <w:pPr>
              <w:pStyle w:val="122"/>
              <w:ind w:firstLine="480"/>
              <w:rPr>
                <w:rFonts w:hint="eastAsia"/>
                <w:color w:val="auto"/>
              </w:rPr>
            </w:pPr>
            <w:r>
              <w:rPr>
                <w:rFonts w:hint="eastAsia"/>
                <w:color w:val="auto"/>
              </w:rPr>
              <w:t>建设单位在采取以上措施后，</w:t>
            </w:r>
            <w:r>
              <w:rPr>
                <w:rFonts w:hint="eastAsia"/>
                <w:color w:val="auto"/>
                <w:lang w:val="en-US" w:eastAsia="zh-CN"/>
              </w:rPr>
              <w:t>喷淋塔+</w:t>
            </w:r>
            <w:r>
              <w:rPr>
                <w:rFonts w:hint="eastAsia"/>
                <w:color w:val="auto"/>
              </w:rPr>
              <w:t>二级</w:t>
            </w:r>
            <w:r>
              <w:rPr>
                <w:rFonts w:hint="eastAsia"/>
                <w:color w:val="auto"/>
                <w:lang w:eastAsia="zh-CN"/>
              </w:rPr>
              <w:t>颗粒</w:t>
            </w:r>
            <w:r>
              <w:rPr>
                <w:color w:val="auto"/>
              </w:rPr>
              <w:t>活性炭</w:t>
            </w:r>
            <w:r>
              <w:rPr>
                <w:rFonts w:hint="eastAsia"/>
                <w:color w:val="auto"/>
              </w:rPr>
              <w:t>吸附装置对有机废气的吸附效率一般可达90%</w:t>
            </w:r>
            <w:r>
              <w:rPr>
                <w:rFonts w:hint="eastAsia"/>
                <w:color w:val="auto"/>
                <w:lang w:val="en-US" w:eastAsia="zh-CN"/>
              </w:rPr>
              <w:t>及</w:t>
            </w:r>
            <w:r>
              <w:rPr>
                <w:rFonts w:hint="eastAsia"/>
                <w:color w:val="auto"/>
              </w:rPr>
              <w:t>以上</w:t>
            </w:r>
            <w:r>
              <w:rPr>
                <w:rFonts w:hint="eastAsia"/>
                <w:color w:val="auto"/>
                <w:lang w:eastAsia="zh-CN"/>
              </w:rPr>
              <w:t>。</w:t>
            </w:r>
            <w:r>
              <w:rPr>
                <w:rFonts w:hint="eastAsia"/>
                <w:color w:val="auto"/>
              </w:rPr>
              <w:t>要求项目定期对废气排放进行监测，发现超标时，也应及时更换饱和的</w:t>
            </w:r>
            <w:r>
              <w:rPr>
                <w:rFonts w:hint="eastAsia"/>
                <w:color w:val="auto"/>
                <w:lang w:eastAsia="zh-CN"/>
              </w:rPr>
              <w:t>颗粒</w:t>
            </w:r>
            <w:r>
              <w:rPr>
                <w:color w:val="auto"/>
              </w:rPr>
              <w:t>活性炭</w:t>
            </w:r>
            <w:r>
              <w:rPr>
                <w:rFonts w:hint="eastAsia"/>
                <w:color w:val="auto"/>
              </w:rPr>
              <w:t>，工作人员应根据计划定期检查、维护和更换必要的部件和材料，维护人员应做好相关记录，有机废气治理设备的维护应纳入全厂的设备维护计划中。废活性炭定期收集后交由有资质单位安全处置。</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.1.</w:t>
            </w:r>
            <w:r>
              <w:rPr>
                <w:rFonts w:hint="eastAsia" w:eastAsia="宋体" w:cs="Times New Roman"/>
                <w:b/>
                <w:bCs w:val="0"/>
                <w:color w:val="auto"/>
                <w:sz w:val="30"/>
                <w:szCs w:val="30"/>
              </w:rPr>
              <w:t>3废气非正常情况排放分析</w:t>
            </w:r>
          </w:p>
          <w:p>
            <w:pPr>
              <w:adjustRightInd w:val="0"/>
              <w:snapToGrid w:val="0"/>
              <w:spacing w:line="360" w:lineRule="auto"/>
              <w:ind w:firstLine="480" w:firstLineChars="200"/>
              <w:rPr>
                <w:bCs/>
                <w:color w:val="auto"/>
                <w:sz w:val="24"/>
              </w:rPr>
            </w:pPr>
            <w:r>
              <w:rPr>
                <w:bCs/>
                <w:color w:val="auto"/>
                <w:sz w:val="24"/>
              </w:rPr>
              <w:t>非正常排放主要指生产过程中开、停车、检修、发生一般性故障时污染物排放。非正常排放大小及频率与生产装置的工艺水平、操作管理水平等因素有密切关系，若没有严格的处理措施，往往是造成环境污染的重要因素。对工程而言，重点关注环保设施非正常排放。</w:t>
            </w:r>
          </w:p>
          <w:p>
            <w:pPr>
              <w:adjustRightInd w:val="0"/>
              <w:snapToGrid w:val="0"/>
              <w:spacing w:line="360" w:lineRule="auto"/>
              <w:ind w:firstLine="480" w:firstLineChars="200"/>
              <w:rPr>
                <w:bCs/>
                <w:color w:val="auto"/>
                <w:sz w:val="24"/>
              </w:rPr>
            </w:pPr>
            <w:r>
              <w:rPr>
                <w:rFonts w:hint="eastAsia"/>
                <w:bCs/>
                <w:color w:val="auto"/>
                <w:sz w:val="24"/>
              </w:rPr>
              <w:t>（1）</w:t>
            </w:r>
            <w:r>
              <w:rPr>
                <w:bCs/>
                <w:color w:val="auto"/>
                <w:sz w:val="24"/>
              </w:rPr>
              <w:t>开、停车过程</w:t>
            </w:r>
          </w:p>
          <w:p>
            <w:pPr>
              <w:adjustRightInd w:val="0"/>
              <w:snapToGrid w:val="0"/>
              <w:spacing w:line="360" w:lineRule="auto"/>
              <w:ind w:firstLine="480" w:firstLineChars="200"/>
              <w:rPr>
                <w:bCs/>
                <w:color w:val="auto"/>
                <w:sz w:val="24"/>
              </w:rPr>
            </w:pPr>
            <w:r>
              <w:rPr>
                <w:rFonts w:hint="eastAsia"/>
                <w:bCs/>
                <w:color w:val="auto"/>
                <w:sz w:val="24"/>
              </w:rPr>
              <w:t>扩建</w:t>
            </w:r>
            <w:r>
              <w:rPr>
                <w:bCs/>
                <w:color w:val="auto"/>
                <w:sz w:val="24"/>
              </w:rPr>
              <w:t>项目生产工艺较简单，开、停车和正常生产时</w:t>
            </w:r>
            <w:r>
              <w:rPr>
                <w:rFonts w:hint="eastAsia"/>
                <w:bCs/>
                <w:color w:val="auto"/>
                <w:sz w:val="24"/>
              </w:rPr>
              <w:t>各类</w:t>
            </w:r>
            <w:r>
              <w:rPr>
                <w:bCs/>
                <w:color w:val="auto"/>
                <w:sz w:val="24"/>
              </w:rPr>
              <w:t>废气的产生环节相同，污染源强也变化不大；而且开、停车过程中，应启动</w:t>
            </w:r>
            <w:r>
              <w:rPr>
                <w:rFonts w:hint="eastAsia"/>
                <w:bCs/>
                <w:color w:val="auto"/>
                <w:sz w:val="24"/>
              </w:rPr>
              <w:t>各类</w:t>
            </w:r>
            <w:r>
              <w:rPr>
                <w:bCs/>
                <w:color w:val="auto"/>
                <w:sz w:val="24"/>
              </w:rPr>
              <w:t>废气污染治理设施并处于正常运行状态。</w:t>
            </w:r>
          </w:p>
          <w:p>
            <w:pPr>
              <w:adjustRightInd w:val="0"/>
              <w:snapToGrid w:val="0"/>
              <w:spacing w:line="360" w:lineRule="auto"/>
              <w:ind w:firstLine="480" w:firstLineChars="200"/>
              <w:rPr>
                <w:bCs/>
                <w:color w:val="auto"/>
                <w:sz w:val="24"/>
              </w:rPr>
            </w:pPr>
            <w:r>
              <w:rPr>
                <w:rFonts w:hint="eastAsia"/>
                <w:bCs/>
                <w:color w:val="auto"/>
                <w:sz w:val="24"/>
              </w:rPr>
              <w:t>（2）</w:t>
            </w:r>
            <w:r>
              <w:rPr>
                <w:bCs/>
                <w:color w:val="auto"/>
                <w:sz w:val="24"/>
              </w:rPr>
              <w:t>检修</w:t>
            </w:r>
          </w:p>
          <w:p>
            <w:pPr>
              <w:adjustRightInd w:val="0"/>
              <w:snapToGrid w:val="0"/>
              <w:spacing w:line="360" w:lineRule="auto"/>
              <w:ind w:firstLine="480" w:firstLineChars="200"/>
              <w:rPr>
                <w:bCs/>
                <w:color w:val="auto"/>
                <w:sz w:val="24"/>
              </w:rPr>
            </w:pPr>
            <w:r>
              <w:rPr>
                <w:rFonts w:hint="eastAsia"/>
                <w:bCs/>
                <w:color w:val="auto"/>
                <w:sz w:val="24"/>
              </w:rPr>
              <w:t>扩建</w:t>
            </w:r>
            <w:r>
              <w:rPr>
                <w:bCs/>
                <w:color w:val="auto"/>
                <w:sz w:val="24"/>
              </w:rPr>
              <w:t>项目检修过程停止生产，因此</w:t>
            </w:r>
            <w:r>
              <w:rPr>
                <w:rFonts w:hint="eastAsia"/>
                <w:bCs/>
                <w:color w:val="auto"/>
                <w:sz w:val="24"/>
              </w:rPr>
              <w:t>，基本</w:t>
            </w:r>
            <w:r>
              <w:rPr>
                <w:bCs/>
                <w:color w:val="auto"/>
                <w:sz w:val="24"/>
              </w:rPr>
              <w:t>不产生</w:t>
            </w:r>
            <w:r>
              <w:rPr>
                <w:rFonts w:hint="eastAsia"/>
                <w:bCs/>
                <w:color w:val="auto"/>
                <w:sz w:val="24"/>
              </w:rPr>
              <w:t>废气</w:t>
            </w:r>
            <w:r>
              <w:rPr>
                <w:bCs/>
                <w:color w:val="auto"/>
                <w:sz w:val="24"/>
              </w:rPr>
              <w:t>污染物。</w:t>
            </w:r>
          </w:p>
          <w:p>
            <w:pPr>
              <w:adjustRightInd w:val="0"/>
              <w:snapToGrid w:val="0"/>
              <w:spacing w:line="360" w:lineRule="auto"/>
              <w:ind w:firstLine="480" w:firstLineChars="200"/>
              <w:rPr>
                <w:bCs/>
                <w:color w:val="auto"/>
                <w:sz w:val="24"/>
              </w:rPr>
            </w:pPr>
            <w:r>
              <w:rPr>
                <w:rFonts w:hint="eastAsia"/>
                <w:bCs/>
                <w:color w:val="auto"/>
                <w:sz w:val="24"/>
              </w:rPr>
              <w:t>（3）</w:t>
            </w:r>
            <w:r>
              <w:rPr>
                <w:bCs/>
                <w:color w:val="auto"/>
                <w:sz w:val="24"/>
              </w:rPr>
              <w:t>环保设施发生故障</w:t>
            </w:r>
          </w:p>
          <w:p>
            <w:pPr>
              <w:adjustRightInd w:val="0"/>
              <w:snapToGrid w:val="0"/>
              <w:spacing w:line="360" w:lineRule="auto"/>
              <w:ind w:firstLine="480" w:firstLineChars="200"/>
              <w:rPr>
                <w:bCs/>
                <w:color w:val="auto"/>
                <w:sz w:val="24"/>
              </w:rPr>
            </w:pPr>
            <w:r>
              <w:rPr>
                <w:rFonts w:hint="eastAsia"/>
                <w:bCs/>
                <w:color w:val="auto"/>
                <w:sz w:val="24"/>
              </w:rPr>
              <w:t>扩建项目环保设施发生故障主要考虑</w:t>
            </w:r>
            <w:r>
              <w:rPr>
                <w:rFonts w:hint="eastAsia"/>
                <w:bCs/>
                <w:color w:val="auto"/>
                <w:sz w:val="24"/>
                <w:lang w:val="en-US" w:eastAsia="zh-CN"/>
              </w:rPr>
              <w:t>喷淋塔出故障及</w:t>
            </w:r>
            <w:r>
              <w:rPr>
                <w:rFonts w:hint="eastAsia"/>
                <w:bCs/>
                <w:color w:val="auto"/>
                <w:sz w:val="24"/>
              </w:rPr>
              <w:t>二级</w:t>
            </w:r>
            <w:r>
              <w:rPr>
                <w:rFonts w:hint="eastAsia"/>
                <w:bCs/>
                <w:color w:val="auto"/>
                <w:sz w:val="24"/>
                <w:lang w:eastAsia="zh-CN"/>
              </w:rPr>
              <w:t>颗粒</w:t>
            </w:r>
            <w:r>
              <w:rPr>
                <w:rFonts w:hint="eastAsia"/>
                <w:bCs/>
                <w:color w:val="auto"/>
                <w:sz w:val="24"/>
              </w:rPr>
              <w:t>活性炭吸附装置</w:t>
            </w:r>
            <w:r>
              <w:rPr>
                <w:rFonts w:hint="eastAsia"/>
                <w:bCs/>
                <w:color w:val="auto"/>
                <w:sz w:val="24"/>
                <w:lang w:eastAsia="zh-CN"/>
              </w:rPr>
              <w:t>颗粒</w:t>
            </w:r>
            <w:r>
              <w:rPr>
                <w:rFonts w:hint="eastAsia"/>
                <w:bCs/>
                <w:color w:val="auto"/>
                <w:sz w:val="24"/>
              </w:rPr>
              <w:t>活性炭吸附饱和（</w:t>
            </w:r>
            <w:r>
              <w:rPr>
                <w:bCs/>
                <w:color w:val="auto"/>
                <w:sz w:val="24"/>
              </w:rPr>
              <w:t>相当于</w:t>
            </w:r>
            <w:r>
              <w:rPr>
                <w:rFonts w:hint="eastAsia"/>
                <w:bCs/>
                <w:color w:val="auto"/>
                <w:sz w:val="24"/>
              </w:rPr>
              <w:t>对有机废气</w:t>
            </w:r>
            <w:r>
              <w:rPr>
                <w:bCs/>
                <w:color w:val="auto"/>
                <w:sz w:val="24"/>
              </w:rPr>
              <w:t>处理效率为</w:t>
            </w:r>
            <w:r>
              <w:rPr>
                <w:rFonts w:hint="eastAsia"/>
                <w:bCs/>
                <w:color w:val="auto"/>
                <w:sz w:val="24"/>
              </w:rPr>
              <w:t>0</w:t>
            </w:r>
            <w:r>
              <w:rPr>
                <w:bCs/>
                <w:color w:val="auto"/>
                <w:sz w:val="24"/>
              </w:rPr>
              <w:t>%</w:t>
            </w:r>
            <w:r>
              <w:rPr>
                <w:rFonts w:hint="eastAsia"/>
                <w:bCs/>
                <w:color w:val="auto"/>
                <w:sz w:val="24"/>
              </w:rPr>
              <w:t>），</w:t>
            </w:r>
            <w:r>
              <w:rPr>
                <w:bCs/>
                <w:color w:val="auto"/>
                <w:sz w:val="24"/>
              </w:rPr>
              <w:t>发生故障事</w:t>
            </w:r>
            <w:r>
              <w:rPr>
                <w:rFonts w:hint="eastAsia"/>
                <w:bCs/>
                <w:color w:val="auto"/>
                <w:sz w:val="24"/>
                <w:lang w:val="en-US" w:eastAsia="zh-CN"/>
              </w:rPr>
              <w:t>故</w:t>
            </w:r>
            <w:r>
              <w:rPr>
                <w:bCs/>
                <w:color w:val="auto"/>
                <w:sz w:val="24"/>
              </w:rPr>
              <w:t>废气排放情况见</w:t>
            </w:r>
            <w:r>
              <w:rPr>
                <w:rFonts w:hint="eastAsia"/>
                <w:b/>
                <w:color w:val="auto"/>
                <w:sz w:val="24"/>
              </w:rPr>
              <w:t>表4.1-3</w:t>
            </w:r>
            <w:r>
              <w:rPr>
                <w:bCs/>
                <w:color w:val="auto"/>
                <w:sz w:val="24"/>
              </w:rPr>
              <w:t>。</w:t>
            </w:r>
          </w:p>
          <w:p>
            <w:pPr>
              <w:jc w:val="center"/>
              <w:rPr>
                <w:b/>
                <w:color w:val="auto"/>
                <w:sz w:val="24"/>
              </w:rPr>
            </w:pPr>
            <w:r>
              <w:rPr>
                <w:b/>
                <w:color w:val="auto"/>
                <w:sz w:val="24"/>
              </w:rPr>
              <w:t>表</w:t>
            </w:r>
            <w:r>
              <w:rPr>
                <w:rFonts w:hint="eastAsia"/>
                <w:b/>
                <w:color w:val="auto"/>
                <w:sz w:val="24"/>
              </w:rPr>
              <w:t>4.1-3</w:t>
            </w:r>
            <w:r>
              <w:rPr>
                <w:b/>
                <w:color w:val="auto"/>
                <w:sz w:val="24"/>
              </w:rPr>
              <w:t xml:space="preserve">  </w:t>
            </w:r>
            <w:r>
              <w:rPr>
                <w:rFonts w:hint="eastAsia"/>
                <w:b/>
                <w:color w:val="auto"/>
                <w:sz w:val="24"/>
              </w:rPr>
              <w:t>环保设施发生故障时废气排放情况一览表</w:t>
            </w:r>
          </w:p>
          <w:tbl>
            <w:tblPr>
              <w:tblStyle w:val="179"/>
              <w:tblW w:w="850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2208"/>
              <w:gridCol w:w="843"/>
              <w:gridCol w:w="1008"/>
              <w:gridCol w:w="677"/>
              <w:gridCol w:w="587"/>
              <w:gridCol w:w="952"/>
              <w:gridCol w:w="852"/>
              <w:gridCol w:w="137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208" w:type="dxa"/>
                  <w:vMerge w:val="restart"/>
                  <w:tcBorders>
                    <w:tl2br w:val="nil"/>
                    <w:tr2bl w:val="nil"/>
                  </w:tcBorders>
                  <w:vAlign w:val="center"/>
                </w:tcPr>
                <w:p>
                  <w:pPr>
                    <w:pStyle w:val="46"/>
                    <w:autoSpaceDE w:val="0"/>
                    <w:autoSpaceDN w:val="0"/>
                    <w:rPr>
                      <w:color w:val="auto"/>
                      <w:kern w:val="0"/>
                      <w:szCs w:val="21"/>
                      <w:lang w:eastAsia="en-US"/>
                    </w:rPr>
                  </w:pPr>
                  <w:r>
                    <w:rPr>
                      <w:color w:val="auto"/>
                      <w:kern w:val="0"/>
                      <w:szCs w:val="21"/>
                      <w:lang w:eastAsia="en-US"/>
                    </w:rPr>
                    <w:t>排放源</w:t>
                  </w:r>
                </w:p>
              </w:tc>
              <w:tc>
                <w:tcPr>
                  <w:tcW w:w="843" w:type="dxa"/>
                  <w:vMerge w:val="restart"/>
                  <w:tcBorders>
                    <w:tl2br w:val="nil"/>
                    <w:tr2bl w:val="nil"/>
                  </w:tcBorders>
                  <w:vAlign w:val="center"/>
                </w:tcPr>
                <w:p>
                  <w:pPr>
                    <w:pStyle w:val="46"/>
                    <w:autoSpaceDE w:val="0"/>
                    <w:autoSpaceDN w:val="0"/>
                    <w:rPr>
                      <w:color w:val="auto"/>
                      <w:kern w:val="0"/>
                      <w:szCs w:val="21"/>
                      <w:lang w:eastAsia="en-US"/>
                    </w:rPr>
                  </w:pPr>
                  <w:r>
                    <w:rPr>
                      <w:color w:val="auto"/>
                      <w:kern w:val="0"/>
                      <w:szCs w:val="21"/>
                      <w:lang w:eastAsia="en-US"/>
                    </w:rPr>
                    <w:t>污染</w:t>
                  </w:r>
                </w:p>
                <w:p>
                  <w:pPr>
                    <w:pStyle w:val="46"/>
                    <w:autoSpaceDE w:val="0"/>
                    <w:autoSpaceDN w:val="0"/>
                    <w:rPr>
                      <w:color w:val="auto"/>
                      <w:kern w:val="0"/>
                      <w:szCs w:val="21"/>
                      <w:lang w:eastAsia="en-US"/>
                    </w:rPr>
                  </w:pPr>
                  <w:r>
                    <w:rPr>
                      <w:color w:val="auto"/>
                      <w:kern w:val="0"/>
                      <w:szCs w:val="21"/>
                      <w:lang w:eastAsia="en-US"/>
                    </w:rPr>
                    <w:t>因子</w:t>
                  </w:r>
                </w:p>
              </w:tc>
              <w:tc>
                <w:tcPr>
                  <w:tcW w:w="4076" w:type="dxa"/>
                  <w:gridSpan w:val="5"/>
                  <w:tcBorders>
                    <w:tl2br w:val="nil"/>
                    <w:tr2bl w:val="nil"/>
                  </w:tcBorders>
                  <w:vAlign w:val="center"/>
                </w:tcPr>
                <w:p>
                  <w:pPr>
                    <w:pStyle w:val="46"/>
                    <w:autoSpaceDE w:val="0"/>
                    <w:autoSpaceDN w:val="0"/>
                    <w:rPr>
                      <w:color w:val="auto"/>
                      <w:kern w:val="0"/>
                      <w:szCs w:val="21"/>
                      <w:lang w:eastAsia="en-US"/>
                    </w:rPr>
                  </w:pPr>
                  <w:r>
                    <w:rPr>
                      <w:color w:val="auto"/>
                      <w:kern w:val="0"/>
                      <w:szCs w:val="21"/>
                      <w:lang w:eastAsia="en-US"/>
                    </w:rPr>
                    <w:t>非正常排放情况</w:t>
                  </w:r>
                </w:p>
              </w:tc>
              <w:tc>
                <w:tcPr>
                  <w:tcW w:w="1377" w:type="dxa"/>
                  <w:vMerge w:val="restart"/>
                  <w:tcBorders>
                    <w:tl2br w:val="nil"/>
                    <w:tr2bl w:val="nil"/>
                  </w:tcBorders>
                  <w:vAlign w:val="center"/>
                </w:tcPr>
                <w:p>
                  <w:pPr>
                    <w:pStyle w:val="46"/>
                    <w:autoSpaceDE w:val="0"/>
                    <w:autoSpaceDN w:val="0"/>
                    <w:rPr>
                      <w:color w:val="auto"/>
                      <w:kern w:val="0"/>
                      <w:szCs w:val="21"/>
                      <w:lang w:eastAsia="en-US"/>
                    </w:rPr>
                  </w:pPr>
                  <w:r>
                    <w:rPr>
                      <w:color w:val="auto"/>
                      <w:w w:val="95"/>
                      <w:kern w:val="0"/>
                      <w:szCs w:val="21"/>
                      <w:lang w:eastAsia="en-US"/>
                    </w:rPr>
                    <w:t>应</w:t>
                  </w:r>
                  <w:r>
                    <w:rPr>
                      <w:color w:val="auto"/>
                      <w:kern w:val="0"/>
                      <w:szCs w:val="21"/>
                      <w:lang w:eastAsia="en-US"/>
                    </w:rPr>
                    <w:t>对措施</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208" w:type="dxa"/>
                  <w:vMerge w:val="continue"/>
                  <w:tcBorders>
                    <w:tl2br w:val="nil"/>
                    <w:tr2bl w:val="nil"/>
                  </w:tcBorders>
                  <w:vAlign w:val="center"/>
                </w:tcPr>
                <w:p>
                  <w:pPr>
                    <w:pStyle w:val="46"/>
                    <w:autoSpaceDE w:val="0"/>
                    <w:autoSpaceDN w:val="0"/>
                    <w:rPr>
                      <w:color w:val="auto"/>
                      <w:kern w:val="0"/>
                      <w:szCs w:val="21"/>
                      <w:lang w:eastAsia="en-US"/>
                    </w:rPr>
                  </w:pPr>
                </w:p>
              </w:tc>
              <w:tc>
                <w:tcPr>
                  <w:tcW w:w="843" w:type="dxa"/>
                  <w:vMerge w:val="continue"/>
                  <w:tcBorders>
                    <w:tl2br w:val="nil"/>
                    <w:tr2bl w:val="nil"/>
                  </w:tcBorders>
                  <w:vAlign w:val="center"/>
                </w:tcPr>
                <w:p>
                  <w:pPr>
                    <w:pStyle w:val="46"/>
                    <w:autoSpaceDE w:val="0"/>
                    <w:autoSpaceDN w:val="0"/>
                    <w:rPr>
                      <w:color w:val="auto"/>
                      <w:kern w:val="0"/>
                      <w:szCs w:val="21"/>
                      <w:lang w:eastAsia="en-US"/>
                    </w:rPr>
                  </w:pPr>
                </w:p>
              </w:tc>
              <w:tc>
                <w:tcPr>
                  <w:tcW w:w="1008" w:type="dxa"/>
                  <w:tcBorders>
                    <w:tl2br w:val="nil"/>
                    <w:tr2bl w:val="nil"/>
                  </w:tcBorders>
                  <w:vAlign w:val="center"/>
                </w:tcPr>
                <w:p>
                  <w:pPr>
                    <w:pStyle w:val="46"/>
                    <w:autoSpaceDE w:val="0"/>
                    <w:autoSpaceDN w:val="0"/>
                    <w:rPr>
                      <w:color w:val="auto"/>
                      <w:kern w:val="0"/>
                      <w:szCs w:val="21"/>
                      <w:lang w:eastAsia="en-US"/>
                    </w:rPr>
                  </w:pPr>
                  <w:r>
                    <w:rPr>
                      <w:color w:val="auto"/>
                      <w:kern w:val="0"/>
                      <w:szCs w:val="21"/>
                      <w:lang w:eastAsia="en-US"/>
                    </w:rPr>
                    <w:t>原因</w:t>
                  </w:r>
                </w:p>
              </w:tc>
              <w:tc>
                <w:tcPr>
                  <w:tcW w:w="677" w:type="dxa"/>
                  <w:tcBorders>
                    <w:tl2br w:val="nil"/>
                    <w:tr2bl w:val="nil"/>
                  </w:tcBorders>
                  <w:vAlign w:val="center"/>
                </w:tcPr>
                <w:p>
                  <w:pPr>
                    <w:pStyle w:val="46"/>
                    <w:autoSpaceDE w:val="0"/>
                    <w:autoSpaceDN w:val="0"/>
                    <w:rPr>
                      <w:color w:val="auto"/>
                      <w:kern w:val="0"/>
                      <w:szCs w:val="21"/>
                      <w:lang w:eastAsia="en-US"/>
                    </w:rPr>
                  </w:pPr>
                  <w:r>
                    <w:rPr>
                      <w:color w:val="auto"/>
                      <w:kern w:val="0"/>
                      <w:szCs w:val="21"/>
                      <w:lang w:eastAsia="en-US"/>
                    </w:rPr>
                    <w:t>频次</w:t>
                  </w:r>
                </w:p>
              </w:tc>
              <w:tc>
                <w:tcPr>
                  <w:tcW w:w="587" w:type="dxa"/>
                  <w:tcBorders>
                    <w:tl2br w:val="nil"/>
                    <w:tr2bl w:val="nil"/>
                  </w:tcBorders>
                  <w:vAlign w:val="center"/>
                </w:tcPr>
                <w:p>
                  <w:pPr>
                    <w:pStyle w:val="46"/>
                    <w:autoSpaceDE w:val="0"/>
                    <w:autoSpaceDN w:val="0"/>
                    <w:rPr>
                      <w:color w:val="auto"/>
                      <w:kern w:val="0"/>
                      <w:szCs w:val="21"/>
                      <w:lang w:eastAsia="en-US"/>
                    </w:rPr>
                  </w:pPr>
                  <w:r>
                    <w:rPr>
                      <w:color w:val="auto"/>
                      <w:kern w:val="0"/>
                      <w:szCs w:val="21"/>
                      <w:lang w:eastAsia="en-US"/>
                    </w:rPr>
                    <w:t>时间</w:t>
                  </w:r>
                </w:p>
              </w:tc>
              <w:tc>
                <w:tcPr>
                  <w:tcW w:w="952" w:type="dxa"/>
                  <w:tcBorders>
                    <w:tl2br w:val="nil"/>
                    <w:tr2bl w:val="nil"/>
                  </w:tcBorders>
                  <w:vAlign w:val="center"/>
                </w:tcPr>
                <w:p>
                  <w:pPr>
                    <w:pStyle w:val="46"/>
                    <w:autoSpaceDE w:val="0"/>
                    <w:autoSpaceDN w:val="0"/>
                    <w:rPr>
                      <w:color w:val="auto"/>
                      <w:kern w:val="0"/>
                      <w:szCs w:val="21"/>
                      <w:lang w:eastAsia="en-US"/>
                    </w:rPr>
                  </w:pPr>
                  <w:r>
                    <w:rPr>
                      <w:rFonts w:hint="eastAsia"/>
                      <w:color w:val="auto"/>
                      <w:kern w:val="0"/>
                      <w:szCs w:val="21"/>
                      <w:lang w:eastAsia="en-US"/>
                    </w:rPr>
                    <w:t>排放速率</w:t>
                  </w:r>
                </w:p>
                <w:p>
                  <w:pPr>
                    <w:pStyle w:val="46"/>
                    <w:autoSpaceDE w:val="0"/>
                    <w:autoSpaceDN w:val="0"/>
                    <w:rPr>
                      <w:color w:val="auto"/>
                      <w:kern w:val="0"/>
                      <w:szCs w:val="21"/>
                      <w:lang w:eastAsia="en-US"/>
                    </w:rPr>
                  </w:pPr>
                  <w:r>
                    <w:rPr>
                      <w:color w:val="auto"/>
                      <w:kern w:val="0"/>
                      <w:szCs w:val="21"/>
                      <w:lang w:eastAsia="en-US"/>
                    </w:rPr>
                    <w:t>kg/h</w:t>
                  </w:r>
                </w:p>
              </w:tc>
              <w:tc>
                <w:tcPr>
                  <w:tcW w:w="852" w:type="dxa"/>
                  <w:tcBorders>
                    <w:tl2br w:val="nil"/>
                    <w:tr2bl w:val="nil"/>
                  </w:tcBorders>
                  <w:vAlign w:val="center"/>
                </w:tcPr>
                <w:p>
                  <w:pPr>
                    <w:pStyle w:val="46"/>
                    <w:autoSpaceDE w:val="0"/>
                    <w:autoSpaceDN w:val="0"/>
                    <w:rPr>
                      <w:rFonts w:eastAsia="Times New Roman"/>
                      <w:color w:val="auto"/>
                      <w:kern w:val="0"/>
                      <w:szCs w:val="21"/>
                      <w:lang w:eastAsia="en-US"/>
                    </w:rPr>
                  </w:pPr>
                  <w:r>
                    <w:rPr>
                      <w:rFonts w:hint="eastAsia"/>
                      <w:color w:val="auto"/>
                      <w:kern w:val="0"/>
                      <w:szCs w:val="21"/>
                      <w:lang w:eastAsia="en-US"/>
                    </w:rPr>
                    <w:t>排放浓度</w:t>
                  </w:r>
                  <w:r>
                    <w:rPr>
                      <w:rFonts w:eastAsia="Times New Roman"/>
                      <w:color w:val="auto"/>
                      <w:kern w:val="0"/>
                      <w:szCs w:val="21"/>
                      <w:lang w:eastAsia="en-US"/>
                    </w:rPr>
                    <w:t>mg/m³</w:t>
                  </w:r>
                </w:p>
              </w:tc>
              <w:tc>
                <w:tcPr>
                  <w:tcW w:w="1377" w:type="dxa"/>
                  <w:vMerge w:val="continue"/>
                  <w:tcBorders>
                    <w:tl2br w:val="nil"/>
                    <w:tr2bl w:val="nil"/>
                  </w:tcBorders>
                  <w:vAlign w:val="center"/>
                </w:tcPr>
                <w:p>
                  <w:pPr>
                    <w:pStyle w:val="46"/>
                    <w:autoSpaceDE w:val="0"/>
                    <w:autoSpaceDN w:val="0"/>
                    <w:rPr>
                      <w:color w:val="auto"/>
                      <w:kern w:val="0"/>
                      <w:szCs w:val="21"/>
                      <w:lang w:eastAsia="en-US"/>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9" w:hRule="atLeast"/>
                <w:jc w:val="center"/>
              </w:trPr>
              <w:tc>
                <w:tcPr>
                  <w:tcW w:w="2208" w:type="dxa"/>
                  <w:tcBorders>
                    <w:tl2br w:val="nil"/>
                    <w:tr2bl w:val="nil"/>
                  </w:tcBorders>
                  <w:vAlign w:val="center"/>
                </w:tcPr>
                <w:p>
                  <w:pPr>
                    <w:jc w:val="center"/>
                    <w:rPr>
                      <w:color w:val="auto"/>
                      <w:szCs w:val="21"/>
                    </w:rPr>
                  </w:pPr>
                  <w:r>
                    <w:rPr>
                      <w:rFonts w:hint="eastAsia"/>
                      <w:color w:val="auto"/>
                      <w:szCs w:val="21"/>
                    </w:rPr>
                    <w:t>油墨配制、印刷及烘干、</w:t>
                  </w:r>
                  <w:r>
                    <w:rPr>
                      <w:rFonts w:hint="eastAsia"/>
                      <w:bCs/>
                      <w:color w:val="auto"/>
                    </w:rPr>
                    <w:t>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eastAsia"/>
                      <w:color w:val="auto"/>
                      <w:szCs w:val="21"/>
                    </w:rPr>
                    <w:t>复合及烘干、熟化DA001</w:t>
                  </w:r>
                </w:p>
              </w:tc>
              <w:tc>
                <w:tcPr>
                  <w:tcW w:w="843" w:type="dxa"/>
                  <w:tcBorders>
                    <w:tl2br w:val="nil"/>
                    <w:tr2bl w:val="nil"/>
                  </w:tcBorders>
                  <w:vAlign w:val="center"/>
                </w:tcPr>
                <w:p>
                  <w:pPr>
                    <w:pStyle w:val="46"/>
                    <w:autoSpaceDE w:val="0"/>
                    <w:autoSpaceDN w:val="0"/>
                    <w:rPr>
                      <w:color w:val="auto"/>
                      <w:szCs w:val="21"/>
                    </w:rPr>
                  </w:pPr>
                  <w:r>
                    <w:rPr>
                      <w:rFonts w:hint="eastAsia"/>
                      <w:color w:val="auto"/>
                      <w:szCs w:val="21"/>
                    </w:rPr>
                    <w:t>非甲烷</w:t>
                  </w:r>
                </w:p>
                <w:p>
                  <w:pPr>
                    <w:pStyle w:val="46"/>
                    <w:autoSpaceDE w:val="0"/>
                    <w:autoSpaceDN w:val="0"/>
                    <w:rPr>
                      <w:color w:val="auto"/>
                      <w:szCs w:val="21"/>
                    </w:rPr>
                  </w:pPr>
                  <w:r>
                    <w:rPr>
                      <w:rFonts w:hint="eastAsia"/>
                      <w:color w:val="auto"/>
                      <w:szCs w:val="21"/>
                    </w:rPr>
                    <w:t>总烃</w:t>
                  </w:r>
                </w:p>
              </w:tc>
              <w:tc>
                <w:tcPr>
                  <w:tcW w:w="1008" w:type="dxa"/>
                  <w:tcBorders>
                    <w:tl2br w:val="nil"/>
                    <w:tr2bl w:val="nil"/>
                  </w:tcBorders>
                  <w:vAlign w:val="center"/>
                </w:tcPr>
                <w:p>
                  <w:pPr>
                    <w:pStyle w:val="46"/>
                    <w:autoSpaceDE w:val="0"/>
                    <w:autoSpaceDN w:val="0"/>
                    <w:rPr>
                      <w:color w:val="auto"/>
                      <w:kern w:val="0"/>
                      <w:szCs w:val="21"/>
                    </w:rPr>
                  </w:pPr>
                  <w:r>
                    <w:rPr>
                      <w:rFonts w:hint="eastAsia"/>
                      <w:color w:val="auto"/>
                      <w:kern w:val="0"/>
                      <w:szCs w:val="21"/>
                    </w:rPr>
                    <w:t>喷淋塔出故障</w:t>
                  </w:r>
                  <w:r>
                    <w:rPr>
                      <w:rFonts w:hint="eastAsia"/>
                      <w:color w:val="auto"/>
                      <w:kern w:val="0"/>
                      <w:szCs w:val="21"/>
                      <w:lang w:eastAsia="zh-CN"/>
                    </w:rPr>
                    <w:t>，</w:t>
                  </w:r>
                  <w:r>
                    <w:rPr>
                      <w:color w:val="auto"/>
                      <w:kern w:val="0"/>
                      <w:szCs w:val="21"/>
                    </w:rPr>
                    <w:t>二级</w:t>
                  </w:r>
                  <w:r>
                    <w:rPr>
                      <w:rFonts w:hint="eastAsia"/>
                      <w:color w:val="auto"/>
                      <w:kern w:val="0"/>
                      <w:szCs w:val="21"/>
                      <w:lang w:eastAsia="zh-CN"/>
                    </w:rPr>
                    <w:t>颗粒</w:t>
                  </w:r>
                  <w:r>
                    <w:rPr>
                      <w:color w:val="auto"/>
                      <w:kern w:val="0"/>
                      <w:szCs w:val="21"/>
                    </w:rPr>
                    <w:t>活性炭吸附装置</w:t>
                  </w:r>
                  <w:r>
                    <w:rPr>
                      <w:rFonts w:hint="eastAsia"/>
                      <w:bCs/>
                      <w:color w:val="auto"/>
                      <w:szCs w:val="21"/>
                      <w:lang w:eastAsia="zh-CN"/>
                    </w:rPr>
                    <w:t>颗粒</w:t>
                  </w:r>
                  <w:r>
                    <w:rPr>
                      <w:rFonts w:hint="eastAsia"/>
                      <w:bCs/>
                      <w:color w:val="auto"/>
                      <w:szCs w:val="21"/>
                    </w:rPr>
                    <w:t>活性炭</w:t>
                  </w:r>
                  <w:r>
                    <w:rPr>
                      <w:color w:val="auto"/>
                      <w:kern w:val="0"/>
                      <w:szCs w:val="21"/>
                    </w:rPr>
                    <w:t>吸附饱和</w:t>
                  </w:r>
                  <w:r>
                    <w:rPr>
                      <w:rFonts w:hint="eastAsia"/>
                      <w:color w:val="auto"/>
                      <w:kern w:val="0"/>
                      <w:szCs w:val="21"/>
                    </w:rPr>
                    <w:t>，按0%计</w:t>
                  </w:r>
                </w:p>
              </w:tc>
              <w:tc>
                <w:tcPr>
                  <w:tcW w:w="677" w:type="dxa"/>
                  <w:tcBorders>
                    <w:tl2br w:val="nil"/>
                    <w:tr2bl w:val="nil"/>
                  </w:tcBorders>
                  <w:vAlign w:val="center"/>
                </w:tcPr>
                <w:p>
                  <w:pPr>
                    <w:pStyle w:val="46"/>
                    <w:autoSpaceDE w:val="0"/>
                    <w:autoSpaceDN w:val="0"/>
                    <w:rPr>
                      <w:rFonts w:eastAsia="Times New Roman"/>
                      <w:color w:val="auto"/>
                      <w:kern w:val="0"/>
                      <w:szCs w:val="21"/>
                      <w:lang w:eastAsia="en-US"/>
                    </w:rPr>
                  </w:pPr>
                  <w:r>
                    <w:rPr>
                      <w:rFonts w:eastAsia="Times New Roman"/>
                      <w:color w:val="auto"/>
                      <w:kern w:val="0"/>
                      <w:szCs w:val="21"/>
                      <w:lang w:eastAsia="en-US"/>
                    </w:rPr>
                    <w:t>≤</w:t>
                  </w:r>
                  <w:r>
                    <w:rPr>
                      <w:rFonts w:hint="eastAsia"/>
                      <w:color w:val="auto"/>
                      <w:kern w:val="0"/>
                      <w:szCs w:val="21"/>
                    </w:rPr>
                    <w:t>1</w:t>
                  </w:r>
                  <w:r>
                    <w:rPr>
                      <w:color w:val="auto"/>
                      <w:kern w:val="0"/>
                      <w:szCs w:val="21"/>
                      <w:lang w:eastAsia="en-US"/>
                    </w:rPr>
                    <w:t>次</w:t>
                  </w:r>
                  <w:r>
                    <w:rPr>
                      <w:rFonts w:eastAsia="Times New Roman"/>
                      <w:color w:val="auto"/>
                      <w:kern w:val="0"/>
                      <w:szCs w:val="21"/>
                      <w:lang w:eastAsia="en-US"/>
                    </w:rPr>
                    <w:t>/</w:t>
                  </w:r>
                  <w:r>
                    <w:rPr>
                      <w:color w:val="auto"/>
                      <w:kern w:val="0"/>
                      <w:szCs w:val="21"/>
                      <w:lang w:eastAsia="en-US"/>
                    </w:rPr>
                    <w:t>年</w:t>
                  </w:r>
                </w:p>
              </w:tc>
              <w:tc>
                <w:tcPr>
                  <w:tcW w:w="587" w:type="dxa"/>
                  <w:tcBorders>
                    <w:tl2br w:val="nil"/>
                    <w:tr2bl w:val="nil"/>
                  </w:tcBorders>
                  <w:vAlign w:val="center"/>
                </w:tcPr>
                <w:p>
                  <w:pPr>
                    <w:pStyle w:val="46"/>
                    <w:autoSpaceDE w:val="0"/>
                    <w:autoSpaceDN w:val="0"/>
                    <w:rPr>
                      <w:color w:val="auto"/>
                      <w:kern w:val="0"/>
                      <w:szCs w:val="21"/>
                      <w:lang w:eastAsia="en-US"/>
                    </w:rPr>
                  </w:pPr>
                  <w:r>
                    <w:rPr>
                      <w:color w:val="auto"/>
                      <w:kern w:val="0"/>
                      <w:szCs w:val="21"/>
                      <w:lang w:eastAsia="en-US"/>
                    </w:rPr>
                    <w:t>≤1h/</w:t>
                  </w:r>
                  <w:r>
                    <w:rPr>
                      <w:color w:val="auto"/>
                      <w:w w:val="99"/>
                      <w:kern w:val="0"/>
                      <w:szCs w:val="21"/>
                      <w:lang w:eastAsia="en-US"/>
                    </w:rPr>
                    <w:t>次</w:t>
                  </w:r>
                </w:p>
              </w:tc>
              <w:tc>
                <w:tcPr>
                  <w:tcW w:w="952" w:type="dxa"/>
                  <w:tcBorders>
                    <w:tl2br w:val="nil"/>
                    <w:tr2bl w:val="nil"/>
                  </w:tcBorders>
                  <w:vAlign w:val="center"/>
                </w:tcPr>
                <w:p>
                  <w:pPr>
                    <w:pStyle w:val="188"/>
                    <w:autoSpaceDE w:val="0"/>
                    <w:autoSpaceDN w:val="0"/>
                    <w:rPr>
                      <w:rFonts w:eastAsia="宋体"/>
                      <w:color w:val="auto"/>
                      <w:sz w:val="21"/>
                      <w:szCs w:val="21"/>
                    </w:rPr>
                  </w:pPr>
                  <w:r>
                    <w:rPr>
                      <w:rFonts w:hint="eastAsia"/>
                      <w:color w:val="auto"/>
                      <w:sz w:val="21"/>
                      <w:szCs w:val="21"/>
                    </w:rPr>
                    <w:t>2.2375</w:t>
                  </w:r>
                </w:p>
              </w:tc>
              <w:tc>
                <w:tcPr>
                  <w:tcW w:w="852" w:type="dxa"/>
                  <w:tcBorders>
                    <w:tl2br w:val="nil"/>
                    <w:tr2bl w:val="nil"/>
                  </w:tcBorders>
                  <w:vAlign w:val="center"/>
                </w:tcPr>
                <w:p>
                  <w:pPr>
                    <w:pStyle w:val="188"/>
                    <w:autoSpaceDE w:val="0"/>
                    <w:autoSpaceDN w:val="0"/>
                    <w:rPr>
                      <w:rFonts w:eastAsia="宋体"/>
                      <w:color w:val="auto"/>
                      <w:sz w:val="21"/>
                      <w:szCs w:val="21"/>
                    </w:rPr>
                  </w:pPr>
                  <w:r>
                    <w:rPr>
                      <w:rFonts w:hint="eastAsia" w:eastAsia="宋体"/>
                      <w:color w:val="auto"/>
                      <w:sz w:val="21"/>
                      <w:szCs w:val="21"/>
                    </w:rPr>
                    <w:t>44.8</w:t>
                  </w:r>
                </w:p>
              </w:tc>
              <w:tc>
                <w:tcPr>
                  <w:tcW w:w="1377" w:type="dxa"/>
                  <w:tcBorders>
                    <w:tl2br w:val="nil"/>
                    <w:tr2bl w:val="nil"/>
                  </w:tcBorders>
                  <w:vAlign w:val="center"/>
                </w:tcPr>
                <w:p>
                  <w:pPr>
                    <w:pStyle w:val="46"/>
                    <w:autoSpaceDE w:val="0"/>
                    <w:autoSpaceDN w:val="0"/>
                    <w:rPr>
                      <w:color w:val="auto"/>
                      <w:kern w:val="0"/>
                      <w:szCs w:val="21"/>
                    </w:rPr>
                  </w:pPr>
                  <w:r>
                    <w:rPr>
                      <w:color w:val="auto"/>
                      <w:kern w:val="0"/>
                      <w:szCs w:val="21"/>
                    </w:rPr>
                    <w:t>加强废气处理设施</w:t>
                  </w:r>
                  <w:r>
                    <w:rPr>
                      <w:color w:val="auto"/>
                      <w:spacing w:val="-1"/>
                      <w:kern w:val="0"/>
                      <w:szCs w:val="21"/>
                    </w:rPr>
                    <w:t>的管理，定期</w:t>
                  </w:r>
                  <w:r>
                    <w:rPr>
                      <w:rFonts w:hint="eastAsia"/>
                      <w:color w:val="auto"/>
                      <w:spacing w:val="-1"/>
                      <w:kern w:val="0"/>
                      <w:szCs w:val="21"/>
                    </w:rPr>
                    <w:t>检查</w:t>
                  </w:r>
                  <w:r>
                    <w:rPr>
                      <w:rFonts w:hint="eastAsia"/>
                      <w:color w:val="auto"/>
                      <w:spacing w:val="-1"/>
                      <w:kern w:val="0"/>
                      <w:szCs w:val="21"/>
                      <w:lang w:val="en-US" w:eastAsia="zh-CN"/>
                    </w:rPr>
                    <w:t>喷淋塔和活性炭吸附装置，并及时</w:t>
                  </w:r>
                  <w:r>
                    <w:rPr>
                      <w:rFonts w:hint="eastAsia"/>
                      <w:color w:val="auto"/>
                      <w:spacing w:val="-1"/>
                      <w:kern w:val="0"/>
                      <w:szCs w:val="21"/>
                    </w:rPr>
                    <w:t>更换</w:t>
                  </w:r>
                  <w:r>
                    <w:rPr>
                      <w:rFonts w:hint="eastAsia"/>
                      <w:color w:val="auto"/>
                      <w:spacing w:val="-1"/>
                      <w:kern w:val="0"/>
                      <w:szCs w:val="21"/>
                      <w:lang w:eastAsia="zh-CN"/>
                    </w:rPr>
                    <w:t>颗粒</w:t>
                  </w:r>
                  <w:r>
                    <w:rPr>
                      <w:rFonts w:hint="eastAsia"/>
                      <w:color w:val="auto"/>
                      <w:spacing w:val="-1"/>
                      <w:kern w:val="0"/>
                      <w:szCs w:val="21"/>
                    </w:rPr>
                    <w:t>活性炭，</w:t>
                  </w:r>
                  <w:r>
                    <w:rPr>
                      <w:color w:val="auto"/>
                      <w:spacing w:val="-1"/>
                      <w:kern w:val="0"/>
                      <w:szCs w:val="21"/>
                    </w:rPr>
                    <w:t>建</w:t>
                  </w:r>
                  <w:r>
                    <w:rPr>
                      <w:color w:val="auto"/>
                      <w:kern w:val="0"/>
                      <w:szCs w:val="21"/>
                    </w:rPr>
                    <w:t>立健全的环保管理机构</w:t>
                  </w:r>
                  <w:r>
                    <w:rPr>
                      <w:rFonts w:hint="eastAsia"/>
                      <w:color w:val="auto"/>
                      <w:kern w:val="0"/>
                      <w:szCs w:val="21"/>
                    </w:rPr>
                    <w:t>，发生故障时立即停产</w:t>
                  </w:r>
                </w:p>
              </w:tc>
            </w:tr>
          </w:tbl>
          <w:p>
            <w:pPr>
              <w:pStyle w:val="193"/>
              <w:ind w:firstLine="480"/>
              <w:rPr>
                <w:color w:val="auto"/>
                <w:sz w:val="24"/>
                <w:szCs w:val="24"/>
              </w:rPr>
            </w:pPr>
            <w:r>
              <w:rPr>
                <w:rFonts w:hint="eastAsia"/>
                <w:color w:val="auto"/>
                <w:sz w:val="24"/>
                <w:szCs w:val="24"/>
              </w:rPr>
              <w:t>根据上表的环保设施发生故障时的废气排放情况，环保设施发生故障时的废气排放浓度大，一旦发生故障非正常排放发生时必须停止生产，及时组织人员查找故障原因并迅速抢修；由于发生非正常工况排放次数较少，且排放时间短暂，建设单位能够及时采取措施进行处理，则不会对周围大气环境造成长期影响。</w:t>
            </w:r>
          </w:p>
          <w:p>
            <w:pPr>
              <w:pStyle w:val="116"/>
              <w:rPr>
                <w:rFonts w:eastAsia="宋体" w:cs="Times New Roman"/>
                <w:b/>
                <w:bCs w:val="0"/>
                <w:color w:val="auto"/>
                <w:sz w:val="30"/>
                <w:szCs w:val="30"/>
              </w:rPr>
            </w:pPr>
            <w:r>
              <w:rPr>
                <w:rFonts w:hint="eastAsia" w:eastAsia="宋体" w:cs="Times New Roman"/>
                <w:b/>
                <w:bCs w:val="0"/>
                <w:color w:val="auto"/>
                <w:sz w:val="30"/>
                <w:szCs w:val="30"/>
              </w:rPr>
              <w:t>4.1.4无组织废气排放污染物防控措施</w:t>
            </w:r>
          </w:p>
          <w:p>
            <w:pPr>
              <w:pStyle w:val="13"/>
              <w:spacing w:line="360" w:lineRule="auto"/>
              <w:ind w:firstLine="484" w:firstLineChars="202"/>
              <w:rPr>
                <w:rFonts w:eastAsia="宋体"/>
                <w:color w:val="auto"/>
                <w:kern w:val="0"/>
                <w:sz w:val="24"/>
                <w:szCs w:val="24"/>
              </w:rPr>
            </w:pPr>
            <w:r>
              <w:rPr>
                <w:rFonts w:hint="eastAsia" w:eastAsia="宋体"/>
                <w:color w:val="auto"/>
                <w:kern w:val="0"/>
                <w:sz w:val="24"/>
                <w:szCs w:val="24"/>
              </w:rPr>
              <w:t>有机废气（以非甲烷总烃计）：含有VOCs的原辅料、危废密闭容器包装，含有VOCs的原辅料使用过程中随取随开，用完及时密闭；涉及VOCs的原辅料采用桶泵等给料方式密闭投加，印刷、复合、熟化等过程密闭，产生的废气微负压收集。</w:t>
            </w:r>
          </w:p>
          <w:p>
            <w:pPr>
              <w:pStyle w:val="116"/>
              <w:rPr>
                <w:rFonts w:eastAsia="宋体" w:cs="Times New Roman"/>
                <w:b/>
                <w:bCs w:val="0"/>
                <w:color w:val="auto"/>
                <w:sz w:val="30"/>
                <w:szCs w:val="30"/>
              </w:rPr>
            </w:pPr>
            <w:r>
              <w:rPr>
                <w:rFonts w:hint="eastAsia" w:eastAsia="宋体" w:cs="Times New Roman"/>
                <w:b/>
                <w:bCs w:val="0"/>
                <w:color w:val="auto"/>
                <w:sz w:val="30"/>
                <w:szCs w:val="30"/>
              </w:rPr>
              <w:t>4</w:t>
            </w:r>
            <w:r>
              <w:rPr>
                <w:rFonts w:eastAsia="宋体" w:cs="Times New Roman"/>
                <w:b/>
                <w:bCs w:val="0"/>
                <w:color w:val="auto"/>
                <w:sz w:val="30"/>
                <w:szCs w:val="30"/>
                <w:lang w:val="en-GB"/>
              </w:rPr>
              <w:t>.1.</w:t>
            </w:r>
            <w:r>
              <w:rPr>
                <w:rFonts w:hint="eastAsia" w:eastAsia="宋体" w:cs="Times New Roman"/>
                <w:b/>
                <w:bCs w:val="0"/>
                <w:color w:val="auto"/>
                <w:sz w:val="30"/>
                <w:szCs w:val="30"/>
              </w:rPr>
              <w:t>5扩建项目卫生防护距离</w:t>
            </w:r>
          </w:p>
          <w:p>
            <w:pPr>
              <w:widowControl/>
              <w:spacing w:line="360" w:lineRule="auto"/>
              <w:ind w:firstLine="480" w:firstLineChars="200"/>
              <w:jc w:val="left"/>
              <w:rPr>
                <w:color w:val="auto"/>
                <w:kern w:val="0"/>
                <w:sz w:val="24"/>
              </w:rPr>
            </w:pPr>
            <w:r>
              <w:rPr>
                <w:rFonts w:hint="eastAsia"/>
                <w:color w:val="auto"/>
                <w:kern w:val="0"/>
                <w:sz w:val="24"/>
              </w:rPr>
              <w:t>扩建</w:t>
            </w:r>
            <w:r>
              <w:rPr>
                <w:color w:val="auto"/>
                <w:kern w:val="0"/>
                <w:sz w:val="24"/>
              </w:rPr>
              <w:t>项目所在地</w:t>
            </w:r>
            <w:r>
              <w:rPr>
                <w:rFonts w:hint="eastAsia"/>
                <w:color w:val="auto"/>
                <w:kern w:val="0"/>
                <w:sz w:val="24"/>
              </w:rPr>
              <w:t>长乐区</w:t>
            </w:r>
            <w:r>
              <w:rPr>
                <w:color w:val="auto"/>
                <w:kern w:val="0"/>
                <w:sz w:val="24"/>
              </w:rPr>
              <w:t>多年平均风速为2.8</w:t>
            </w:r>
            <w:r>
              <w:rPr>
                <w:rFonts w:hint="eastAsia"/>
                <w:color w:val="auto"/>
                <w:kern w:val="0"/>
                <w:sz w:val="24"/>
              </w:rPr>
              <w:t>3</w:t>
            </w:r>
            <w:r>
              <w:rPr>
                <w:color w:val="auto"/>
                <w:kern w:val="0"/>
                <w:sz w:val="24"/>
              </w:rPr>
              <w:t>m/s，根据《制定地方大气污染物排放标准的技术方法》GB/T3840-91中卫生防护距离计算及取整方法，项目无组织排放面源源强计算卫生防护距离如表4.1</w:t>
            </w:r>
            <w:r>
              <w:rPr>
                <w:rFonts w:hint="eastAsia"/>
                <w:color w:val="auto"/>
                <w:kern w:val="0"/>
                <w:sz w:val="24"/>
              </w:rPr>
              <w:t>-5</w:t>
            </w:r>
            <w:r>
              <w:rPr>
                <w:color w:val="auto"/>
                <w:kern w:val="0"/>
                <w:sz w:val="24"/>
              </w:rPr>
              <w:t>所示。</w:t>
            </w:r>
          </w:p>
          <w:p>
            <w:pPr>
              <w:pStyle w:val="17"/>
              <w:spacing w:line="360" w:lineRule="auto"/>
              <w:jc w:val="center"/>
              <w:rPr>
                <w:color w:val="auto"/>
                <w:sz w:val="24"/>
              </w:rPr>
            </w:pPr>
            <w:r>
              <w:rPr>
                <w:color w:val="auto"/>
                <w:sz w:val="24"/>
              </w:rPr>
              <w:object>
                <v:shape id="_x0000_i1025" o:spt="75" type="#_x0000_t75" style="height:29.25pt;width:179.85pt;" o:ole="t" filled="f" coordsize="21600,21600">
                  <v:path/>
                  <v:fill on="f" focussize="0,0"/>
                  <v:stroke/>
                  <v:imagedata r:id="rId32" o:title=""/>
                  <o:lock v:ext="edit" aspectratio="t"/>
                  <w10:wrap type="none"/>
                  <w10:anchorlock/>
                </v:shape>
                <o:OLEObject Type="Embed" ProgID="Equations" ShapeID="_x0000_i1025" DrawAspect="Content" ObjectID="_1468075725" r:id="rId31">
                  <o:LockedField>false</o:LockedField>
                </o:OLEObject>
              </w:object>
            </w:r>
          </w:p>
          <w:p>
            <w:pPr>
              <w:pStyle w:val="17"/>
              <w:spacing w:line="360" w:lineRule="auto"/>
              <w:ind w:firstLine="480" w:firstLineChars="200"/>
              <w:rPr>
                <w:color w:val="auto"/>
                <w:sz w:val="24"/>
              </w:rPr>
            </w:pPr>
            <w:r>
              <w:rPr>
                <w:color w:val="auto"/>
                <w:sz w:val="24"/>
              </w:rPr>
              <w:t>式中：Q</w:t>
            </w:r>
            <w:r>
              <w:rPr>
                <w:color w:val="auto"/>
                <w:sz w:val="24"/>
                <w:vertAlign w:val="subscript"/>
              </w:rPr>
              <w:t>C</w:t>
            </w:r>
            <w:r>
              <w:rPr>
                <w:color w:val="auto"/>
                <w:sz w:val="24"/>
              </w:rPr>
              <w:t>—无组织排放量，kg/h；</w:t>
            </w:r>
          </w:p>
          <w:p>
            <w:pPr>
              <w:pStyle w:val="17"/>
              <w:spacing w:line="360" w:lineRule="auto"/>
              <w:ind w:firstLine="1200" w:firstLineChars="500"/>
              <w:rPr>
                <w:color w:val="auto"/>
                <w:sz w:val="24"/>
              </w:rPr>
            </w:pPr>
            <w:r>
              <w:rPr>
                <w:color w:val="auto"/>
                <w:sz w:val="24"/>
              </w:rPr>
              <w:t>C</w:t>
            </w:r>
            <w:r>
              <w:rPr>
                <w:color w:val="auto"/>
                <w:sz w:val="24"/>
                <w:vertAlign w:val="subscript"/>
              </w:rPr>
              <w:t>m</w:t>
            </w:r>
            <w:r>
              <w:rPr>
                <w:color w:val="auto"/>
                <w:sz w:val="24"/>
              </w:rPr>
              <w:t>—标准浓度限值，mg/Nm</w:t>
            </w:r>
            <w:r>
              <w:rPr>
                <w:color w:val="auto"/>
                <w:sz w:val="24"/>
                <w:vertAlign w:val="superscript"/>
              </w:rPr>
              <w:t>3</w:t>
            </w:r>
            <w:r>
              <w:rPr>
                <w:color w:val="auto"/>
                <w:sz w:val="24"/>
              </w:rPr>
              <w:t>；</w:t>
            </w:r>
          </w:p>
          <w:p>
            <w:pPr>
              <w:pStyle w:val="17"/>
              <w:spacing w:line="360" w:lineRule="auto"/>
              <w:ind w:firstLine="1200" w:firstLineChars="500"/>
              <w:rPr>
                <w:color w:val="auto"/>
                <w:sz w:val="24"/>
              </w:rPr>
            </w:pPr>
            <w:r>
              <w:rPr>
                <w:color w:val="auto"/>
                <w:sz w:val="24"/>
              </w:rPr>
              <w:t>L—工业企业所需卫生防护距离，m；</w:t>
            </w:r>
          </w:p>
          <w:p>
            <w:pPr>
              <w:pStyle w:val="17"/>
              <w:spacing w:line="360" w:lineRule="auto"/>
              <w:ind w:firstLine="1200" w:firstLineChars="500"/>
              <w:rPr>
                <w:color w:val="auto"/>
                <w:sz w:val="24"/>
              </w:rPr>
            </w:pPr>
            <w:r>
              <w:rPr>
                <w:color w:val="auto"/>
                <w:sz w:val="24"/>
              </w:rPr>
              <w:t>r—有害气体无组织排放源所在生产单元的等效半径，m。根据生产单元占地面积S(m</w:t>
            </w:r>
            <w:r>
              <w:rPr>
                <w:color w:val="auto"/>
                <w:sz w:val="24"/>
                <w:vertAlign w:val="superscript"/>
              </w:rPr>
              <w:t>2</w:t>
            </w:r>
            <w:r>
              <w:rPr>
                <w:color w:val="auto"/>
                <w:sz w:val="24"/>
              </w:rPr>
              <w:t>)计算，</w:t>
            </w:r>
            <w:bookmarkStart w:id="22" w:name="_bookmark26"/>
            <w:bookmarkEnd w:id="22"/>
            <w:r>
              <w:rPr>
                <w:color w:val="auto"/>
                <w:sz w:val="24"/>
              </w:rPr>
              <w:t>r=(S/π)</w:t>
            </w:r>
            <w:r>
              <w:rPr>
                <w:color w:val="auto"/>
                <w:sz w:val="24"/>
                <w:vertAlign w:val="superscript"/>
              </w:rPr>
              <w:t>0.5</w:t>
            </w:r>
            <w:r>
              <w:rPr>
                <w:color w:val="auto"/>
                <w:sz w:val="24"/>
              </w:rPr>
              <w:t>。</w:t>
            </w:r>
          </w:p>
          <w:p>
            <w:pPr>
              <w:pStyle w:val="17"/>
              <w:spacing w:line="360" w:lineRule="auto"/>
              <w:ind w:firstLine="720" w:firstLineChars="300"/>
              <w:rPr>
                <w:color w:val="auto"/>
                <w:sz w:val="24"/>
              </w:rPr>
            </w:pPr>
            <w:r>
              <w:rPr>
                <w:color w:val="auto"/>
                <w:sz w:val="24"/>
              </w:rPr>
              <w:t>A、B、C、D—卫生防护距离计算系数，无因次，根据工业企业所在地区近五年平均风速及工业企业大气污染源构成类别从</w:t>
            </w:r>
            <w:r>
              <w:rPr>
                <w:b/>
                <w:bCs/>
                <w:color w:val="auto"/>
                <w:sz w:val="24"/>
              </w:rPr>
              <w:t>表</w:t>
            </w:r>
            <w:r>
              <w:rPr>
                <w:rFonts w:hint="eastAsia"/>
                <w:b/>
                <w:bCs/>
                <w:color w:val="auto"/>
                <w:sz w:val="24"/>
              </w:rPr>
              <w:t>4.1-4</w:t>
            </w:r>
            <w:r>
              <w:rPr>
                <w:color w:val="auto"/>
                <w:sz w:val="24"/>
              </w:rPr>
              <w:t>中查取。</w:t>
            </w:r>
          </w:p>
          <w:p>
            <w:pPr>
              <w:jc w:val="center"/>
              <w:rPr>
                <w:b/>
                <w:bCs/>
                <w:color w:val="auto"/>
                <w:sz w:val="24"/>
              </w:rPr>
            </w:pPr>
            <w:bookmarkStart w:id="23" w:name="_Ref440029891"/>
            <w:bookmarkEnd w:id="23"/>
            <w:r>
              <w:rPr>
                <w:b/>
                <w:bCs/>
                <w:color w:val="auto"/>
                <w:sz w:val="24"/>
              </w:rPr>
              <w:t>表</w:t>
            </w:r>
            <w:r>
              <w:rPr>
                <w:rFonts w:hint="eastAsia"/>
                <w:b/>
                <w:bCs/>
                <w:color w:val="auto"/>
                <w:sz w:val="24"/>
              </w:rPr>
              <w:t>4.1-4</w:t>
            </w:r>
            <w:r>
              <w:rPr>
                <w:b/>
                <w:bCs/>
                <w:color w:val="auto"/>
                <w:sz w:val="24"/>
              </w:rPr>
              <w:t xml:space="preserve">  卫生防护距离计算系数</w:t>
            </w:r>
          </w:p>
          <w:tbl>
            <w:tblPr>
              <w:tblStyle w:val="36"/>
              <w:tblW w:w="850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91"/>
              <w:gridCol w:w="1560"/>
              <w:gridCol w:w="691"/>
              <w:gridCol w:w="633"/>
              <w:gridCol w:w="724"/>
              <w:gridCol w:w="724"/>
              <w:gridCol w:w="724"/>
              <w:gridCol w:w="724"/>
              <w:gridCol w:w="583"/>
              <w:gridCol w:w="725"/>
              <w:gridCol w:w="72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44" w:type="dxa"/>
                  <w:vMerge w:val="restart"/>
                  <w:tcBorders>
                    <w:tl2br w:val="nil"/>
                    <w:tr2bl w:val="nil"/>
                  </w:tcBorders>
                  <w:vAlign w:val="center"/>
                </w:tcPr>
                <w:p>
                  <w:pPr>
                    <w:widowControl/>
                    <w:jc w:val="center"/>
                    <w:rPr>
                      <w:bCs/>
                      <w:color w:val="auto"/>
                      <w:szCs w:val="21"/>
                    </w:rPr>
                  </w:pPr>
                  <w:r>
                    <w:rPr>
                      <w:bCs/>
                      <w:color w:val="auto"/>
                      <w:szCs w:val="21"/>
                    </w:rPr>
                    <w:t>计算</w:t>
                  </w:r>
                </w:p>
                <w:p>
                  <w:pPr>
                    <w:widowControl/>
                    <w:jc w:val="center"/>
                    <w:rPr>
                      <w:bCs/>
                      <w:color w:val="auto"/>
                      <w:kern w:val="0"/>
                      <w:szCs w:val="21"/>
                    </w:rPr>
                  </w:pPr>
                  <w:r>
                    <w:rPr>
                      <w:bCs/>
                      <w:color w:val="auto"/>
                      <w:szCs w:val="21"/>
                    </w:rPr>
                    <w:t>系数</w:t>
                  </w:r>
                </w:p>
              </w:tc>
              <w:tc>
                <w:tcPr>
                  <w:tcW w:w="1455" w:type="dxa"/>
                  <w:vMerge w:val="restart"/>
                  <w:tcBorders>
                    <w:tl2br w:val="nil"/>
                    <w:tr2bl w:val="nil"/>
                  </w:tcBorders>
                  <w:vAlign w:val="center"/>
                </w:tcPr>
                <w:p>
                  <w:pPr>
                    <w:widowControl/>
                    <w:jc w:val="center"/>
                    <w:rPr>
                      <w:bCs/>
                      <w:color w:val="auto"/>
                      <w:kern w:val="0"/>
                      <w:szCs w:val="21"/>
                    </w:rPr>
                  </w:pPr>
                  <w:r>
                    <w:rPr>
                      <w:bCs/>
                      <w:color w:val="auto"/>
                      <w:szCs w:val="21"/>
                    </w:rPr>
                    <w:t>工业企业在地区近五年平均风速m/s</w:t>
                  </w:r>
                </w:p>
              </w:tc>
              <w:tc>
                <w:tcPr>
                  <w:tcW w:w="1912" w:type="dxa"/>
                  <w:gridSpan w:val="3"/>
                  <w:tcBorders>
                    <w:tl2br w:val="nil"/>
                    <w:tr2bl w:val="nil"/>
                  </w:tcBorders>
                  <w:vAlign w:val="center"/>
                </w:tcPr>
                <w:p>
                  <w:pPr>
                    <w:widowControl/>
                    <w:jc w:val="center"/>
                    <w:rPr>
                      <w:bCs/>
                      <w:color w:val="auto"/>
                      <w:kern w:val="0"/>
                      <w:szCs w:val="21"/>
                    </w:rPr>
                  </w:pPr>
                  <w:r>
                    <w:rPr>
                      <w:bCs/>
                      <w:color w:val="auto"/>
                      <w:szCs w:val="21"/>
                    </w:rPr>
                    <w:t>L≤1000m</w:t>
                  </w:r>
                </w:p>
              </w:tc>
              <w:tc>
                <w:tcPr>
                  <w:tcW w:w="2028" w:type="dxa"/>
                  <w:gridSpan w:val="3"/>
                  <w:tcBorders>
                    <w:tl2br w:val="nil"/>
                    <w:tr2bl w:val="nil"/>
                  </w:tcBorders>
                  <w:vAlign w:val="center"/>
                </w:tcPr>
                <w:p>
                  <w:pPr>
                    <w:widowControl/>
                    <w:jc w:val="center"/>
                    <w:rPr>
                      <w:bCs/>
                      <w:color w:val="auto"/>
                      <w:kern w:val="0"/>
                      <w:szCs w:val="21"/>
                    </w:rPr>
                  </w:pPr>
                  <w:r>
                    <w:rPr>
                      <w:bCs/>
                      <w:color w:val="auto"/>
                      <w:szCs w:val="21"/>
                    </w:rPr>
                    <w:t>1000＜L≤2000m</w:t>
                  </w:r>
                </w:p>
              </w:tc>
              <w:tc>
                <w:tcPr>
                  <w:tcW w:w="1898" w:type="dxa"/>
                  <w:gridSpan w:val="3"/>
                  <w:tcBorders>
                    <w:tl2br w:val="nil"/>
                    <w:tr2bl w:val="nil"/>
                  </w:tcBorders>
                  <w:vAlign w:val="center"/>
                </w:tcPr>
                <w:p>
                  <w:pPr>
                    <w:widowControl/>
                    <w:jc w:val="center"/>
                    <w:rPr>
                      <w:bCs/>
                      <w:color w:val="auto"/>
                      <w:kern w:val="0"/>
                      <w:szCs w:val="21"/>
                    </w:rPr>
                  </w:pPr>
                  <w:r>
                    <w:rPr>
                      <w:bCs/>
                      <w:color w:val="auto"/>
                      <w:szCs w:val="21"/>
                    </w:rPr>
                    <w:t>L＞2000m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44" w:type="dxa"/>
                  <w:vMerge w:val="continue"/>
                  <w:tcBorders>
                    <w:tl2br w:val="nil"/>
                    <w:tr2bl w:val="nil"/>
                  </w:tcBorders>
                  <w:vAlign w:val="center"/>
                </w:tcPr>
                <w:p>
                  <w:pPr>
                    <w:widowControl/>
                    <w:jc w:val="center"/>
                    <w:rPr>
                      <w:bCs/>
                      <w:color w:val="auto"/>
                      <w:kern w:val="0"/>
                      <w:szCs w:val="21"/>
                    </w:rPr>
                  </w:pPr>
                </w:p>
              </w:tc>
              <w:tc>
                <w:tcPr>
                  <w:tcW w:w="1455" w:type="dxa"/>
                  <w:vMerge w:val="continue"/>
                  <w:tcBorders>
                    <w:tl2br w:val="nil"/>
                    <w:tr2bl w:val="nil"/>
                  </w:tcBorders>
                  <w:vAlign w:val="center"/>
                </w:tcPr>
                <w:p>
                  <w:pPr>
                    <w:widowControl/>
                    <w:jc w:val="center"/>
                    <w:rPr>
                      <w:bCs/>
                      <w:color w:val="auto"/>
                      <w:kern w:val="0"/>
                      <w:szCs w:val="21"/>
                    </w:rPr>
                  </w:pPr>
                </w:p>
              </w:tc>
              <w:tc>
                <w:tcPr>
                  <w:tcW w:w="5838" w:type="dxa"/>
                  <w:gridSpan w:val="9"/>
                  <w:tcBorders>
                    <w:tl2br w:val="nil"/>
                    <w:tr2bl w:val="nil"/>
                  </w:tcBorders>
                  <w:vAlign w:val="center"/>
                </w:tcPr>
                <w:p>
                  <w:pPr>
                    <w:widowControl/>
                    <w:jc w:val="center"/>
                    <w:rPr>
                      <w:bCs/>
                      <w:color w:val="auto"/>
                      <w:kern w:val="0"/>
                      <w:szCs w:val="21"/>
                    </w:rPr>
                  </w:pPr>
                  <w:r>
                    <w:rPr>
                      <w:bCs/>
                      <w:color w:val="auto"/>
                      <w:szCs w:val="21"/>
                    </w:rPr>
                    <w:t>工业企业大气污染源构成类别注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44" w:type="dxa"/>
                  <w:vMerge w:val="continue"/>
                  <w:tcBorders>
                    <w:tl2br w:val="nil"/>
                    <w:tr2bl w:val="nil"/>
                  </w:tcBorders>
                  <w:vAlign w:val="center"/>
                </w:tcPr>
                <w:p>
                  <w:pPr>
                    <w:widowControl/>
                    <w:jc w:val="center"/>
                    <w:rPr>
                      <w:bCs/>
                      <w:color w:val="auto"/>
                      <w:kern w:val="0"/>
                      <w:szCs w:val="21"/>
                    </w:rPr>
                  </w:pPr>
                </w:p>
              </w:tc>
              <w:tc>
                <w:tcPr>
                  <w:tcW w:w="1455" w:type="dxa"/>
                  <w:vMerge w:val="continue"/>
                  <w:tcBorders>
                    <w:tl2br w:val="nil"/>
                    <w:tr2bl w:val="nil"/>
                  </w:tcBorders>
                  <w:vAlign w:val="center"/>
                </w:tcPr>
                <w:p>
                  <w:pPr>
                    <w:widowControl/>
                    <w:jc w:val="center"/>
                    <w:rPr>
                      <w:bCs/>
                      <w:color w:val="auto"/>
                      <w:kern w:val="0"/>
                      <w:szCs w:val="21"/>
                    </w:rPr>
                  </w:pPr>
                </w:p>
              </w:tc>
              <w:tc>
                <w:tcPr>
                  <w:tcW w:w="645" w:type="dxa"/>
                  <w:tcBorders>
                    <w:tl2br w:val="nil"/>
                    <w:tr2bl w:val="nil"/>
                  </w:tcBorders>
                  <w:vAlign w:val="center"/>
                </w:tcPr>
                <w:p>
                  <w:pPr>
                    <w:widowControl/>
                    <w:jc w:val="center"/>
                    <w:rPr>
                      <w:bCs/>
                      <w:color w:val="auto"/>
                      <w:kern w:val="0"/>
                      <w:szCs w:val="21"/>
                    </w:rPr>
                  </w:pPr>
                  <w:r>
                    <w:rPr>
                      <w:bCs/>
                      <w:color w:val="auto"/>
                      <w:szCs w:val="21"/>
                    </w:rPr>
                    <w:t>I</w:t>
                  </w:r>
                </w:p>
              </w:tc>
              <w:tc>
                <w:tcPr>
                  <w:tcW w:w="591" w:type="dxa"/>
                  <w:tcBorders>
                    <w:tl2br w:val="nil"/>
                    <w:tr2bl w:val="nil"/>
                  </w:tcBorders>
                  <w:vAlign w:val="center"/>
                </w:tcPr>
                <w:p>
                  <w:pPr>
                    <w:widowControl/>
                    <w:jc w:val="center"/>
                    <w:rPr>
                      <w:bCs/>
                      <w:color w:val="auto"/>
                      <w:kern w:val="0"/>
                      <w:szCs w:val="21"/>
                    </w:rPr>
                  </w:pPr>
                  <w:r>
                    <w:rPr>
                      <w:bCs/>
                      <w:color w:val="auto"/>
                      <w:szCs w:val="21"/>
                    </w:rPr>
                    <w:t>II</w:t>
                  </w:r>
                </w:p>
              </w:tc>
              <w:tc>
                <w:tcPr>
                  <w:tcW w:w="676" w:type="dxa"/>
                  <w:tcBorders>
                    <w:tl2br w:val="nil"/>
                    <w:tr2bl w:val="nil"/>
                  </w:tcBorders>
                  <w:vAlign w:val="center"/>
                </w:tcPr>
                <w:p>
                  <w:pPr>
                    <w:widowControl/>
                    <w:jc w:val="center"/>
                    <w:rPr>
                      <w:bCs/>
                      <w:color w:val="auto"/>
                      <w:kern w:val="0"/>
                      <w:szCs w:val="21"/>
                    </w:rPr>
                  </w:pPr>
                  <w:r>
                    <w:rPr>
                      <w:bCs/>
                      <w:color w:val="auto"/>
                      <w:szCs w:val="21"/>
                    </w:rPr>
                    <w:t>III</w:t>
                  </w:r>
                </w:p>
              </w:tc>
              <w:tc>
                <w:tcPr>
                  <w:tcW w:w="676" w:type="dxa"/>
                  <w:tcBorders>
                    <w:tl2br w:val="nil"/>
                    <w:tr2bl w:val="nil"/>
                  </w:tcBorders>
                  <w:vAlign w:val="center"/>
                </w:tcPr>
                <w:p>
                  <w:pPr>
                    <w:widowControl/>
                    <w:jc w:val="center"/>
                    <w:rPr>
                      <w:bCs/>
                      <w:color w:val="auto"/>
                      <w:kern w:val="0"/>
                      <w:szCs w:val="21"/>
                    </w:rPr>
                  </w:pPr>
                  <w:r>
                    <w:rPr>
                      <w:bCs/>
                      <w:color w:val="auto"/>
                      <w:szCs w:val="21"/>
                    </w:rPr>
                    <w:t>I</w:t>
                  </w:r>
                </w:p>
              </w:tc>
              <w:tc>
                <w:tcPr>
                  <w:tcW w:w="676" w:type="dxa"/>
                  <w:tcBorders>
                    <w:tl2br w:val="nil"/>
                    <w:tr2bl w:val="nil"/>
                  </w:tcBorders>
                  <w:vAlign w:val="center"/>
                </w:tcPr>
                <w:p>
                  <w:pPr>
                    <w:widowControl/>
                    <w:jc w:val="center"/>
                    <w:rPr>
                      <w:bCs/>
                      <w:color w:val="auto"/>
                      <w:kern w:val="0"/>
                      <w:szCs w:val="21"/>
                    </w:rPr>
                  </w:pPr>
                  <w:r>
                    <w:rPr>
                      <w:bCs/>
                      <w:color w:val="auto"/>
                      <w:szCs w:val="21"/>
                    </w:rPr>
                    <w:t>II</w:t>
                  </w:r>
                </w:p>
              </w:tc>
              <w:tc>
                <w:tcPr>
                  <w:tcW w:w="676" w:type="dxa"/>
                  <w:tcBorders>
                    <w:tl2br w:val="nil"/>
                    <w:tr2bl w:val="nil"/>
                  </w:tcBorders>
                  <w:vAlign w:val="center"/>
                </w:tcPr>
                <w:p>
                  <w:pPr>
                    <w:widowControl/>
                    <w:jc w:val="center"/>
                    <w:rPr>
                      <w:bCs/>
                      <w:color w:val="auto"/>
                      <w:kern w:val="0"/>
                      <w:szCs w:val="21"/>
                    </w:rPr>
                  </w:pPr>
                  <w:r>
                    <w:rPr>
                      <w:bCs/>
                      <w:color w:val="auto"/>
                      <w:szCs w:val="21"/>
                    </w:rPr>
                    <w:t>III</w:t>
                  </w:r>
                </w:p>
              </w:tc>
              <w:tc>
                <w:tcPr>
                  <w:tcW w:w="544" w:type="dxa"/>
                  <w:tcBorders>
                    <w:tl2br w:val="nil"/>
                    <w:tr2bl w:val="nil"/>
                  </w:tcBorders>
                  <w:vAlign w:val="center"/>
                </w:tcPr>
                <w:p>
                  <w:pPr>
                    <w:widowControl/>
                    <w:jc w:val="center"/>
                    <w:rPr>
                      <w:bCs/>
                      <w:color w:val="auto"/>
                      <w:kern w:val="0"/>
                      <w:szCs w:val="21"/>
                    </w:rPr>
                  </w:pPr>
                  <w:r>
                    <w:rPr>
                      <w:bCs/>
                      <w:color w:val="auto"/>
                      <w:szCs w:val="21"/>
                    </w:rPr>
                    <w:t>I</w:t>
                  </w:r>
                </w:p>
              </w:tc>
              <w:tc>
                <w:tcPr>
                  <w:tcW w:w="677" w:type="dxa"/>
                  <w:tcBorders>
                    <w:tl2br w:val="nil"/>
                    <w:tr2bl w:val="nil"/>
                  </w:tcBorders>
                  <w:vAlign w:val="center"/>
                </w:tcPr>
                <w:p>
                  <w:pPr>
                    <w:widowControl/>
                    <w:jc w:val="center"/>
                    <w:rPr>
                      <w:bCs/>
                      <w:color w:val="auto"/>
                      <w:kern w:val="0"/>
                      <w:szCs w:val="21"/>
                    </w:rPr>
                  </w:pPr>
                  <w:r>
                    <w:rPr>
                      <w:bCs/>
                      <w:color w:val="auto"/>
                      <w:szCs w:val="21"/>
                    </w:rPr>
                    <w:t>II</w:t>
                  </w:r>
                </w:p>
              </w:tc>
              <w:tc>
                <w:tcPr>
                  <w:tcW w:w="677" w:type="dxa"/>
                  <w:tcBorders>
                    <w:tl2br w:val="nil"/>
                    <w:tr2bl w:val="nil"/>
                  </w:tcBorders>
                  <w:vAlign w:val="center"/>
                </w:tcPr>
                <w:p>
                  <w:pPr>
                    <w:widowControl/>
                    <w:jc w:val="center"/>
                    <w:rPr>
                      <w:bCs/>
                      <w:color w:val="auto"/>
                      <w:kern w:val="0"/>
                      <w:szCs w:val="21"/>
                    </w:rPr>
                  </w:pPr>
                  <w:r>
                    <w:rPr>
                      <w:bCs/>
                      <w:color w:val="auto"/>
                      <w:szCs w:val="21"/>
                    </w:rPr>
                    <w:t>III</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44" w:type="dxa"/>
                  <w:tcBorders>
                    <w:tl2br w:val="nil"/>
                    <w:tr2bl w:val="nil"/>
                  </w:tcBorders>
                  <w:vAlign w:val="center"/>
                </w:tcPr>
                <w:p>
                  <w:pPr>
                    <w:widowControl/>
                    <w:jc w:val="center"/>
                    <w:rPr>
                      <w:color w:val="auto"/>
                      <w:kern w:val="0"/>
                      <w:szCs w:val="21"/>
                    </w:rPr>
                  </w:pPr>
                  <w:r>
                    <w:rPr>
                      <w:color w:val="auto"/>
                      <w:szCs w:val="21"/>
                    </w:rPr>
                    <w:t>A</w:t>
                  </w:r>
                </w:p>
              </w:tc>
              <w:tc>
                <w:tcPr>
                  <w:tcW w:w="1455" w:type="dxa"/>
                  <w:tcBorders>
                    <w:tl2br w:val="nil"/>
                    <w:tr2bl w:val="nil"/>
                  </w:tcBorders>
                  <w:vAlign w:val="center"/>
                </w:tcPr>
                <w:p>
                  <w:pPr>
                    <w:widowControl/>
                    <w:jc w:val="center"/>
                    <w:rPr>
                      <w:color w:val="auto"/>
                      <w:szCs w:val="21"/>
                    </w:rPr>
                  </w:pPr>
                  <w:r>
                    <w:rPr>
                      <w:color w:val="auto"/>
                      <w:szCs w:val="21"/>
                    </w:rPr>
                    <w:t>＜2</w:t>
                  </w:r>
                </w:p>
                <w:p>
                  <w:pPr>
                    <w:widowControl/>
                    <w:jc w:val="center"/>
                    <w:rPr>
                      <w:color w:val="auto"/>
                      <w:szCs w:val="21"/>
                    </w:rPr>
                  </w:pPr>
                  <w:r>
                    <w:rPr>
                      <w:color w:val="auto"/>
                      <w:szCs w:val="21"/>
                    </w:rPr>
                    <w:t>2~4</w:t>
                  </w:r>
                </w:p>
                <w:p>
                  <w:pPr>
                    <w:widowControl/>
                    <w:jc w:val="center"/>
                    <w:rPr>
                      <w:color w:val="auto"/>
                      <w:kern w:val="0"/>
                      <w:szCs w:val="21"/>
                    </w:rPr>
                  </w:pPr>
                  <w:r>
                    <w:rPr>
                      <w:color w:val="auto"/>
                      <w:szCs w:val="21"/>
                    </w:rPr>
                    <w:t>＞4</w:t>
                  </w:r>
                </w:p>
              </w:tc>
              <w:tc>
                <w:tcPr>
                  <w:tcW w:w="645" w:type="dxa"/>
                  <w:tcBorders>
                    <w:tl2br w:val="nil"/>
                    <w:tr2bl w:val="nil"/>
                  </w:tcBorders>
                  <w:vAlign w:val="center"/>
                </w:tcPr>
                <w:p>
                  <w:pPr>
                    <w:jc w:val="center"/>
                    <w:rPr>
                      <w:color w:val="auto"/>
                      <w:szCs w:val="21"/>
                    </w:rPr>
                  </w:pPr>
                  <w:r>
                    <w:rPr>
                      <w:color w:val="auto"/>
                      <w:szCs w:val="21"/>
                    </w:rPr>
                    <w:t>400</w:t>
                  </w:r>
                </w:p>
                <w:p>
                  <w:pPr>
                    <w:jc w:val="center"/>
                    <w:rPr>
                      <w:color w:val="auto"/>
                      <w:szCs w:val="21"/>
                    </w:rPr>
                  </w:pPr>
                  <w:r>
                    <w:rPr>
                      <w:color w:val="auto"/>
                      <w:szCs w:val="21"/>
                    </w:rPr>
                    <w:t>700</w:t>
                  </w:r>
                </w:p>
                <w:p>
                  <w:pPr>
                    <w:widowControl/>
                    <w:jc w:val="center"/>
                    <w:rPr>
                      <w:color w:val="auto"/>
                      <w:kern w:val="0"/>
                      <w:szCs w:val="21"/>
                    </w:rPr>
                  </w:pPr>
                  <w:r>
                    <w:rPr>
                      <w:color w:val="auto"/>
                      <w:szCs w:val="21"/>
                    </w:rPr>
                    <w:t>530</w:t>
                  </w:r>
                </w:p>
              </w:tc>
              <w:tc>
                <w:tcPr>
                  <w:tcW w:w="591" w:type="dxa"/>
                  <w:tcBorders>
                    <w:tl2br w:val="nil"/>
                    <w:tr2bl w:val="nil"/>
                  </w:tcBorders>
                  <w:vAlign w:val="center"/>
                </w:tcPr>
                <w:p>
                  <w:pPr>
                    <w:jc w:val="center"/>
                    <w:rPr>
                      <w:color w:val="auto"/>
                      <w:szCs w:val="21"/>
                    </w:rPr>
                  </w:pPr>
                  <w:r>
                    <w:rPr>
                      <w:color w:val="auto"/>
                      <w:szCs w:val="21"/>
                    </w:rPr>
                    <w:t>400</w:t>
                  </w:r>
                </w:p>
                <w:p>
                  <w:pPr>
                    <w:jc w:val="center"/>
                    <w:rPr>
                      <w:b/>
                      <w:bCs/>
                      <w:color w:val="auto"/>
                      <w:szCs w:val="21"/>
                    </w:rPr>
                  </w:pPr>
                  <w:r>
                    <w:rPr>
                      <w:b/>
                      <w:bCs/>
                      <w:color w:val="auto"/>
                      <w:szCs w:val="21"/>
                    </w:rPr>
                    <w:t>470</w:t>
                  </w:r>
                </w:p>
                <w:p>
                  <w:pPr>
                    <w:widowControl/>
                    <w:jc w:val="center"/>
                    <w:rPr>
                      <w:color w:val="auto"/>
                      <w:kern w:val="0"/>
                      <w:szCs w:val="21"/>
                    </w:rPr>
                  </w:pPr>
                  <w:r>
                    <w:rPr>
                      <w:color w:val="auto"/>
                      <w:szCs w:val="21"/>
                    </w:rPr>
                    <w:t>350</w:t>
                  </w:r>
                </w:p>
              </w:tc>
              <w:tc>
                <w:tcPr>
                  <w:tcW w:w="676" w:type="dxa"/>
                  <w:tcBorders>
                    <w:tl2br w:val="nil"/>
                    <w:tr2bl w:val="nil"/>
                  </w:tcBorders>
                  <w:vAlign w:val="center"/>
                </w:tcPr>
                <w:p>
                  <w:pPr>
                    <w:jc w:val="center"/>
                    <w:rPr>
                      <w:color w:val="auto"/>
                      <w:szCs w:val="21"/>
                    </w:rPr>
                  </w:pPr>
                  <w:r>
                    <w:rPr>
                      <w:color w:val="auto"/>
                      <w:szCs w:val="21"/>
                    </w:rPr>
                    <w:t>400</w:t>
                  </w:r>
                </w:p>
                <w:p>
                  <w:pPr>
                    <w:jc w:val="center"/>
                    <w:rPr>
                      <w:color w:val="auto"/>
                      <w:szCs w:val="21"/>
                    </w:rPr>
                  </w:pPr>
                  <w:r>
                    <w:rPr>
                      <w:color w:val="auto"/>
                      <w:szCs w:val="21"/>
                    </w:rPr>
                    <w:t>350</w:t>
                  </w:r>
                </w:p>
                <w:p>
                  <w:pPr>
                    <w:widowControl/>
                    <w:jc w:val="center"/>
                    <w:rPr>
                      <w:color w:val="auto"/>
                      <w:kern w:val="0"/>
                      <w:szCs w:val="21"/>
                    </w:rPr>
                  </w:pPr>
                  <w:r>
                    <w:rPr>
                      <w:color w:val="auto"/>
                      <w:szCs w:val="21"/>
                    </w:rPr>
                    <w:t>260</w:t>
                  </w:r>
                </w:p>
              </w:tc>
              <w:tc>
                <w:tcPr>
                  <w:tcW w:w="676" w:type="dxa"/>
                  <w:tcBorders>
                    <w:tl2br w:val="nil"/>
                    <w:tr2bl w:val="nil"/>
                  </w:tcBorders>
                  <w:vAlign w:val="center"/>
                </w:tcPr>
                <w:p>
                  <w:pPr>
                    <w:jc w:val="center"/>
                    <w:rPr>
                      <w:color w:val="auto"/>
                      <w:szCs w:val="21"/>
                    </w:rPr>
                  </w:pPr>
                  <w:r>
                    <w:rPr>
                      <w:color w:val="auto"/>
                      <w:szCs w:val="21"/>
                    </w:rPr>
                    <w:t>400</w:t>
                  </w:r>
                </w:p>
                <w:p>
                  <w:pPr>
                    <w:jc w:val="center"/>
                    <w:rPr>
                      <w:color w:val="auto"/>
                      <w:szCs w:val="21"/>
                    </w:rPr>
                  </w:pPr>
                  <w:r>
                    <w:rPr>
                      <w:color w:val="auto"/>
                      <w:szCs w:val="21"/>
                    </w:rPr>
                    <w:t>700</w:t>
                  </w:r>
                </w:p>
                <w:p>
                  <w:pPr>
                    <w:widowControl/>
                    <w:jc w:val="center"/>
                    <w:rPr>
                      <w:color w:val="auto"/>
                      <w:kern w:val="0"/>
                      <w:szCs w:val="21"/>
                    </w:rPr>
                  </w:pPr>
                  <w:r>
                    <w:rPr>
                      <w:color w:val="auto"/>
                      <w:szCs w:val="21"/>
                    </w:rPr>
                    <w:t>530</w:t>
                  </w:r>
                </w:p>
              </w:tc>
              <w:tc>
                <w:tcPr>
                  <w:tcW w:w="676" w:type="dxa"/>
                  <w:tcBorders>
                    <w:tl2br w:val="nil"/>
                    <w:tr2bl w:val="nil"/>
                  </w:tcBorders>
                  <w:vAlign w:val="center"/>
                </w:tcPr>
                <w:p>
                  <w:pPr>
                    <w:jc w:val="center"/>
                    <w:rPr>
                      <w:color w:val="auto"/>
                      <w:szCs w:val="21"/>
                    </w:rPr>
                  </w:pPr>
                  <w:r>
                    <w:rPr>
                      <w:color w:val="auto"/>
                      <w:szCs w:val="21"/>
                    </w:rPr>
                    <w:t>400</w:t>
                  </w:r>
                </w:p>
                <w:p>
                  <w:pPr>
                    <w:jc w:val="center"/>
                    <w:rPr>
                      <w:color w:val="auto"/>
                      <w:szCs w:val="21"/>
                    </w:rPr>
                  </w:pPr>
                  <w:r>
                    <w:rPr>
                      <w:color w:val="auto"/>
                      <w:szCs w:val="21"/>
                    </w:rPr>
                    <w:t>470</w:t>
                  </w:r>
                </w:p>
                <w:p>
                  <w:pPr>
                    <w:widowControl/>
                    <w:jc w:val="center"/>
                    <w:rPr>
                      <w:color w:val="auto"/>
                      <w:kern w:val="0"/>
                      <w:szCs w:val="21"/>
                    </w:rPr>
                  </w:pPr>
                  <w:r>
                    <w:rPr>
                      <w:color w:val="auto"/>
                      <w:szCs w:val="21"/>
                    </w:rPr>
                    <w:t>350</w:t>
                  </w:r>
                </w:p>
              </w:tc>
              <w:tc>
                <w:tcPr>
                  <w:tcW w:w="676" w:type="dxa"/>
                  <w:tcBorders>
                    <w:tl2br w:val="nil"/>
                    <w:tr2bl w:val="nil"/>
                  </w:tcBorders>
                  <w:vAlign w:val="center"/>
                </w:tcPr>
                <w:p>
                  <w:pPr>
                    <w:jc w:val="center"/>
                    <w:rPr>
                      <w:color w:val="auto"/>
                      <w:szCs w:val="21"/>
                    </w:rPr>
                  </w:pPr>
                  <w:r>
                    <w:rPr>
                      <w:color w:val="auto"/>
                      <w:szCs w:val="21"/>
                    </w:rPr>
                    <w:t>400</w:t>
                  </w:r>
                </w:p>
                <w:p>
                  <w:pPr>
                    <w:jc w:val="center"/>
                    <w:rPr>
                      <w:color w:val="auto"/>
                      <w:szCs w:val="21"/>
                    </w:rPr>
                  </w:pPr>
                  <w:r>
                    <w:rPr>
                      <w:color w:val="auto"/>
                      <w:szCs w:val="21"/>
                    </w:rPr>
                    <w:t>350</w:t>
                  </w:r>
                </w:p>
                <w:p>
                  <w:pPr>
                    <w:widowControl/>
                    <w:jc w:val="center"/>
                    <w:rPr>
                      <w:color w:val="auto"/>
                      <w:kern w:val="0"/>
                      <w:szCs w:val="21"/>
                    </w:rPr>
                  </w:pPr>
                  <w:r>
                    <w:rPr>
                      <w:color w:val="auto"/>
                      <w:szCs w:val="21"/>
                    </w:rPr>
                    <w:t>260</w:t>
                  </w:r>
                </w:p>
              </w:tc>
              <w:tc>
                <w:tcPr>
                  <w:tcW w:w="544" w:type="dxa"/>
                  <w:tcBorders>
                    <w:tl2br w:val="nil"/>
                    <w:tr2bl w:val="nil"/>
                  </w:tcBorders>
                  <w:vAlign w:val="center"/>
                </w:tcPr>
                <w:p>
                  <w:pPr>
                    <w:jc w:val="center"/>
                    <w:rPr>
                      <w:color w:val="auto"/>
                      <w:szCs w:val="21"/>
                    </w:rPr>
                  </w:pPr>
                  <w:r>
                    <w:rPr>
                      <w:color w:val="auto"/>
                      <w:szCs w:val="21"/>
                    </w:rPr>
                    <w:t>80</w:t>
                  </w:r>
                </w:p>
                <w:p>
                  <w:pPr>
                    <w:jc w:val="center"/>
                    <w:rPr>
                      <w:color w:val="auto"/>
                      <w:szCs w:val="21"/>
                    </w:rPr>
                  </w:pPr>
                  <w:r>
                    <w:rPr>
                      <w:color w:val="auto"/>
                      <w:szCs w:val="21"/>
                    </w:rPr>
                    <w:t>380</w:t>
                  </w:r>
                </w:p>
                <w:p>
                  <w:pPr>
                    <w:widowControl/>
                    <w:jc w:val="center"/>
                    <w:rPr>
                      <w:color w:val="auto"/>
                      <w:kern w:val="0"/>
                      <w:szCs w:val="21"/>
                    </w:rPr>
                  </w:pPr>
                  <w:r>
                    <w:rPr>
                      <w:color w:val="auto"/>
                      <w:szCs w:val="21"/>
                    </w:rPr>
                    <w:t>290</w:t>
                  </w:r>
                </w:p>
              </w:tc>
              <w:tc>
                <w:tcPr>
                  <w:tcW w:w="677" w:type="dxa"/>
                  <w:tcBorders>
                    <w:tl2br w:val="nil"/>
                    <w:tr2bl w:val="nil"/>
                  </w:tcBorders>
                  <w:vAlign w:val="center"/>
                </w:tcPr>
                <w:p>
                  <w:pPr>
                    <w:jc w:val="center"/>
                    <w:rPr>
                      <w:color w:val="auto"/>
                      <w:szCs w:val="21"/>
                    </w:rPr>
                  </w:pPr>
                  <w:r>
                    <w:rPr>
                      <w:color w:val="auto"/>
                      <w:szCs w:val="21"/>
                    </w:rPr>
                    <w:t>80</w:t>
                  </w:r>
                </w:p>
                <w:p>
                  <w:pPr>
                    <w:jc w:val="center"/>
                    <w:rPr>
                      <w:color w:val="auto"/>
                      <w:szCs w:val="21"/>
                    </w:rPr>
                  </w:pPr>
                  <w:r>
                    <w:rPr>
                      <w:color w:val="auto"/>
                      <w:szCs w:val="21"/>
                    </w:rPr>
                    <w:t>250</w:t>
                  </w:r>
                </w:p>
                <w:p>
                  <w:pPr>
                    <w:widowControl/>
                    <w:jc w:val="center"/>
                    <w:rPr>
                      <w:color w:val="auto"/>
                      <w:kern w:val="0"/>
                      <w:szCs w:val="21"/>
                    </w:rPr>
                  </w:pPr>
                  <w:r>
                    <w:rPr>
                      <w:color w:val="auto"/>
                      <w:szCs w:val="21"/>
                    </w:rPr>
                    <w:t>190</w:t>
                  </w:r>
                </w:p>
              </w:tc>
              <w:tc>
                <w:tcPr>
                  <w:tcW w:w="677" w:type="dxa"/>
                  <w:tcBorders>
                    <w:tl2br w:val="nil"/>
                    <w:tr2bl w:val="nil"/>
                  </w:tcBorders>
                  <w:vAlign w:val="center"/>
                </w:tcPr>
                <w:p>
                  <w:pPr>
                    <w:jc w:val="center"/>
                    <w:rPr>
                      <w:color w:val="auto"/>
                      <w:szCs w:val="21"/>
                    </w:rPr>
                  </w:pPr>
                  <w:r>
                    <w:rPr>
                      <w:color w:val="auto"/>
                      <w:szCs w:val="21"/>
                    </w:rPr>
                    <w:t>80</w:t>
                  </w:r>
                </w:p>
                <w:p>
                  <w:pPr>
                    <w:jc w:val="center"/>
                    <w:rPr>
                      <w:color w:val="auto"/>
                      <w:szCs w:val="21"/>
                    </w:rPr>
                  </w:pPr>
                  <w:r>
                    <w:rPr>
                      <w:color w:val="auto"/>
                      <w:szCs w:val="21"/>
                    </w:rPr>
                    <w:t>190</w:t>
                  </w:r>
                </w:p>
                <w:p>
                  <w:pPr>
                    <w:widowControl/>
                    <w:jc w:val="center"/>
                    <w:rPr>
                      <w:color w:val="auto"/>
                      <w:kern w:val="0"/>
                      <w:szCs w:val="21"/>
                    </w:rPr>
                  </w:pPr>
                  <w:r>
                    <w:rPr>
                      <w:color w:val="auto"/>
                      <w:szCs w:val="21"/>
                    </w:rPr>
                    <w:t>110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44" w:type="dxa"/>
                  <w:tcBorders>
                    <w:tl2br w:val="nil"/>
                    <w:tr2bl w:val="nil"/>
                  </w:tcBorders>
                  <w:vAlign w:val="center"/>
                </w:tcPr>
                <w:p>
                  <w:pPr>
                    <w:widowControl/>
                    <w:jc w:val="center"/>
                    <w:rPr>
                      <w:color w:val="auto"/>
                      <w:kern w:val="0"/>
                      <w:szCs w:val="21"/>
                    </w:rPr>
                  </w:pPr>
                  <w:r>
                    <w:rPr>
                      <w:color w:val="auto"/>
                      <w:szCs w:val="21"/>
                    </w:rPr>
                    <w:t>B</w:t>
                  </w:r>
                </w:p>
              </w:tc>
              <w:tc>
                <w:tcPr>
                  <w:tcW w:w="1455" w:type="dxa"/>
                  <w:tcBorders>
                    <w:tl2br w:val="nil"/>
                    <w:tr2bl w:val="nil"/>
                  </w:tcBorders>
                  <w:vAlign w:val="center"/>
                </w:tcPr>
                <w:p>
                  <w:pPr>
                    <w:widowControl/>
                    <w:jc w:val="center"/>
                    <w:rPr>
                      <w:color w:val="auto"/>
                      <w:szCs w:val="21"/>
                    </w:rPr>
                  </w:pPr>
                  <w:r>
                    <w:rPr>
                      <w:color w:val="auto"/>
                      <w:szCs w:val="21"/>
                    </w:rPr>
                    <w:t>＜2</w:t>
                  </w:r>
                </w:p>
                <w:p>
                  <w:pPr>
                    <w:widowControl/>
                    <w:jc w:val="center"/>
                    <w:rPr>
                      <w:color w:val="auto"/>
                      <w:kern w:val="0"/>
                      <w:szCs w:val="21"/>
                    </w:rPr>
                  </w:pPr>
                  <w:r>
                    <w:rPr>
                      <w:color w:val="auto"/>
                      <w:szCs w:val="21"/>
                    </w:rPr>
                    <w:t>＞2</w:t>
                  </w:r>
                </w:p>
              </w:tc>
              <w:tc>
                <w:tcPr>
                  <w:tcW w:w="1912" w:type="dxa"/>
                  <w:gridSpan w:val="3"/>
                  <w:tcBorders>
                    <w:tl2br w:val="nil"/>
                    <w:tr2bl w:val="nil"/>
                  </w:tcBorders>
                  <w:vAlign w:val="center"/>
                </w:tcPr>
                <w:p>
                  <w:pPr>
                    <w:widowControl/>
                    <w:jc w:val="center"/>
                    <w:rPr>
                      <w:color w:val="auto"/>
                      <w:szCs w:val="21"/>
                    </w:rPr>
                  </w:pPr>
                  <w:r>
                    <w:rPr>
                      <w:color w:val="auto"/>
                      <w:szCs w:val="21"/>
                    </w:rPr>
                    <w:t>0.01</w:t>
                  </w:r>
                </w:p>
                <w:p>
                  <w:pPr>
                    <w:widowControl/>
                    <w:jc w:val="center"/>
                    <w:rPr>
                      <w:color w:val="auto"/>
                      <w:kern w:val="0"/>
                      <w:szCs w:val="21"/>
                    </w:rPr>
                  </w:pPr>
                  <w:r>
                    <w:rPr>
                      <w:b/>
                      <w:bCs/>
                      <w:color w:val="auto"/>
                      <w:szCs w:val="21"/>
                    </w:rPr>
                    <w:t>0.021</w:t>
                  </w:r>
                </w:p>
              </w:tc>
              <w:tc>
                <w:tcPr>
                  <w:tcW w:w="2028" w:type="dxa"/>
                  <w:gridSpan w:val="3"/>
                  <w:tcBorders>
                    <w:tl2br w:val="nil"/>
                    <w:tr2bl w:val="nil"/>
                  </w:tcBorders>
                  <w:vAlign w:val="center"/>
                </w:tcPr>
                <w:p>
                  <w:pPr>
                    <w:widowControl/>
                    <w:jc w:val="center"/>
                    <w:rPr>
                      <w:color w:val="auto"/>
                      <w:szCs w:val="21"/>
                    </w:rPr>
                  </w:pPr>
                  <w:r>
                    <w:rPr>
                      <w:color w:val="auto"/>
                      <w:szCs w:val="21"/>
                    </w:rPr>
                    <w:t>0.015</w:t>
                  </w:r>
                </w:p>
                <w:p>
                  <w:pPr>
                    <w:widowControl/>
                    <w:jc w:val="center"/>
                    <w:rPr>
                      <w:color w:val="auto"/>
                      <w:kern w:val="0"/>
                      <w:szCs w:val="21"/>
                    </w:rPr>
                  </w:pPr>
                  <w:r>
                    <w:rPr>
                      <w:color w:val="auto"/>
                      <w:szCs w:val="21"/>
                    </w:rPr>
                    <w:t>0.036</w:t>
                  </w:r>
                </w:p>
              </w:tc>
              <w:tc>
                <w:tcPr>
                  <w:tcW w:w="1898" w:type="dxa"/>
                  <w:gridSpan w:val="3"/>
                  <w:tcBorders>
                    <w:tl2br w:val="nil"/>
                    <w:tr2bl w:val="nil"/>
                  </w:tcBorders>
                  <w:vAlign w:val="center"/>
                </w:tcPr>
                <w:p>
                  <w:pPr>
                    <w:widowControl/>
                    <w:jc w:val="center"/>
                    <w:rPr>
                      <w:color w:val="auto"/>
                      <w:szCs w:val="21"/>
                    </w:rPr>
                  </w:pPr>
                  <w:r>
                    <w:rPr>
                      <w:color w:val="auto"/>
                      <w:szCs w:val="21"/>
                    </w:rPr>
                    <w:t>0.015</w:t>
                  </w:r>
                </w:p>
                <w:p>
                  <w:pPr>
                    <w:widowControl/>
                    <w:jc w:val="center"/>
                    <w:rPr>
                      <w:color w:val="auto"/>
                      <w:kern w:val="0"/>
                      <w:szCs w:val="21"/>
                    </w:rPr>
                  </w:pPr>
                  <w:r>
                    <w:rPr>
                      <w:color w:val="auto"/>
                      <w:szCs w:val="21"/>
                    </w:rPr>
                    <w:t>0.036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44" w:type="dxa"/>
                  <w:tcBorders>
                    <w:tl2br w:val="nil"/>
                    <w:tr2bl w:val="nil"/>
                  </w:tcBorders>
                  <w:vAlign w:val="center"/>
                </w:tcPr>
                <w:p>
                  <w:pPr>
                    <w:widowControl/>
                    <w:jc w:val="center"/>
                    <w:rPr>
                      <w:color w:val="auto"/>
                      <w:kern w:val="0"/>
                      <w:szCs w:val="21"/>
                    </w:rPr>
                  </w:pPr>
                  <w:r>
                    <w:rPr>
                      <w:color w:val="auto"/>
                      <w:szCs w:val="21"/>
                    </w:rPr>
                    <w:t>C</w:t>
                  </w:r>
                </w:p>
              </w:tc>
              <w:tc>
                <w:tcPr>
                  <w:tcW w:w="1455" w:type="dxa"/>
                  <w:tcBorders>
                    <w:tl2br w:val="nil"/>
                    <w:tr2bl w:val="nil"/>
                  </w:tcBorders>
                  <w:vAlign w:val="center"/>
                </w:tcPr>
                <w:p>
                  <w:pPr>
                    <w:widowControl/>
                    <w:jc w:val="center"/>
                    <w:rPr>
                      <w:color w:val="auto"/>
                      <w:szCs w:val="21"/>
                    </w:rPr>
                  </w:pPr>
                  <w:r>
                    <w:rPr>
                      <w:color w:val="auto"/>
                      <w:szCs w:val="21"/>
                    </w:rPr>
                    <w:t>＜2</w:t>
                  </w:r>
                </w:p>
                <w:p>
                  <w:pPr>
                    <w:widowControl/>
                    <w:jc w:val="center"/>
                    <w:rPr>
                      <w:color w:val="auto"/>
                      <w:kern w:val="0"/>
                      <w:szCs w:val="21"/>
                    </w:rPr>
                  </w:pPr>
                  <w:r>
                    <w:rPr>
                      <w:color w:val="auto"/>
                      <w:szCs w:val="21"/>
                    </w:rPr>
                    <w:t>＞2</w:t>
                  </w:r>
                </w:p>
              </w:tc>
              <w:tc>
                <w:tcPr>
                  <w:tcW w:w="1912" w:type="dxa"/>
                  <w:gridSpan w:val="3"/>
                  <w:tcBorders>
                    <w:tl2br w:val="nil"/>
                    <w:tr2bl w:val="nil"/>
                  </w:tcBorders>
                  <w:vAlign w:val="center"/>
                </w:tcPr>
                <w:p>
                  <w:pPr>
                    <w:widowControl/>
                    <w:jc w:val="center"/>
                    <w:rPr>
                      <w:color w:val="auto"/>
                      <w:szCs w:val="21"/>
                    </w:rPr>
                  </w:pPr>
                  <w:r>
                    <w:rPr>
                      <w:color w:val="auto"/>
                      <w:szCs w:val="21"/>
                    </w:rPr>
                    <w:t>1.85</w:t>
                  </w:r>
                </w:p>
                <w:p>
                  <w:pPr>
                    <w:widowControl/>
                    <w:jc w:val="center"/>
                    <w:rPr>
                      <w:color w:val="auto"/>
                      <w:kern w:val="0"/>
                      <w:szCs w:val="21"/>
                    </w:rPr>
                  </w:pPr>
                  <w:r>
                    <w:rPr>
                      <w:b/>
                      <w:bCs/>
                      <w:color w:val="auto"/>
                      <w:szCs w:val="21"/>
                    </w:rPr>
                    <w:t>1.85</w:t>
                  </w:r>
                </w:p>
              </w:tc>
              <w:tc>
                <w:tcPr>
                  <w:tcW w:w="2028" w:type="dxa"/>
                  <w:gridSpan w:val="3"/>
                  <w:tcBorders>
                    <w:tl2br w:val="nil"/>
                    <w:tr2bl w:val="nil"/>
                  </w:tcBorders>
                  <w:vAlign w:val="center"/>
                </w:tcPr>
                <w:p>
                  <w:pPr>
                    <w:widowControl/>
                    <w:jc w:val="center"/>
                    <w:rPr>
                      <w:color w:val="auto"/>
                      <w:szCs w:val="21"/>
                    </w:rPr>
                  </w:pPr>
                  <w:r>
                    <w:rPr>
                      <w:color w:val="auto"/>
                      <w:szCs w:val="21"/>
                    </w:rPr>
                    <w:t>1.79</w:t>
                  </w:r>
                </w:p>
                <w:p>
                  <w:pPr>
                    <w:widowControl/>
                    <w:jc w:val="center"/>
                    <w:rPr>
                      <w:color w:val="auto"/>
                      <w:kern w:val="0"/>
                      <w:szCs w:val="21"/>
                    </w:rPr>
                  </w:pPr>
                  <w:r>
                    <w:rPr>
                      <w:color w:val="auto"/>
                      <w:szCs w:val="21"/>
                    </w:rPr>
                    <w:t>1.77</w:t>
                  </w:r>
                </w:p>
              </w:tc>
              <w:tc>
                <w:tcPr>
                  <w:tcW w:w="1898" w:type="dxa"/>
                  <w:gridSpan w:val="3"/>
                  <w:tcBorders>
                    <w:tl2br w:val="nil"/>
                    <w:tr2bl w:val="nil"/>
                  </w:tcBorders>
                  <w:vAlign w:val="center"/>
                </w:tcPr>
                <w:p>
                  <w:pPr>
                    <w:widowControl/>
                    <w:jc w:val="center"/>
                    <w:rPr>
                      <w:color w:val="auto"/>
                      <w:szCs w:val="21"/>
                    </w:rPr>
                  </w:pPr>
                  <w:r>
                    <w:rPr>
                      <w:color w:val="auto"/>
                      <w:szCs w:val="21"/>
                    </w:rPr>
                    <w:t>1.79</w:t>
                  </w:r>
                </w:p>
                <w:p>
                  <w:pPr>
                    <w:widowControl/>
                    <w:jc w:val="center"/>
                    <w:rPr>
                      <w:color w:val="auto"/>
                      <w:kern w:val="0"/>
                      <w:szCs w:val="21"/>
                    </w:rPr>
                  </w:pPr>
                  <w:r>
                    <w:rPr>
                      <w:color w:val="auto"/>
                      <w:szCs w:val="21"/>
                    </w:rPr>
                    <w:t>1.77</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jc w:val="center"/>
              </w:trPr>
              <w:tc>
                <w:tcPr>
                  <w:tcW w:w="644" w:type="dxa"/>
                  <w:tcBorders>
                    <w:tl2br w:val="nil"/>
                    <w:tr2bl w:val="nil"/>
                  </w:tcBorders>
                  <w:vAlign w:val="center"/>
                </w:tcPr>
                <w:p>
                  <w:pPr>
                    <w:widowControl/>
                    <w:jc w:val="center"/>
                    <w:rPr>
                      <w:color w:val="auto"/>
                      <w:kern w:val="0"/>
                      <w:szCs w:val="21"/>
                    </w:rPr>
                  </w:pPr>
                  <w:r>
                    <w:rPr>
                      <w:color w:val="auto"/>
                      <w:szCs w:val="21"/>
                    </w:rPr>
                    <w:t>D</w:t>
                  </w:r>
                </w:p>
              </w:tc>
              <w:tc>
                <w:tcPr>
                  <w:tcW w:w="1455" w:type="dxa"/>
                  <w:tcBorders>
                    <w:tl2br w:val="nil"/>
                    <w:tr2bl w:val="nil"/>
                  </w:tcBorders>
                  <w:vAlign w:val="center"/>
                </w:tcPr>
                <w:p>
                  <w:pPr>
                    <w:widowControl/>
                    <w:jc w:val="center"/>
                    <w:rPr>
                      <w:color w:val="auto"/>
                      <w:szCs w:val="21"/>
                    </w:rPr>
                  </w:pPr>
                  <w:r>
                    <w:rPr>
                      <w:color w:val="auto"/>
                      <w:szCs w:val="21"/>
                    </w:rPr>
                    <w:t>＜2</w:t>
                  </w:r>
                </w:p>
                <w:p>
                  <w:pPr>
                    <w:widowControl/>
                    <w:jc w:val="center"/>
                    <w:rPr>
                      <w:color w:val="auto"/>
                      <w:kern w:val="0"/>
                      <w:szCs w:val="21"/>
                    </w:rPr>
                  </w:pPr>
                  <w:r>
                    <w:rPr>
                      <w:color w:val="auto"/>
                      <w:szCs w:val="21"/>
                    </w:rPr>
                    <w:t>＞2</w:t>
                  </w:r>
                </w:p>
              </w:tc>
              <w:tc>
                <w:tcPr>
                  <w:tcW w:w="1912" w:type="dxa"/>
                  <w:gridSpan w:val="3"/>
                  <w:tcBorders>
                    <w:tl2br w:val="nil"/>
                    <w:tr2bl w:val="nil"/>
                  </w:tcBorders>
                  <w:vAlign w:val="center"/>
                </w:tcPr>
                <w:p>
                  <w:pPr>
                    <w:widowControl/>
                    <w:jc w:val="center"/>
                    <w:rPr>
                      <w:color w:val="auto"/>
                      <w:szCs w:val="21"/>
                    </w:rPr>
                  </w:pPr>
                  <w:r>
                    <w:rPr>
                      <w:color w:val="auto"/>
                      <w:szCs w:val="21"/>
                    </w:rPr>
                    <w:t>0.78</w:t>
                  </w:r>
                </w:p>
                <w:p>
                  <w:pPr>
                    <w:widowControl/>
                    <w:jc w:val="center"/>
                    <w:rPr>
                      <w:color w:val="auto"/>
                      <w:kern w:val="0"/>
                      <w:szCs w:val="21"/>
                    </w:rPr>
                  </w:pPr>
                  <w:r>
                    <w:rPr>
                      <w:b/>
                      <w:bCs/>
                      <w:color w:val="auto"/>
                      <w:szCs w:val="21"/>
                    </w:rPr>
                    <w:t>0.84</w:t>
                  </w:r>
                </w:p>
              </w:tc>
              <w:tc>
                <w:tcPr>
                  <w:tcW w:w="2028" w:type="dxa"/>
                  <w:gridSpan w:val="3"/>
                  <w:tcBorders>
                    <w:tl2br w:val="nil"/>
                    <w:tr2bl w:val="nil"/>
                  </w:tcBorders>
                  <w:vAlign w:val="center"/>
                </w:tcPr>
                <w:p>
                  <w:pPr>
                    <w:widowControl/>
                    <w:jc w:val="center"/>
                    <w:rPr>
                      <w:color w:val="auto"/>
                      <w:szCs w:val="21"/>
                    </w:rPr>
                  </w:pPr>
                  <w:r>
                    <w:rPr>
                      <w:color w:val="auto"/>
                      <w:szCs w:val="21"/>
                    </w:rPr>
                    <w:t>0.78</w:t>
                  </w:r>
                </w:p>
                <w:p>
                  <w:pPr>
                    <w:widowControl/>
                    <w:jc w:val="center"/>
                    <w:rPr>
                      <w:color w:val="auto"/>
                      <w:kern w:val="0"/>
                      <w:szCs w:val="21"/>
                    </w:rPr>
                  </w:pPr>
                  <w:r>
                    <w:rPr>
                      <w:color w:val="auto"/>
                      <w:szCs w:val="21"/>
                    </w:rPr>
                    <w:t>0.84</w:t>
                  </w:r>
                </w:p>
              </w:tc>
              <w:tc>
                <w:tcPr>
                  <w:tcW w:w="1898" w:type="dxa"/>
                  <w:gridSpan w:val="3"/>
                  <w:tcBorders>
                    <w:tl2br w:val="nil"/>
                    <w:tr2bl w:val="nil"/>
                  </w:tcBorders>
                  <w:vAlign w:val="center"/>
                </w:tcPr>
                <w:p>
                  <w:pPr>
                    <w:widowControl/>
                    <w:jc w:val="center"/>
                    <w:rPr>
                      <w:color w:val="auto"/>
                      <w:szCs w:val="21"/>
                    </w:rPr>
                  </w:pPr>
                  <w:r>
                    <w:rPr>
                      <w:color w:val="auto"/>
                      <w:szCs w:val="21"/>
                    </w:rPr>
                    <w:t>0.57</w:t>
                  </w:r>
                </w:p>
                <w:p>
                  <w:pPr>
                    <w:widowControl/>
                    <w:jc w:val="center"/>
                    <w:rPr>
                      <w:color w:val="auto"/>
                      <w:kern w:val="0"/>
                      <w:szCs w:val="21"/>
                    </w:rPr>
                  </w:pPr>
                  <w:r>
                    <w:rPr>
                      <w:color w:val="auto"/>
                      <w:szCs w:val="21"/>
                    </w:rPr>
                    <w:t>0.76</w:t>
                  </w:r>
                </w:p>
              </w:tc>
            </w:tr>
          </w:tbl>
          <w:p>
            <w:pPr>
              <w:jc w:val="center"/>
              <w:rPr>
                <w:b/>
                <w:bCs/>
                <w:color w:val="auto"/>
                <w:sz w:val="24"/>
              </w:rPr>
            </w:pPr>
            <w:r>
              <w:rPr>
                <w:b/>
                <w:bCs/>
                <w:color w:val="auto"/>
                <w:sz w:val="24"/>
              </w:rPr>
              <w:t>表</w:t>
            </w:r>
            <w:r>
              <w:rPr>
                <w:rFonts w:hint="eastAsia"/>
                <w:b/>
                <w:bCs/>
                <w:color w:val="auto"/>
                <w:sz w:val="24"/>
              </w:rPr>
              <w:t>4.1-5</w:t>
            </w:r>
            <w:r>
              <w:rPr>
                <w:b/>
                <w:bCs/>
                <w:color w:val="auto"/>
                <w:sz w:val="24"/>
              </w:rPr>
              <w:t xml:space="preserve">  卫生防护距离计算</w:t>
            </w:r>
            <w:r>
              <w:rPr>
                <w:rFonts w:hint="eastAsia"/>
                <w:b/>
                <w:bCs/>
                <w:color w:val="auto"/>
                <w:sz w:val="24"/>
              </w:rPr>
              <w:t>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0"/>
              <w:gridCol w:w="985"/>
              <w:gridCol w:w="1331"/>
              <w:gridCol w:w="1157"/>
              <w:gridCol w:w="1553"/>
              <w:gridCol w:w="198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490" w:type="dxa"/>
                  <w:tcBorders>
                    <w:tl2br w:val="nil"/>
                    <w:tr2bl w:val="nil"/>
                  </w:tcBorders>
                  <w:vAlign w:val="center"/>
                </w:tcPr>
                <w:p>
                  <w:pPr>
                    <w:widowControl/>
                    <w:jc w:val="center"/>
                    <w:rPr>
                      <w:color w:val="auto"/>
                      <w:szCs w:val="21"/>
                    </w:rPr>
                  </w:pPr>
                  <w:r>
                    <w:rPr>
                      <w:rFonts w:hint="eastAsia"/>
                      <w:color w:val="auto"/>
                      <w:szCs w:val="21"/>
                    </w:rPr>
                    <w:t>污染物名称</w:t>
                  </w:r>
                </w:p>
              </w:tc>
              <w:tc>
                <w:tcPr>
                  <w:tcW w:w="985" w:type="dxa"/>
                  <w:tcBorders>
                    <w:tl2br w:val="nil"/>
                    <w:tr2bl w:val="nil"/>
                  </w:tcBorders>
                  <w:vAlign w:val="center"/>
                </w:tcPr>
                <w:p>
                  <w:pPr>
                    <w:widowControl/>
                    <w:jc w:val="center"/>
                    <w:rPr>
                      <w:color w:val="auto"/>
                      <w:szCs w:val="21"/>
                    </w:rPr>
                  </w:pPr>
                  <w:r>
                    <w:rPr>
                      <w:rFonts w:hint="eastAsia"/>
                      <w:color w:val="auto"/>
                      <w:szCs w:val="21"/>
                    </w:rPr>
                    <w:t>面积m</w:t>
                  </w:r>
                  <w:r>
                    <w:rPr>
                      <w:rFonts w:hint="eastAsia"/>
                      <w:color w:val="auto"/>
                      <w:szCs w:val="21"/>
                      <w:vertAlign w:val="superscript"/>
                    </w:rPr>
                    <w:t>2</w:t>
                  </w:r>
                </w:p>
              </w:tc>
              <w:tc>
                <w:tcPr>
                  <w:tcW w:w="1331" w:type="dxa"/>
                  <w:tcBorders>
                    <w:tl2br w:val="nil"/>
                    <w:tr2bl w:val="nil"/>
                  </w:tcBorders>
                  <w:vAlign w:val="center"/>
                </w:tcPr>
                <w:p>
                  <w:pPr>
                    <w:widowControl/>
                    <w:jc w:val="center"/>
                    <w:rPr>
                      <w:color w:val="auto"/>
                      <w:szCs w:val="21"/>
                    </w:rPr>
                  </w:pPr>
                  <w:r>
                    <w:rPr>
                      <w:rFonts w:hint="eastAsia"/>
                      <w:color w:val="auto"/>
                      <w:szCs w:val="21"/>
                    </w:rPr>
                    <w:t>排放因子</w:t>
                  </w:r>
                </w:p>
              </w:tc>
              <w:tc>
                <w:tcPr>
                  <w:tcW w:w="1157" w:type="dxa"/>
                  <w:tcBorders>
                    <w:tl2br w:val="nil"/>
                    <w:tr2bl w:val="nil"/>
                  </w:tcBorders>
                  <w:vAlign w:val="center"/>
                </w:tcPr>
                <w:p>
                  <w:pPr>
                    <w:widowControl/>
                    <w:jc w:val="center"/>
                    <w:rPr>
                      <w:color w:val="auto"/>
                      <w:szCs w:val="21"/>
                    </w:rPr>
                  </w:pPr>
                  <w:r>
                    <w:rPr>
                      <w:rFonts w:hint="eastAsia"/>
                      <w:color w:val="auto"/>
                      <w:szCs w:val="21"/>
                    </w:rPr>
                    <w:t>排放速率（kg/h）</w:t>
                  </w:r>
                </w:p>
              </w:tc>
              <w:tc>
                <w:tcPr>
                  <w:tcW w:w="1553" w:type="dxa"/>
                  <w:tcBorders>
                    <w:tl2br w:val="nil"/>
                    <w:tr2bl w:val="nil"/>
                  </w:tcBorders>
                  <w:vAlign w:val="center"/>
                </w:tcPr>
                <w:p>
                  <w:pPr>
                    <w:widowControl/>
                    <w:jc w:val="center"/>
                    <w:rPr>
                      <w:color w:val="auto"/>
                      <w:szCs w:val="21"/>
                    </w:rPr>
                  </w:pPr>
                  <w:r>
                    <w:rPr>
                      <w:rFonts w:hint="eastAsia"/>
                      <w:color w:val="auto"/>
                      <w:szCs w:val="21"/>
                    </w:rPr>
                    <w:t>计算卫生防护距离（m）</w:t>
                  </w:r>
                </w:p>
              </w:tc>
              <w:tc>
                <w:tcPr>
                  <w:tcW w:w="1988" w:type="dxa"/>
                  <w:tcBorders>
                    <w:tl2br w:val="nil"/>
                    <w:tr2bl w:val="nil"/>
                  </w:tcBorders>
                  <w:vAlign w:val="center"/>
                </w:tcPr>
                <w:p>
                  <w:pPr>
                    <w:widowControl/>
                    <w:jc w:val="center"/>
                    <w:rPr>
                      <w:color w:val="auto"/>
                      <w:szCs w:val="21"/>
                    </w:rPr>
                  </w:pPr>
                  <w:r>
                    <w:rPr>
                      <w:rFonts w:hint="eastAsia"/>
                      <w:color w:val="auto"/>
                      <w:szCs w:val="21"/>
                    </w:rPr>
                    <w:t>取整卫生防护距离（m）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1490" w:type="dxa"/>
                  <w:tcBorders>
                    <w:tl2br w:val="nil"/>
                    <w:tr2bl w:val="nil"/>
                  </w:tcBorders>
                  <w:vAlign w:val="center"/>
                </w:tcPr>
                <w:p>
                  <w:pPr>
                    <w:widowControl/>
                    <w:jc w:val="center"/>
                    <w:rPr>
                      <w:color w:val="auto"/>
                      <w:szCs w:val="21"/>
                    </w:rPr>
                  </w:pPr>
                  <w:r>
                    <w:rPr>
                      <w:rFonts w:hint="eastAsia"/>
                      <w:color w:val="auto"/>
                      <w:szCs w:val="21"/>
                    </w:rPr>
                    <w:t>生产厂房</w:t>
                  </w:r>
                </w:p>
              </w:tc>
              <w:tc>
                <w:tcPr>
                  <w:tcW w:w="985" w:type="dxa"/>
                  <w:tcBorders>
                    <w:tl2br w:val="nil"/>
                    <w:tr2bl w:val="nil"/>
                  </w:tcBorders>
                  <w:vAlign w:val="center"/>
                </w:tcPr>
                <w:p>
                  <w:pPr>
                    <w:widowControl/>
                    <w:jc w:val="center"/>
                    <w:rPr>
                      <w:color w:val="auto"/>
                      <w:szCs w:val="21"/>
                    </w:rPr>
                  </w:pPr>
                  <w:r>
                    <w:rPr>
                      <w:rFonts w:hint="eastAsia"/>
                      <w:color w:val="auto"/>
                      <w:szCs w:val="21"/>
                    </w:rPr>
                    <w:t>2500</w:t>
                  </w:r>
                </w:p>
              </w:tc>
              <w:tc>
                <w:tcPr>
                  <w:tcW w:w="1331" w:type="dxa"/>
                  <w:tcBorders>
                    <w:tl2br w:val="nil"/>
                    <w:tr2bl w:val="nil"/>
                  </w:tcBorders>
                  <w:vAlign w:val="center"/>
                </w:tcPr>
                <w:p>
                  <w:pPr>
                    <w:widowControl/>
                    <w:jc w:val="center"/>
                    <w:rPr>
                      <w:color w:val="auto"/>
                      <w:szCs w:val="21"/>
                    </w:rPr>
                  </w:pPr>
                  <w:r>
                    <w:rPr>
                      <w:rFonts w:hint="eastAsia"/>
                      <w:color w:val="auto"/>
                      <w:szCs w:val="21"/>
                    </w:rPr>
                    <w:t>非甲烷</w:t>
                  </w:r>
                </w:p>
                <w:p>
                  <w:pPr>
                    <w:widowControl/>
                    <w:jc w:val="center"/>
                    <w:rPr>
                      <w:color w:val="auto"/>
                      <w:szCs w:val="21"/>
                    </w:rPr>
                  </w:pPr>
                  <w:r>
                    <w:rPr>
                      <w:rFonts w:hint="eastAsia"/>
                      <w:color w:val="auto"/>
                      <w:szCs w:val="21"/>
                    </w:rPr>
                    <w:t>总烃</w:t>
                  </w:r>
                </w:p>
              </w:tc>
              <w:tc>
                <w:tcPr>
                  <w:tcW w:w="1157" w:type="dxa"/>
                  <w:tcBorders>
                    <w:tl2br w:val="nil"/>
                    <w:tr2bl w:val="nil"/>
                  </w:tcBorders>
                  <w:vAlign w:val="center"/>
                </w:tcPr>
                <w:p>
                  <w:pPr>
                    <w:widowControl/>
                    <w:jc w:val="center"/>
                    <w:rPr>
                      <w:color w:val="auto"/>
                      <w:szCs w:val="21"/>
                    </w:rPr>
                  </w:pPr>
                  <w:r>
                    <w:rPr>
                      <w:color w:val="auto"/>
                      <w:szCs w:val="21"/>
                    </w:rPr>
                    <w:t>0.2488</w:t>
                  </w:r>
                </w:p>
              </w:tc>
              <w:tc>
                <w:tcPr>
                  <w:tcW w:w="1553" w:type="dxa"/>
                  <w:tcBorders>
                    <w:tl2br w:val="nil"/>
                    <w:tr2bl w:val="nil"/>
                  </w:tcBorders>
                  <w:vAlign w:val="center"/>
                </w:tcPr>
                <w:p>
                  <w:pPr>
                    <w:widowControl/>
                    <w:jc w:val="center"/>
                    <w:rPr>
                      <w:color w:val="auto"/>
                      <w:szCs w:val="21"/>
                    </w:rPr>
                  </w:pPr>
                  <w:r>
                    <w:rPr>
                      <w:rFonts w:hint="eastAsia"/>
                      <w:color w:val="auto"/>
                      <w:szCs w:val="21"/>
                    </w:rPr>
                    <w:t>5.43</w:t>
                  </w:r>
                </w:p>
              </w:tc>
              <w:tc>
                <w:tcPr>
                  <w:tcW w:w="1988" w:type="dxa"/>
                  <w:tcBorders>
                    <w:tl2br w:val="nil"/>
                    <w:tr2bl w:val="nil"/>
                  </w:tcBorders>
                  <w:vAlign w:val="center"/>
                </w:tcPr>
                <w:p>
                  <w:pPr>
                    <w:widowControl/>
                    <w:jc w:val="center"/>
                    <w:rPr>
                      <w:color w:val="auto"/>
                      <w:szCs w:val="21"/>
                    </w:rPr>
                  </w:pPr>
                  <w:r>
                    <w:rPr>
                      <w:rFonts w:hint="eastAsia"/>
                      <w:color w:val="auto"/>
                      <w:szCs w:val="21"/>
                    </w:rPr>
                    <w:t>50</w:t>
                  </w:r>
                </w:p>
              </w:tc>
            </w:tr>
          </w:tbl>
          <w:p>
            <w:pPr>
              <w:pStyle w:val="17"/>
              <w:spacing w:before="42" w:line="360" w:lineRule="auto"/>
              <w:ind w:left="108" w:firstLine="480" w:firstLineChars="200"/>
              <w:rPr>
                <w:color w:val="auto"/>
                <w:sz w:val="24"/>
              </w:rPr>
            </w:pPr>
            <w:r>
              <w:rPr>
                <w:rFonts w:hint="eastAsia"/>
                <w:color w:val="auto"/>
                <w:sz w:val="24"/>
              </w:rPr>
              <w:t>根据计算结果，扩建项目卫生防护距离为生产车间外50m的包络范围。经现场调查，距离扩建项目厂房最近的敏感目标为东南侧230m的华刘村，但不在卫生防护距离里内，对其影响小。目前防护距离内也没其他居民区、学校、医院、行政办公和科研等敏感目标，在以后的发展中，环境防护距离内不得新建居住区、医院、学校、食品加工等大气敏感目标。</w:t>
            </w:r>
            <w:r>
              <w:rPr>
                <w:color w:val="auto"/>
                <w:sz w:val="24"/>
              </w:rPr>
              <w:t>卫生防护距离见</w:t>
            </w:r>
            <w:r>
              <w:rPr>
                <w:rFonts w:hint="eastAsia"/>
                <w:color w:val="auto"/>
                <w:sz w:val="24"/>
              </w:rPr>
              <w:t>附图9</w:t>
            </w:r>
            <w:r>
              <w:rPr>
                <w:color w:val="auto"/>
                <w:sz w:val="24"/>
              </w:rPr>
              <w:t>。</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hint="eastAsia" w:eastAsia="宋体" w:cs="Times New Roman"/>
                <w:b/>
                <w:bCs w:val="0"/>
                <w:color w:val="auto"/>
                <w:sz w:val="30"/>
                <w:szCs w:val="30"/>
                <w:lang w:val="en-GB"/>
              </w:rPr>
              <w:t>.</w:t>
            </w:r>
            <w:r>
              <w:rPr>
                <w:rFonts w:hint="eastAsia" w:eastAsia="宋体" w:cs="Times New Roman"/>
                <w:b/>
                <w:bCs w:val="0"/>
                <w:color w:val="auto"/>
                <w:sz w:val="30"/>
                <w:szCs w:val="30"/>
              </w:rPr>
              <w:t>2</w:t>
            </w:r>
            <w:r>
              <w:rPr>
                <w:rFonts w:hint="eastAsia" w:eastAsia="宋体" w:cs="Times New Roman"/>
                <w:b/>
                <w:bCs w:val="0"/>
                <w:color w:val="auto"/>
                <w:sz w:val="30"/>
                <w:szCs w:val="30"/>
                <w:lang w:val="en-GB"/>
              </w:rPr>
              <w:t>运营期水环境影响分析及保护措施</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2</w:t>
            </w:r>
            <w:r>
              <w:rPr>
                <w:rFonts w:eastAsia="宋体" w:cs="Times New Roman"/>
                <w:b/>
                <w:bCs w:val="0"/>
                <w:color w:val="auto"/>
                <w:sz w:val="30"/>
                <w:szCs w:val="30"/>
                <w:lang w:val="en-GB"/>
              </w:rPr>
              <w:t>.1</w:t>
            </w:r>
            <w:r>
              <w:rPr>
                <w:rFonts w:hint="eastAsia" w:eastAsia="宋体" w:cs="Times New Roman"/>
                <w:b/>
                <w:bCs w:val="0"/>
                <w:color w:val="auto"/>
                <w:sz w:val="30"/>
                <w:szCs w:val="30"/>
                <w:lang w:val="en-GB"/>
              </w:rPr>
              <w:t>运营期废水</w:t>
            </w:r>
            <w:r>
              <w:rPr>
                <w:rFonts w:eastAsia="宋体" w:cs="Times New Roman"/>
                <w:b/>
                <w:bCs w:val="0"/>
                <w:color w:val="auto"/>
                <w:sz w:val="30"/>
                <w:szCs w:val="30"/>
                <w:lang w:val="en-GB"/>
              </w:rPr>
              <w:t>污染物</w:t>
            </w:r>
            <w:r>
              <w:rPr>
                <w:rFonts w:hint="eastAsia" w:eastAsia="宋体" w:cs="Times New Roman"/>
                <w:b/>
                <w:bCs w:val="0"/>
                <w:color w:val="auto"/>
                <w:sz w:val="30"/>
                <w:szCs w:val="30"/>
                <w:lang w:val="en-GB"/>
              </w:rPr>
              <w:t>源强核算</w:t>
            </w:r>
          </w:p>
          <w:p>
            <w:pPr>
              <w:pStyle w:val="13"/>
              <w:spacing w:line="360" w:lineRule="auto"/>
              <w:ind w:firstLine="480" w:firstLineChars="200"/>
              <w:rPr>
                <w:rFonts w:eastAsia="宋体"/>
                <w:bCs/>
                <w:color w:val="auto"/>
                <w:kern w:val="0"/>
                <w:sz w:val="24"/>
                <w:szCs w:val="24"/>
              </w:rPr>
            </w:pPr>
            <w:r>
              <w:rPr>
                <w:rFonts w:eastAsia="宋体"/>
                <w:bCs/>
                <w:color w:val="auto"/>
                <w:kern w:val="0"/>
                <w:sz w:val="24"/>
                <w:szCs w:val="24"/>
              </w:rPr>
              <w:t>扩建项目运营期废水主要为</w:t>
            </w:r>
            <w:r>
              <w:rPr>
                <w:rFonts w:hint="eastAsia" w:eastAsia="宋体"/>
                <w:bCs/>
                <w:color w:val="auto"/>
                <w:kern w:val="0"/>
                <w:sz w:val="24"/>
                <w:szCs w:val="24"/>
              </w:rPr>
              <w:t>喷淋废水</w:t>
            </w:r>
            <w:r>
              <w:rPr>
                <w:rFonts w:hint="eastAsia" w:eastAsia="宋体"/>
                <w:bCs/>
                <w:color w:val="auto"/>
                <w:kern w:val="0"/>
                <w:sz w:val="24"/>
                <w:szCs w:val="24"/>
                <w:lang w:val="en-US" w:eastAsia="zh-CN"/>
              </w:rPr>
              <w:t>和职工产生的生活污水。</w:t>
            </w:r>
            <w:r>
              <w:rPr>
                <w:rFonts w:hint="eastAsia" w:eastAsia="宋体"/>
                <w:bCs/>
                <w:color w:val="auto"/>
                <w:kern w:val="0"/>
                <w:sz w:val="24"/>
                <w:szCs w:val="24"/>
              </w:rPr>
              <w:t>喷淋废水循环使用，定期更换喷淋废液（作为危废委托有资质单位处置）</w:t>
            </w:r>
            <w:r>
              <w:rPr>
                <w:rFonts w:hint="eastAsia" w:eastAsia="宋体"/>
                <w:bCs/>
                <w:color w:val="auto"/>
                <w:kern w:val="0"/>
                <w:sz w:val="24"/>
                <w:szCs w:val="24"/>
                <w:lang w:eastAsia="zh-CN"/>
              </w:rPr>
              <w:t>，</w:t>
            </w:r>
            <w:r>
              <w:rPr>
                <w:rFonts w:hint="eastAsia" w:eastAsia="宋体"/>
                <w:bCs/>
                <w:color w:val="auto"/>
                <w:kern w:val="0"/>
                <w:sz w:val="24"/>
                <w:szCs w:val="24"/>
                <w:lang w:val="en-US" w:eastAsia="zh-CN"/>
              </w:rPr>
              <w:t>不外排；运营期外排废水主要为</w:t>
            </w:r>
            <w:r>
              <w:rPr>
                <w:rFonts w:eastAsia="宋体"/>
                <w:bCs/>
                <w:color w:val="auto"/>
                <w:kern w:val="0"/>
                <w:sz w:val="24"/>
                <w:szCs w:val="24"/>
              </w:rPr>
              <w:t>职工产生的生活污水。</w:t>
            </w:r>
          </w:p>
          <w:p>
            <w:pPr>
              <w:pStyle w:val="91"/>
              <w:rPr>
                <w:color w:val="auto"/>
                <w:szCs w:val="24"/>
              </w:rPr>
            </w:pPr>
            <w:r>
              <w:rPr>
                <w:bCs/>
                <w:color w:val="auto"/>
                <w:szCs w:val="24"/>
              </w:rPr>
              <w:t>扩建项目职工人数为</w:t>
            </w:r>
            <w:r>
              <w:rPr>
                <w:rFonts w:hint="eastAsia"/>
                <w:bCs/>
                <w:color w:val="auto"/>
                <w:szCs w:val="24"/>
              </w:rPr>
              <w:t>6</w:t>
            </w:r>
            <w:r>
              <w:rPr>
                <w:bCs/>
                <w:color w:val="auto"/>
                <w:szCs w:val="24"/>
              </w:rPr>
              <w:t>0人，全部住厂</w:t>
            </w:r>
            <w:r>
              <w:rPr>
                <w:rFonts w:hint="eastAsia"/>
                <w:color w:val="auto"/>
              </w:rPr>
              <w:t>（依托</w:t>
            </w:r>
            <w:r>
              <w:rPr>
                <w:bCs/>
                <w:color w:val="auto"/>
              </w:rPr>
              <w:t>福州市长乐区力驰针纺有限公司</w:t>
            </w:r>
            <w:r>
              <w:rPr>
                <w:rFonts w:hint="eastAsia"/>
                <w:bCs/>
                <w:color w:val="auto"/>
              </w:rPr>
              <w:t>的宿舍楼，</w:t>
            </w:r>
            <w:r>
              <w:rPr>
                <w:rFonts w:hint="eastAsia"/>
                <w:color w:val="auto"/>
              </w:rPr>
              <w:t>不设食堂）</w:t>
            </w:r>
            <w:r>
              <w:rPr>
                <w:bCs/>
                <w:color w:val="auto"/>
                <w:szCs w:val="24"/>
              </w:rPr>
              <w:t>。</w:t>
            </w:r>
            <w:r>
              <w:rPr>
                <w:color w:val="auto"/>
                <w:szCs w:val="24"/>
              </w:rPr>
              <w:t>参考《福建省 行业用水定额》（DB35/T772-2023），员工住厂生活用水量按150L/d·人计，则生活用水量为</w:t>
            </w:r>
            <w:r>
              <w:rPr>
                <w:rFonts w:hint="eastAsia"/>
                <w:color w:val="auto"/>
                <w:szCs w:val="24"/>
              </w:rPr>
              <w:t>9</w:t>
            </w:r>
            <w:r>
              <w:rPr>
                <w:color w:val="auto"/>
                <w:szCs w:val="24"/>
              </w:rPr>
              <w:t>t/d，</w:t>
            </w:r>
            <w:r>
              <w:rPr>
                <w:rFonts w:hint="eastAsia"/>
                <w:color w:val="auto"/>
                <w:szCs w:val="24"/>
              </w:rPr>
              <w:t>27</w:t>
            </w:r>
            <w:r>
              <w:rPr>
                <w:color w:val="auto"/>
                <w:szCs w:val="24"/>
              </w:rPr>
              <w:t>00t/a（按年工作日300天计）；生活污水产生量按用水量的80%计，则生活污水产生量为</w:t>
            </w:r>
            <w:r>
              <w:rPr>
                <w:rFonts w:hint="eastAsia"/>
                <w:color w:val="auto"/>
                <w:szCs w:val="24"/>
              </w:rPr>
              <w:t>7.2</w:t>
            </w:r>
            <w:r>
              <w:rPr>
                <w:color w:val="auto"/>
                <w:szCs w:val="24"/>
              </w:rPr>
              <w:t>t/d，</w:t>
            </w:r>
            <w:r>
              <w:rPr>
                <w:rFonts w:hint="eastAsia"/>
                <w:color w:val="auto"/>
                <w:szCs w:val="24"/>
              </w:rPr>
              <w:t>216</w:t>
            </w:r>
            <w:r>
              <w:rPr>
                <w:color w:val="auto"/>
                <w:szCs w:val="24"/>
              </w:rPr>
              <w:t>0t/a，经化粪池处理后接入市政污水管网，</w:t>
            </w:r>
            <w:r>
              <w:rPr>
                <w:rFonts w:hint="eastAsia"/>
                <w:color w:val="auto"/>
                <w:szCs w:val="24"/>
              </w:rPr>
              <w:t>纳入</w:t>
            </w:r>
            <w:r>
              <w:rPr>
                <w:color w:val="auto"/>
                <w:szCs w:val="24"/>
              </w:rPr>
              <w:t>长乐区</w:t>
            </w:r>
            <w:r>
              <w:rPr>
                <w:rFonts w:hint="eastAsia"/>
                <w:color w:val="auto"/>
                <w:lang w:val="en-US" w:eastAsia="zh-CN"/>
              </w:rPr>
              <w:t>滨海</w:t>
            </w:r>
            <w:r>
              <w:rPr>
                <w:color w:val="auto"/>
                <w:szCs w:val="24"/>
              </w:rPr>
              <w:t>污水处理厂处理。</w:t>
            </w:r>
          </w:p>
          <w:p>
            <w:pPr>
              <w:pStyle w:val="13"/>
              <w:spacing w:line="360" w:lineRule="auto"/>
              <w:ind w:firstLine="480" w:firstLineChars="200"/>
              <w:rPr>
                <w:rFonts w:eastAsia="宋体"/>
                <w:bCs/>
                <w:color w:val="auto"/>
                <w:kern w:val="0"/>
                <w:sz w:val="24"/>
                <w:szCs w:val="24"/>
              </w:rPr>
            </w:pPr>
            <w:r>
              <w:rPr>
                <w:rFonts w:eastAsia="宋体"/>
                <w:bCs/>
                <w:color w:val="auto"/>
                <w:kern w:val="0"/>
                <w:sz w:val="24"/>
                <w:szCs w:val="24"/>
              </w:rPr>
              <w:t>生活污水的主要污染物为CODcr、BOD</w:t>
            </w:r>
            <w:r>
              <w:rPr>
                <w:rFonts w:eastAsia="宋体"/>
                <w:bCs/>
                <w:color w:val="auto"/>
                <w:kern w:val="0"/>
                <w:sz w:val="24"/>
                <w:szCs w:val="24"/>
                <w:vertAlign w:val="subscript"/>
              </w:rPr>
              <w:t>5</w:t>
            </w:r>
            <w:r>
              <w:rPr>
                <w:rFonts w:eastAsia="宋体"/>
                <w:bCs/>
                <w:color w:val="auto"/>
                <w:kern w:val="0"/>
                <w:sz w:val="24"/>
                <w:szCs w:val="24"/>
              </w:rPr>
              <w:t>、NH</w:t>
            </w:r>
            <w:r>
              <w:rPr>
                <w:rFonts w:eastAsia="宋体"/>
                <w:bCs/>
                <w:color w:val="auto"/>
                <w:kern w:val="0"/>
                <w:sz w:val="24"/>
                <w:szCs w:val="24"/>
                <w:vertAlign w:val="subscript"/>
              </w:rPr>
              <w:t>3</w:t>
            </w:r>
            <w:r>
              <w:rPr>
                <w:rFonts w:eastAsia="宋体"/>
                <w:bCs/>
                <w:color w:val="auto"/>
                <w:kern w:val="0"/>
                <w:sz w:val="24"/>
                <w:szCs w:val="24"/>
              </w:rPr>
              <w:t>-N、SS等，参考《给排水设计手册》（第五册城镇排水）典型的生活污水水质，主要污染物浓度选取：CODcr：400mg/L、BOD</w:t>
            </w:r>
            <w:r>
              <w:rPr>
                <w:rFonts w:eastAsia="宋体"/>
                <w:bCs/>
                <w:color w:val="auto"/>
                <w:kern w:val="0"/>
                <w:sz w:val="24"/>
                <w:szCs w:val="24"/>
                <w:vertAlign w:val="subscript"/>
              </w:rPr>
              <w:t>5</w:t>
            </w:r>
            <w:r>
              <w:rPr>
                <w:rFonts w:eastAsia="宋体"/>
                <w:bCs/>
                <w:color w:val="auto"/>
                <w:kern w:val="0"/>
                <w:sz w:val="24"/>
                <w:szCs w:val="24"/>
              </w:rPr>
              <w:t>：250mg/L、NH</w:t>
            </w:r>
            <w:r>
              <w:rPr>
                <w:rFonts w:eastAsia="宋体"/>
                <w:bCs/>
                <w:color w:val="auto"/>
                <w:kern w:val="0"/>
                <w:sz w:val="24"/>
                <w:szCs w:val="24"/>
                <w:vertAlign w:val="subscript"/>
              </w:rPr>
              <w:t>3</w:t>
            </w:r>
            <w:r>
              <w:rPr>
                <w:rFonts w:eastAsia="宋体"/>
                <w:bCs/>
                <w:color w:val="auto"/>
                <w:kern w:val="0"/>
                <w:sz w:val="24"/>
                <w:szCs w:val="24"/>
              </w:rPr>
              <w:t>-N：35mg/L，SS：220mg/L，参照《建设项目环境影响审批登记表》填表说明中推荐的参数，</w:t>
            </w:r>
            <w:r>
              <w:rPr>
                <w:rFonts w:hint="eastAsia" w:eastAsia="宋体"/>
                <w:bCs/>
                <w:color w:val="auto"/>
                <w:kern w:val="0"/>
                <w:sz w:val="24"/>
                <w:szCs w:val="24"/>
              </w:rPr>
              <w:t>三级</w:t>
            </w:r>
            <w:r>
              <w:rPr>
                <w:rFonts w:eastAsia="宋体"/>
                <w:bCs/>
                <w:color w:val="auto"/>
                <w:kern w:val="0"/>
                <w:sz w:val="24"/>
                <w:szCs w:val="24"/>
              </w:rPr>
              <w:t>化粪池对COD、NH</w:t>
            </w:r>
            <w:r>
              <w:rPr>
                <w:rFonts w:eastAsia="宋体"/>
                <w:bCs/>
                <w:color w:val="auto"/>
                <w:kern w:val="0"/>
                <w:sz w:val="24"/>
                <w:szCs w:val="24"/>
                <w:vertAlign w:val="subscript"/>
              </w:rPr>
              <w:t>3</w:t>
            </w:r>
            <w:r>
              <w:rPr>
                <w:rFonts w:eastAsia="宋体"/>
                <w:bCs/>
                <w:color w:val="auto"/>
                <w:kern w:val="0"/>
                <w:sz w:val="24"/>
                <w:szCs w:val="24"/>
              </w:rPr>
              <w:t>-N去除率分别为15%，3%；参照《武汉市任宅小区化粪池污染物去除效果调查与分析》，</w:t>
            </w:r>
            <w:r>
              <w:rPr>
                <w:rFonts w:hint="eastAsia" w:eastAsia="宋体"/>
                <w:bCs/>
                <w:color w:val="auto"/>
                <w:kern w:val="0"/>
                <w:sz w:val="24"/>
                <w:szCs w:val="24"/>
              </w:rPr>
              <w:t>三级</w:t>
            </w:r>
            <w:r>
              <w:rPr>
                <w:rFonts w:eastAsia="宋体"/>
                <w:bCs/>
                <w:color w:val="auto"/>
                <w:kern w:val="0"/>
                <w:sz w:val="24"/>
                <w:szCs w:val="24"/>
              </w:rPr>
              <w:t>化粪池</w:t>
            </w:r>
            <w:r>
              <w:rPr>
                <w:rFonts w:hint="eastAsia" w:eastAsia="宋体"/>
                <w:bCs/>
                <w:color w:val="auto"/>
                <w:kern w:val="0"/>
                <w:sz w:val="24"/>
                <w:szCs w:val="24"/>
              </w:rPr>
              <w:t>对</w:t>
            </w:r>
            <w:r>
              <w:rPr>
                <w:rFonts w:eastAsia="宋体"/>
                <w:bCs/>
                <w:color w:val="auto"/>
                <w:kern w:val="0"/>
                <w:sz w:val="24"/>
                <w:szCs w:val="24"/>
              </w:rPr>
              <w:t>BOD</w:t>
            </w:r>
            <w:r>
              <w:rPr>
                <w:rFonts w:eastAsia="宋体"/>
                <w:bCs/>
                <w:color w:val="auto"/>
                <w:kern w:val="0"/>
                <w:sz w:val="24"/>
                <w:szCs w:val="24"/>
                <w:vertAlign w:val="subscript"/>
              </w:rPr>
              <w:t>5</w:t>
            </w:r>
            <w:r>
              <w:rPr>
                <w:rFonts w:eastAsia="宋体"/>
                <w:bCs/>
                <w:color w:val="auto"/>
                <w:kern w:val="0"/>
                <w:sz w:val="24"/>
                <w:szCs w:val="24"/>
              </w:rPr>
              <w:t>、SS的去除率分别为11%、47%；则经</w:t>
            </w:r>
            <w:r>
              <w:rPr>
                <w:rFonts w:hint="eastAsia" w:eastAsia="宋体"/>
                <w:bCs/>
                <w:color w:val="auto"/>
                <w:kern w:val="0"/>
                <w:sz w:val="24"/>
                <w:szCs w:val="24"/>
              </w:rPr>
              <w:t>三级</w:t>
            </w:r>
            <w:r>
              <w:rPr>
                <w:rFonts w:eastAsia="宋体"/>
                <w:bCs/>
                <w:color w:val="auto"/>
                <w:kern w:val="0"/>
                <w:sz w:val="24"/>
                <w:szCs w:val="24"/>
              </w:rPr>
              <w:t>化粪池处理后污染物排放浓度分别为CODcr：340mg/L，BOD</w:t>
            </w:r>
            <w:r>
              <w:rPr>
                <w:rFonts w:eastAsia="宋体"/>
                <w:bCs/>
                <w:color w:val="auto"/>
                <w:kern w:val="0"/>
                <w:sz w:val="24"/>
                <w:szCs w:val="24"/>
                <w:vertAlign w:val="subscript"/>
              </w:rPr>
              <w:t>5</w:t>
            </w:r>
            <w:r>
              <w:rPr>
                <w:rFonts w:eastAsia="宋体"/>
                <w:bCs/>
                <w:color w:val="auto"/>
                <w:kern w:val="0"/>
                <w:sz w:val="24"/>
                <w:szCs w:val="24"/>
              </w:rPr>
              <w:t>：223mg/L，SS：117mg/L，NH</w:t>
            </w:r>
            <w:r>
              <w:rPr>
                <w:rFonts w:eastAsia="宋体"/>
                <w:bCs/>
                <w:color w:val="auto"/>
                <w:kern w:val="0"/>
                <w:sz w:val="24"/>
                <w:szCs w:val="24"/>
                <w:vertAlign w:val="subscript"/>
              </w:rPr>
              <w:t>3</w:t>
            </w:r>
            <w:r>
              <w:rPr>
                <w:rFonts w:eastAsia="宋体"/>
                <w:bCs/>
                <w:color w:val="auto"/>
                <w:kern w:val="0"/>
                <w:sz w:val="24"/>
                <w:szCs w:val="24"/>
              </w:rPr>
              <w:t>-N：34mg/L。</w:t>
            </w:r>
          </w:p>
          <w:p>
            <w:pPr>
              <w:pStyle w:val="24"/>
              <w:ind w:left="0" w:leftChars="0" w:firstLine="480"/>
              <w:rPr>
                <w:bCs/>
                <w:color w:val="auto"/>
                <w:szCs w:val="24"/>
              </w:rPr>
            </w:pPr>
            <w:r>
              <w:rPr>
                <w:bCs/>
                <w:color w:val="auto"/>
                <w:szCs w:val="24"/>
              </w:rPr>
              <w:t>生活污水处理设施进出口水质见</w:t>
            </w:r>
            <w:r>
              <w:rPr>
                <w:b/>
                <w:color w:val="auto"/>
                <w:szCs w:val="24"/>
              </w:rPr>
              <w:t>表4.2-1</w:t>
            </w:r>
            <w:r>
              <w:rPr>
                <w:bCs/>
                <w:color w:val="auto"/>
                <w:szCs w:val="24"/>
              </w:rPr>
              <w:t>。</w:t>
            </w:r>
          </w:p>
          <w:p>
            <w:pPr>
              <w:adjustRightInd w:val="0"/>
              <w:snapToGrid w:val="0"/>
              <w:jc w:val="center"/>
              <w:rPr>
                <w:b/>
                <w:bCs/>
                <w:color w:val="auto"/>
                <w:sz w:val="24"/>
              </w:rPr>
            </w:pPr>
            <w:r>
              <w:rPr>
                <w:b/>
                <w:bCs/>
                <w:color w:val="auto"/>
                <w:sz w:val="24"/>
              </w:rPr>
              <w:t>表</w:t>
            </w:r>
            <w:r>
              <w:rPr>
                <w:rFonts w:hint="eastAsia"/>
                <w:b/>
                <w:bCs/>
                <w:color w:val="auto"/>
                <w:sz w:val="24"/>
              </w:rPr>
              <w:t>4.2-1</w:t>
            </w:r>
            <w:r>
              <w:rPr>
                <w:b/>
                <w:bCs/>
                <w:color w:val="auto"/>
                <w:sz w:val="24"/>
              </w:rPr>
              <w:t xml:space="preserve">  生活污水处理设施进出水水质一览表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2"/>
              <w:gridCol w:w="1287"/>
              <w:gridCol w:w="1293"/>
              <w:gridCol w:w="1295"/>
              <w:gridCol w:w="1295"/>
              <w:gridCol w:w="13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2" w:type="dxa"/>
                  <w:vAlign w:val="center"/>
                </w:tcPr>
                <w:p>
                  <w:pPr>
                    <w:adjustRightInd w:val="0"/>
                    <w:snapToGrid w:val="0"/>
                    <w:jc w:val="center"/>
                    <w:rPr>
                      <w:color w:val="auto"/>
                      <w:szCs w:val="21"/>
                    </w:rPr>
                  </w:pPr>
                  <w:r>
                    <w:rPr>
                      <w:color w:val="auto"/>
                      <w:szCs w:val="21"/>
                    </w:rPr>
                    <w:t>污染物</w:t>
                  </w:r>
                </w:p>
              </w:tc>
              <w:tc>
                <w:tcPr>
                  <w:tcW w:w="1287" w:type="dxa"/>
                  <w:vAlign w:val="center"/>
                </w:tcPr>
                <w:p>
                  <w:pPr>
                    <w:adjustRightInd w:val="0"/>
                    <w:snapToGrid w:val="0"/>
                    <w:jc w:val="center"/>
                    <w:rPr>
                      <w:color w:val="auto"/>
                      <w:szCs w:val="21"/>
                    </w:rPr>
                  </w:pPr>
                  <w:r>
                    <w:rPr>
                      <w:color w:val="auto"/>
                      <w:szCs w:val="21"/>
                    </w:rPr>
                    <w:t>废水量</w:t>
                  </w:r>
                </w:p>
              </w:tc>
              <w:tc>
                <w:tcPr>
                  <w:tcW w:w="1293" w:type="dxa"/>
                  <w:vAlign w:val="center"/>
                </w:tcPr>
                <w:p>
                  <w:pPr>
                    <w:adjustRightInd w:val="0"/>
                    <w:snapToGrid w:val="0"/>
                    <w:jc w:val="center"/>
                    <w:rPr>
                      <w:color w:val="auto"/>
                      <w:szCs w:val="21"/>
                    </w:rPr>
                  </w:pPr>
                  <w:r>
                    <w:rPr>
                      <w:color w:val="auto"/>
                      <w:szCs w:val="21"/>
                    </w:rPr>
                    <w:t>COD</w:t>
                  </w:r>
                  <w:r>
                    <w:rPr>
                      <w:rFonts w:hint="eastAsia"/>
                      <w:color w:val="auto"/>
                      <w:szCs w:val="21"/>
                    </w:rPr>
                    <w:t>cr</w:t>
                  </w:r>
                </w:p>
              </w:tc>
              <w:tc>
                <w:tcPr>
                  <w:tcW w:w="1295" w:type="dxa"/>
                  <w:vAlign w:val="center"/>
                </w:tcPr>
                <w:p>
                  <w:pPr>
                    <w:adjustRightInd w:val="0"/>
                    <w:snapToGrid w:val="0"/>
                    <w:jc w:val="center"/>
                    <w:rPr>
                      <w:color w:val="auto"/>
                      <w:szCs w:val="21"/>
                    </w:rPr>
                  </w:pPr>
                  <w:r>
                    <w:rPr>
                      <w:color w:val="auto"/>
                      <w:szCs w:val="21"/>
                    </w:rPr>
                    <w:t>BOD</w:t>
                  </w:r>
                  <w:r>
                    <w:rPr>
                      <w:color w:val="auto"/>
                      <w:szCs w:val="21"/>
                      <w:vertAlign w:val="subscript"/>
                    </w:rPr>
                    <w:t>5</w:t>
                  </w:r>
                </w:p>
              </w:tc>
              <w:tc>
                <w:tcPr>
                  <w:tcW w:w="1295" w:type="dxa"/>
                  <w:vAlign w:val="center"/>
                </w:tcPr>
                <w:p>
                  <w:pPr>
                    <w:adjustRightInd w:val="0"/>
                    <w:snapToGrid w:val="0"/>
                    <w:jc w:val="center"/>
                    <w:rPr>
                      <w:color w:val="auto"/>
                      <w:szCs w:val="21"/>
                    </w:rPr>
                  </w:pPr>
                  <w:r>
                    <w:rPr>
                      <w:color w:val="auto"/>
                      <w:szCs w:val="21"/>
                    </w:rPr>
                    <w:t>SS</w:t>
                  </w:r>
                </w:p>
              </w:tc>
              <w:tc>
                <w:tcPr>
                  <w:tcW w:w="1312" w:type="dxa"/>
                  <w:vAlign w:val="center"/>
                </w:tcPr>
                <w:p>
                  <w:pPr>
                    <w:adjustRightInd w:val="0"/>
                    <w:snapToGrid w:val="0"/>
                    <w:jc w:val="center"/>
                    <w:rPr>
                      <w:color w:val="auto"/>
                      <w:szCs w:val="21"/>
                    </w:rPr>
                  </w:pPr>
                  <w:r>
                    <w:rPr>
                      <w:color w:val="auto"/>
                      <w:szCs w:val="21"/>
                    </w:rPr>
                    <w:t>氨氮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2" w:type="dxa"/>
                  <w:vAlign w:val="center"/>
                </w:tcPr>
                <w:p>
                  <w:pPr>
                    <w:adjustRightInd w:val="0"/>
                    <w:snapToGrid w:val="0"/>
                    <w:jc w:val="center"/>
                    <w:rPr>
                      <w:color w:val="auto"/>
                      <w:szCs w:val="21"/>
                    </w:rPr>
                  </w:pPr>
                  <w:r>
                    <w:rPr>
                      <w:color w:val="auto"/>
                      <w:szCs w:val="21"/>
                    </w:rPr>
                    <w:t>产生浓度（mg/L）</w:t>
                  </w:r>
                </w:p>
              </w:tc>
              <w:tc>
                <w:tcPr>
                  <w:tcW w:w="1287" w:type="dxa"/>
                  <w:vAlign w:val="center"/>
                </w:tcPr>
                <w:p>
                  <w:pPr>
                    <w:adjustRightInd w:val="0"/>
                    <w:snapToGrid w:val="0"/>
                    <w:jc w:val="center"/>
                    <w:rPr>
                      <w:color w:val="auto"/>
                      <w:szCs w:val="21"/>
                    </w:rPr>
                  </w:pPr>
                  <w:r>
                    <w:rPr>
                      <w:color w:val="auto"/>
                      <w:szCs w:val="21"/>
                    </w:rPr>
                    <w:t>/</w:t>
                  </w:r>
                </w:p>
              </w:tc>
              <w:tc>
                <w:tcPr>
                  <w:tcW w:w="1293" w:type="dxa"/>
                  <w:vAlign w:val="center"/>
                </w:tcPr>
                <w:p>
                  <w:pPr>
                    <w:adjustRightInd w:val="0"/>
                    <w:snapToGrid w:val="0"/>
                    <w:jc w:val="center"/>
                    <w:rPr>
                      <w:color w:val="auto"/>
                      <w:szCs w:val="21"/>
                    </w:rPr>
                  </w:pPr>
                  <w:r>
                    <w:rPr>
                      <w:color w:val="auto"/>
                      <w:szCs w:val="21"/>
                    </w:rPr>
                    <w:t>400</w:t>
                  </w:r>
                </w:p>
              </w:tc>
              <w:tc>
                <w:tcPr>
                  <w:tcW w:w="1295" w:type="dxa"/>
                  <w:vAlign w:val="center"/>
                </w:tcPr>
                <w:p>
                  <w:pPr>
                    <w:adjustRightInd w:val="0"/>
                    <w:snapToGrid w:val="0"/>
                    <w:jc w:val="center"/>
                    <w:rPr>
                      <w:color w:val="auto"/>
                      <w:szCs w:val="21"/>
                    </w:rPr>
                  </w:pPr>
                  <w:r>
                    <w:rPr>
                      <w:color w:val="auto"/>
                      <w:szCs w:val="21"/>
                    </w:rPr>
                    <w:t>2</w:t>
                  </w:r>
                  <w:r>
                    <w:rPr>
                      <w:rFonts w:hint="eastAsia"/>
                      <w:color w:val="auto"/>
                      <w:szCs w:val="21"/>
                    </w:rPr>
                    <w:t>50</w:t>
                  </w:r>
                </w:p>
              </w:tc>
              <w:tc>
                <w:tcPr>
                  <w:tcW w:w="1295" w:type="dxa"/>
                  <w:vAlign w:val="center"/>
                </w:tcPr>
                <w:p>
                  <w:pPr>
                    <w:adjustRightInd w:val="0"/>
                    <w:snapToGrid w:val="0"/>
                    <w:jc w:val="center"/>
                    <w:rPr>
                      <w:color w:val="auto"/>
                      <w:szCs w:val="21"/>
                    </w:rPr>
                  </w:pPr>
                  <w:r>
                    <w:rPr>
                      <w:rFonts w:hint="eastAsia"/>
                      <w:color w:val="auto"/>
                      <w:szCs w:val="21"/>
                    </w:rPr>
                    <w:t>220</w:t>
                  </w:r>
                </w:p>
              </w:tc>
              <w:tc>
                <w:tcPr>
                  <w:tcW w:w="1312" w:type="dxa"/>
                  <w:vAlign w:val="center"/>
                </w:tcPr>
                <w:p>
                  <w:pPr>
                    <w:adjustRightInd w:val="0"/>
                    <w:snapToGrid w:val="0"/>
                    <w:jc w:val="center"/>
                    <w:rPr>
                      <w:color w:val="auto"/>
                      <w:szCs w:val="21"/>
                    </w:rPr>
                  </w:pPr>
                  <w:r>
                    <w:rPr>
                      <w:rFonts w:hint="eastAsia"/>
                      <w:color w:val="auto"/>
                      <w:szCs w:val="21"/>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2" w:type="dxa"/>
                  <w:vAlign w:val="center"/>
                </w:tcPr>
                <w:p>
                  <w:pPr>
                    <w:adjustRightInd w:val="0"/>
                    <w:snapToGrid w:val="0"/>
                    <w:jc w:val="center"/>
                    <w:rPr>
                      <w:color w:val="auto"/>
                      <w:szCs w:val="21"/>
                    </w:rPr>
                  </w:pPr>
                  <w:r>
                    <w:rPr>
                      <w:color w:val="auto"/>
                      <w:szCs w:val="21"/>
                    </w:rPr>
                    <w:t>产生量（t/a）</w:t>
                  </w:r>
                </w:p>
              </w:tc>
              <w:tc>
                <w:tcPr>
                  <w:tcW w:w="1287" w:type="dxa"/>
                  <w:vAlign w:val="center"/>
                </w:tcPr>
                <w:p>
                  <w:pPr>
                    <w:adjustRightInd w:val="0"/>
                    <w:snapToGrid w:val="0"/>
                    <w:jc w:val="center"/>
                    <w:rPr>
                      <w:color w:val="auto"/>
                      <w:szCs w:val="21"/>
                    </w:rPr>
                  </w:pPr>
                  <w:r>
                    <w:rPr>
                      <w:rFonts w:hint="eastAsia"/>
                      <w:color w:val="auto"/>
                      <w:szCs w:val="21"/>
                    </w:rPr>
                    <w:t>2160</w:t>
                  </w:r>
                </w:p>
              </w:tc>
              <w:tc>
                <w:tcPr>
                  <w:tcW w:w="1293" w:type="dxa"/>
                  <w:vAlign w:val="center"/>
                </w:tcPr>
                <w:p>
                  <w:pPr>
                    <w:adjustRightInd w:val="0"/>
                    <w:snapToGrid w:val="0"/>
                    <w:jc w:val="center"/>
                    <w:rPr>
                      <w:color w:val="auto"/>
                      <w:szCs w:val="21"/>
                    </w:rPr>
                  </w:pPr>
                  <w:r>
                    <w:rPr>
                      <w:color w:val="auto"/>
                      <w:szCs w:val="21"/>
                    </w:rPr>
                    <w:fldChar w:fldCharType="begin"/>
                  </w:r>
                  <w:r>
                    <w:rPr>
                      <w:color w:val="auto"/>
                      <w:szCs w:val="21"/>
                    </w:rPr>
                    <w:instrText xml:space="preserve"> =2160*400/1000000 \* MERGEFORMAT </w:instrText>
                  </w:r>
                  <w:r>
                    <w:rPr>
                      <w:color w:val="auto"/>
                      <w:szCs w:val="21"/>
                    </w:rPr>
                    <w:fldChar w:fldCharType="separate"/>
                  </w:r>
                  <w:r>
                    <w:rPr>
                      <w:color w:val="auto"/>
                      <w:szCs w:val="21"/>
                    </w:rPr>
                    <w:t>0.864</w:t>
                  </w:r>
                  <w:r>
                    <w:rPr>
                      <w:color w:val="auto"/>
                      <w:szCs w:val="21"/>
                    </w:rPr>
                    <w:fldChar w:fldCharType="end"/>
                  </w:r>
                </w:p>
              </w:tc>
              <w:tc>
                <w:tcPr>
                  <w:tcW w:w="1295" w:type="dxa"/>
                  <w:vAlign w:val="center"/>
                </w:tcPr>
                <w:p>
                  <w:pPr>
                    <w:adjustRightInd w:val="0"/>
                    <w:snapToGrid w:val="0"/>
                    <w:jc w:val="center"/>
                    <w:rPr>
                      <w:color w:val="auto"/>
                      <w:szCs w:val="21"/>
                    </w:rPr>
                  </w:pPr>
                  <w:r>
                    <w:rPr>
                      <w:color w:val="auto"/>
                      <w:szCs w:val="21"/>
                    </w:rPr>
                    <w:fldChar w:fldCharType="begin"/>
                  </w:r>
                  <w:r>
                    <w:rPr>
                      <w:color w:val="auto"/>
                      <w:szCs w:val="21"/>
                    </w:rPr>
                    <w:instrText xml:space="preserve"> =2160*250/1000000 \* MERGEFORMAT </w:instrText>
                  </w:r>
                  <w:r>
                    <w:rPr>
                      <w:color w:val="auto"/>
                      <w:szCs w:val="21"/>
                    </w:rPr>
                    <w:fldChar w:fldCharType="separate"/>
                  </w:r>
                  <w:r>
                    <w:rPr>
                      <w:color w:val="auto"/>
                      <w:szCs w:val="21"/>
                    </w:rPr>
                    <w:t>0.54</w:t>
                  </w:r>
                  <w:r>
                    <w:rPr>
                      <w:color w:val="auto"/>
                      <w:szCs w:val="21"/>
                    </w:rPr>
                    <w:fldChar w:fldCharType="end"/>
                  </w:r>
                </w:p>
              </w:tc>
              <w:tc>
                <w:tcPr>
                  <w:tcW w:w="1295" w:type="dxa"/>
                  <w:vAlign w:val="center"/>
                </w:tcPr>
                <w:p>
                  <w:pPr>
                    <w:adjustRightInd w:val="0"/>
                    <w:snapToGrid w:val="0"/>
                    <w:jc w:val="center"/>
                    <w:rPr>
                      <w:color w:val="auto"/>
                      <w:szCs w:val="21"/>
                    </w:rPr>
                  </w:pPr>
                  <w:r>
                    <w:rPr>
                      <w:color w:val="auto"/>
                      <w:szCs w:val="21"/>
                    </w:rPr>
                    <w:fldChar w:fldCharType="begin"/>
                  </w:r>
                  <w:r>
                    <w:rPr>
                      <w:color w:val="auto"/>
                      <w:szCs w:val="21"/>
                    </w:rPr>
                    <w:instrText xml:space="preserve"> =2160*220/1000000 \# "0.000" \* MERGEFORMAT </w:instrText>
                  </w:r>
                  <w:r>
                    <w:rPr>
                      <w:color w:val="auto"/>
                      <w:szCs w:val="21"/>
                    </w:rPr>
                    <w:fldChar w:fldCharType="separate"/>
                  </w:r>
                  <w:r>
                    <w:rPr>
                      <w:color w:val="auto"/>
                    </w:rPr>
                    <w:t>0.475</w:t>
                  </w:r>
                  <w:r>
                    <w:rPr>
                      <w:color w:val="auto"/>
                      <w:szCs w:val="21"/>
                    </w:rPr>
                    <w:fldChar w:fldCharType="end"/>
                  </w:r>
                </w:p>
              </w:tc>
              <w:tc>
                <w:tcPr>
                  <w:tcW w:w="1312" w:type="dxa"/>
                  <w:vAlign w:val="center"/>
                </w:tcPr>
                <w:p>
                  <w:pPr>
                    <w:adjustRightInd w:val="0"/>
                    <w:snapToGrid w:val="0"/>
                    <w:jc w:val="center"/>
                    <w:rPr>
                      <w:color w:val="auto"/>
                      <w:szCs w:val="21"/>
                    </w:rPr>
                  </w:pPr>
                  <w:r>
                    <w:rPr>
                      <w:color w:val="auto"/>
                      <w:szCs w:val="21"/>
                    </w:rPr>
                    <w:fldChar w:fldCharType="begin"/>
                  </w:r>
                  <w:r>
                    <w:rPr>
                      <w:color w:val="auto"/>
                      <w:szCs w:val="21"/>
                    </w:rPr>
                    <w:instrText xml:space="preserve"> =2160*35/1000000 \# "0.000" \* MERGEFORMAT </w:instrText>
                  </w:r>
                  <w:r>
                    <w:rPr>
                      <w:color w:val="auto"/>
                      <w:szCs w:val="21"/>
                    </w:rPr>
                    <w:fldChar w:fldCharType="separate"/>
                  </w:r>
                  <w:r>
                    <w:rPr>
                      <w:color w:val="auto"/>
                    </w:rPr>
                    <w:t>0.076</w:t>
                  </w:r>
                  <w:r>
                    <w:rPr>
                      <w:color w:val="auto"/>
                      <w:szCs w:val="21"/>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2" w:type="dxa"/>
                  <w:vAlign w:val="center"/>
                </w:tcPr>
                <w:p>
                  <w:pPr>
                    <w:adjustRightInd w:val="0"/>
                    <w:snapToGrid w:val="0"/>
                    <w:jc w:val="center"/>
                    <w:rPr>
                      <w:color w:val="auto"/>
                      <w:szCs w:val="21"/>
                    </w:rPr>
                  </w:pPr>
                  <w:r>
                    <w:rPr>
                      <w:color w:val="auto"/>
                      <w:szCs w:val="21"/>
                    </w:rPr>
                    <w:t>治理措施</w:t>
                  </w:r>
                </w:p>
              </w:tc>
              <w:tc>
                <w:tcPr>
                  <w:tcW w:w="6482" w:type="dxa"/>
                  <w:gridSpan w:val="5"/>
                  <w:vAlign w:val="center"/>
                </w:tcPr>
                <w:p>
                  <w:pPr>
                    <w:adjustRightInd w:val="0"/>
                    <w:snapToGrid w:val="0"/>
                    <w:jc w:val="center"/>
                    <w:rPr>
                      <w:color w:val="auto"/>
                      <w:szCs w:val="21"/>
                    </w:rPr>
                  </w:pPr>
                  <w:r>
                    <w:rPr>
                      <w:color w:val="auto"/>
                      <w:szCs w:val="21"/>
                    </w:rPr>
                    <w:t>三级化粪池</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2" w:type="dxa"/>
                  <w:vAlign w:val="center"/>
                </w:tcPr>
                <w:p>
                  <w:pPr>
                    <w:adjustRightInd w:val="0"/>
                    <w:snapToGrid w:val="0"/>
                    <w:jc w:val="center"/>
                    <w:rPr>
                      <w:color w:val="auto"/>
                      <w:szCs w:val="21"/>
                    </w:rPr>
                  </w:pPr>
                  <w:r>
                    <w:rPr>
                      <w:color w:val="auto"/>
                      <w:szCs w:val="21"/>
                    </w:rPr>
                    <w:t>处理效率</w:t>
                  </w:r>
                </w:p>
              </w:tc>
              <w:tc>
                <w:tcPr>
                  <w:tcW w:w="1287" w:type="dxa"/>
                  <w:vAlign w:val="center"/>
                </w:tcPr>
                <w:p>
                  <w:pPr>
                    <w:adjustRightInd w:val="0"/>
                    <w:snapToGrid w:val="0"/>
                    <w:jc w:val="center"/>
                    <w:rPr>
                      <w:color w:val="auto"/>
                      <w:szCs w:val="21"/>
                    </w:rPr>
                  </w:pPr>
                  <w:r>
                    <w:rPr>
                      <w:color w:val="auto"/>
                      <w:szCs w:val="21"/>
                    </w:rPr>
                    <w:t>/</w:t>
                  </w:r>
                </w:p>
              </w:tc>
              <w:tc>
                <w:tcPr>
                  <w:tcW w:w="1293" w:type="dxa"/>
                  <w:vAlign w:val="center"/>
                </w:tcPr>
                <w:p>
                  <w:pPr>
                    <w:adjustRightInd w:val="0"/>
                    <w:snapToGrid w:val="0"/>
                    <w:jc w:val="center"/>
                    <w:rPr>
                      <w:color w:val="auto"/>
                      <w:szCs w:val="21"/>
                    </w:rPr>
                  </w:pPr>
                  <w:r>
                    <w:rPr>
                      <w:color w:val="auto"/>
                      <w:szCs w:val="21"/>
                    </w:rPr>
                    <w:t>15%</w:t>
                  </w:r>
                </w:p>
              </w:tc>
              <w:tc>
                <w:tcPr>
                  <w:tcW w:w="1295" w:type="dxa"/>
                  <w:vAlign w:val="center"/>
                </w:tcPr>
                <w:p>
                  <w:pPr>
                    <w:adjustRightInd w:val="0"/>
                    <w:snapToGrid w:val="0"/>
                    <w:jc w:val="center"/>
                    <w:rPr>
                      <w:color w:val="auto"/>
                      <w:szCs w:val="21"/>
                    </w:rPr>
                  </w:pPr>
                  <w:r>
                    <w:rPr>
                      <w:color w:val="auto"/>
                      <w:szCs w:val="21"/>
                    </w:rPr>
                    <w:t>11%</w:t>
                  </w:r>
                </w:p>
              </w:tc>
              <w:tc>
                <w:tcPr>
                  <w:tcW w:w="1295" w:type="dxa"/>
                  <w:vAlign w:val="center"/>
                </w:tcPr>
                <w:p>
                  <w:pPr>
                    <w:adjustRightInd w:val="0"/>
                    <w:snapToGrid w:val="0"/>
                    <w:jc w:val="center"/>
                    <w:rPr>
                      <w:color w:val="auto"/>
                      <w:szCs w:val="21"/>
                    </w:rPr>
                  </w:pPr>
                  <w:r>
                    <w:rPr>
                      <w:color w:val="auto"/>
                      <w:szCs w:val="21"/>
                    </w:rPr>
                    <w:t>47%</w:t>
                  </w:r>
                </w:p>
              </w:tc>
              <w:tc>
                <w:tcPr>
                  <w:tcW w:w="1312" w:type="dxa"/>
                  <w:vAlign w:val="center"/>
                </w:tcPr>
                <w:p>
                  <w:pPr>
                    <w:adjustRightInd w:val="0"/>
                    <w:snapToGrid w:val="0"/>
                    <w:jc w:val="center"/>
                    <w:rPr>
                      <w:color w:val="auto"/>
                      <w:szCs w:val="21"/>
                    </w:rPr>
                  </w:pPr>
                  <w:r>
                    <w:rPr>
                      <w:color w:val="auto"/>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2" w:type="dxa"/>
                  <w:vAlign w:val="center"/>
                </w:tcPr>
                <w:p>
                  <w:pPr>
                    <w:adjustRightInd w:val="0"/>
                    <w:snapToGrid w:val="0"/>
                    <w:jc w:val="center"/>
                    <w:rPr>
                      <w:color w:val="auto"/>
                      <w:szCs w:val="21"/>
                    </w:rPr>
                  </w:pPr>
                  <w:r>
                    <w:rPr>
                      <w:color w:val="auto"/>
                      <w:szCs w:val="21"/>
                    </w:rPr>
                    <w:t>排放浓度（mg/L）</w:t>
                  </w:r>
                </w:p>
              </w:tc>
              <w:tc>
                <w:tcPr>
                  <w:tcW w:w="1287" w:type="dxa"/>
                  <w:vAlign w:val="center"/>
                </w:tcPr>
                <w:p>
                  <w:pPr>
                    <w:adjustRightInd w:val="0"/>
                    <w:snapToGrid w:val="0"/>
                    <w:jc w:val="center"/>
                    <w:rPr>
                      <w:color w:val="auto"/>
                      <w:szCs w:val="21"/>
                    </w:rPr>
                  </w:pPr>
                  <w:r>
                    <w:rPr>
                      <w:color w:val="auto"/>
                      <w:szCs w:val="21"/>
                    </w:rPr>
                    <w:t>/</w:t>
                  </w:r>
                </w:p>
              </w:tc>
              <w:tc>
                <w:tcPr>
                  <w:tcW w:w="1293" w:type="dxa"/>
                  <w:vAlign w:val="center"/>
                </w:tcPr>
                <w:p>
                  <w:pPr>
                    <w:adjustRightInd w:val="0"/>
                    <w:snapToGrid w:val="0"/>
                    <w:jc w:val="center"/>
                    <w:rPr>
                      <w:color w:val="auto"/>
                      <w:szCs w:val="21"/>
                    </w:rPr>
                  </w:pPr>
                  <w:r>
                    <w:rPr>
                      <w:color w:val="auto"/>
                      <w:szCs w:val="21"/>
                    </w:rPr>
                    <w:t>340</w:t>
                  </w:r>
                </w:p>
              </w:tc>
              <w:tc>
                <w:tcPr>
                  <w:tcW w:w="1295" w:type="dxa"/>
                  <w:vAlign w:val="center"/>
                </w:tcPr>
                <w:p>
                  <w:pPr>
                    <w:adjustRightInd w:val="0"/>
                    <w:snapToGrid w:val="0"/>
                    <w:jc w:val="center"/>
                    <w:rPr>
                      <w:color w:val="auto"/>
                      <w:szCs w:val="21"/>
                    </w:rPr>
                  </w:pPr>
                  <w:r>
                    <w:rPr>
                      <w:rFonts w:hint="eastAsia"/>
                      <w:color w:val="auto"/>
                      <w:szCs w:val="21"/>
                    </w:rPr>
                    <w:t>223</w:t>
                  </w:r>
                </w:p>
              </w:tc>
              <w:tc>
                <w:tcPr>
                  <w:tcW w:w="1295" w:type="dxa"/>
                  <w:vAlign w:val="center"/>
                </w:tcPr>
                <w:p>
                  <w:pPr>
                    <w:adjustRightInd w:val="0"/>
                    <w:snapToGrid w:val="0"/>
                    <w:jc w:val="center"/>
                    <w:rPr>
                      <w:color w:val="auto"/>
                      <w:szCs w:val="21"/>
                    </w:rPr>
                  </w:pPr>
                  <w:r>
                    <w:rPr>
                      <w:rFonts w:hint="eastAsia"/>
                      <w:color w:val="auto"/>
                      <w:szCs w:val="21"/>
                    </w:rPr>
                    <w:t>117</w:t>
                  </w:r>
                </w:p>
              </w:tc>
              <w:tc>
                <w:tcPr>
                  <w:tcW w:w="1312" w:type="dxa"/>
                  <w:vAlign w:val="center"/>
                </w:tcPr>
                <w:p>
                  <w:pPr>
                    <w:adjustRightInd w:val="0"/>
                    <w:snapToGrid w:val="0"/>
                    <w:jc w:val="center"/>
                    <w:rPr>
                      <w:color w:val="auto"/>
                      <w:szCs w:val="21"/>
                    </w:rPr>
                  </w:pPr>
                  <w:r>
                    <w:rPr>
                      <w:rFonts w:hint="eastAsia"/>
                      <w:color w:val="auto"/>
                      <w:szCs w:val="21"/>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2" w:type="dxa"/>
                  <w:vAlign w:val="center"/>
                </w:tcPr>
                <w:p>
                  <w:pPr>
                    <w:adjustRightInd w:val="0"/>
                    <w:snapToGrid w:val="0"/>
                    <w:jc w:val="center"/>
                    <w:rPr>
                      <w:color w:val="auto"/>
                      <w:szCs w:val="21"/>
                    </w:rPr>
                  </w:pPr>
                  <w:r>
                    <w:rPr>
                      <w:color w:val="auto"/>
                      <w:szCs w:val="21"/>
                    </w:rPr>
                    <w:t>排放量（t/a）</w:t>
                  </w:r>
                </w:p>
              </w:tc>
              <w:tc>
                <w:tcPr>
                  <w:tcW w:w="1287" w:type="dxa"/>
                  <w:vAlign w:val="center"/>
                </w:tcPr>
                <w:p>
                  <w:pPr>
                    <w:adjustRightInd w:val="0"/>
                    <w:snapToGrid w:val="0"/>
                    <w:jc w:val="center"/>
                    <w:rPr>
                      <w:color w:val="auto"/>
                      <w:szCs w:val="21"/>
                    </w:rPr>
                  </w:pPr>
                  <w:r>
                    <w:rPr>
                      <w:rFonts w:hint="eastAsia"/>
                      <w:color w:val="auto"/>
                      <w:szCs w:val="21"/>
                    </w:rPr>
                    <w:t>2160</w:t>
                  </w:r>
                </w:p>
              </w:tc>
              <w:tc>
                <w:tcPr>
                  <w:tcW w:w="1293" w:type="dxa"/>
                  <w:vAlign w:val="center"/>
                </w:tcPr>
                <w:p>
                  <w:pPr>
                    <w:adjustRightInd w:val="0"/>
                    <w:snapToGrid w:val="0"/>
                    <w:jc w:val="center"/>
                    <w:rPr>
                      <w:color w:val="auto"/>
                      <w:szCs w:val="21"/>
                    </w:rPr>
                  </w:pPr>
                  <w:r>
                    <w:rPr>
                      <w:color w:val="auto"/>
                      <w:szCs w:val="21"/>
                    </w:rPr>
                    <w:fldChar w:fldCharType="begin"/>
                  </w:r>
                  <w:r>
                    <w:rPr>
                      <w:color w:val="auto"/>
                      <w:szCs w:val="21"/>
                    </w:rPr>
                    <w:instrText xml:space="preserve"> =2160*340/1000000 \# "0.000" \* MERGEFORMAT </w:instrText>
                  </w:r>
                  <w:r>
                    <w:rPr>
                      <w:color w:val="auto"/>
                      <w:szCs w:val="21"/>
                    </w:rPr>
                    <w:fldChar w:fldCharType="separate"/>
                  </w:r>
                  <w:r>
                    <w:rPr>
                      <w:color w:val="auto"/>
                    </w:rPr>
                    <w:t>0.734</w:t>
                  </w:r>
                  <w:r>
                    <w:rPr>
                      <w:color w:val="auto"/>
                      <w:szCs w:val="21"/>
                    </w:rPr>
                    <w:fldChar w:fldCharType="end"/>
                  </w:r>
                </w:p>
              </w:tc>
              <w:tc>
                <w:tcPr>
                  <w:tcW w:w="1295" w:type="dxa"/>
                  <w:vAlign w:val="center"/>
                </w:tcPr>
                <w:p>
                  <w:pPr>
                    <w:adjustRightInd w:val="0"/>
                    <w:snapToGrid w:val="0"/>
                    <w:jc w:val="center"/>
                    <w:rPr>
                      <w:color w:val="auto"/>
                      <w:szCs w:val="21"/>
                    </w:rPr>
                  </w:pPr>
                  <w:r>
                    <w:rPr>
                      <w:color w:val="auto"/>
                      <w:szCs w:val="21"/>
                    </w:rPr>
                    <w:fldChar w:fldCharType="begin"/>
                  </w:r>
                  <w:r>
                    <w:rPr>
                      <w:color w:val="auto"/>
                      <w:szCs w:val="21"/>
                    </w:rPr>
                    <w:instrText xml:space="preserve"> =2160*223/1000000 \# "0.000" \* MERGEFORMAT </w:instrText>
                  </w:r>
                  <w:r>
                    <w:rPr>
                      <w:color w:val="auto"/>
                      <w:szCs w:val="21"/>
                    </w:rPr>
                    <w:fldChar w:fldCharType="separate"/>
                  </w:r>
                  <w:r>
                    <w:rPr>
                      <w:color w:val="auto"/>
                    </w:rPr>
                    <w:t>0.482</w:t>
                  </w:r>
                  <w:r>
                    <w:rPr>
                      <w:color w:val="auto"/>
                      <w:szCs w:val="21"/>
                    </w:rPr>
                    <w:fldChar w:fldCharType="end"/>
                  </w:r>
                </w:p>
              </w:tc>
              <w:tc>
                <w:tcPr>
                  <w:tcW w:w="1295" w:type="dxa"/>
                  <w:vAlign w:val="center"/>
                </w:tcPr>
                <w:p>
                  <w:pPr>
                    <w:adjustRightInd w:val="0"/>
                    <w:snapToGrid w:val="0"/>
                    <w:jc w:val="center"/>
                    <w:rPr>
                      <w:color w:val="auto"/>
                      <w:szCs w:val="21"/>
                    </w:rPr>
                  </w:pPr>
                  <w:r>
                    <w:rPr>
                      <w:color w:val="auto"/>
                      <w:szCs w:val="21"/>
                    </w:rPr>
                    <w:fldChar w:fldCharType="begin"/>
                  </w:r>
                  <w:r>
                    <w:rPr>
                      <w:color w:val="auto"/>
                      <w:szCs w:val="21"/>
                    </w:rPr>
                    <w:instrText xml:space="preserve"> =2160*117/1000000 \# "0.000" \* MERGEFORMAT </w:instrText>
                  </w:r>
                  <w:r>
                    <w:rPr>
                      <w:color w:val="auto"/>
                      <w:szCs w:val="21"/>
                    </w:rPr>
                    <w:fldChar w:fldCharType="separate"/>
                  </w:r>
                  <w:r>
                    <w:rPr>
                      <w:color w:val="auto"/>
                    </w:rPr>
                    <w:t>0.253</w:t>
                  </w:r>
                  <w:r>
                    <w:rPr>
                      <w:color w:val="auto"/>
                      <w:szCs w:val="21"/>
                    </w:rPr>
                    <w:fldChar w:fldCharType="end"/>
                  </w:r>
                </w:p>
              </w:tc>
              <w:tc>
                <w:tcPr>
                  <w:tcW w:w="1312" w:type="dxa"/>
                  <w:vAlign w:val="center"/>
                </w:tcPr>
                <w:p>
                  <w:pPr>
                    <w:adjustRightInd w:val="0"/>
                    <w:snapToGrid w:val="0"/>
                    <w:jc w:val="center"/>
                    <w:rPr>
                      <w:color w:val="auto"/>
                      <w:szCs w:val="21"/>
                    </w:rPr>
                  </w:pPr>
                  <w:r>
                    <w:rPr>
                      <w:color w:val="auto"/>
                      <w:szCs w:val="21"/>
                    </w:rPr>
                    <w:fldChar w:fldCharType="begin"/>
                  </w:r>
                  <w:r>
                    <w:rPr>
                      <w:color w:val="auto"/>
                      <w:szCs w:val="21"/>
                    </w:rPr>
                    <w:instrText xml:space="preserve"> =2160*34/1000000 \# "0.000" \* MERGEFORMAT </w:instrText>
                  </w:r>
                  <w:r>
                    <w:rPr>
                      <w:color w:val="auto"/>
                      <w:szCs w:val="21"/>
                    </w:rPr>
                    <w:fldChar w:fldCharType="separate"/>
                  </w:r>
                  <w:r>
                    <w:rPr>
                      <w:color w:val="auto"/>
                    </w:rPr>
                    <w:t>0.073</w:t>
                  </w:r>
                  <w:r>
                    <w:rPr>
                      <w:color w:val="auto"/>
                      <w:szCs w:val="21"/>
                    </w:rPr>
                    <w:fldChar w:fldCharType="end"/>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2" w:type="dxa"/>
                  <w:vAlign w:val="center"/>
                </w:tcPr>
                <w:p>
                  <w:pPr>
                    <w:adjustRightInd w:val="0"/>
                    <w:snapToGrid w:val="0"/>
                    <w:jc w:val="center"/>
                    <w:rPr>
                      <w:color w:val="auto"/>
                      <w:szCs w:val="21"/>
                    </w:rPr>
                  </w:pPr>
                  <w:r>
                    <w:rPr>
                      <w:color w:val="auto"/>
                      <w:szCs w:val="21"/>
                    </w:rPr>
                    <w:t>排放标准（mg/L）</w:t>
                  </w:r>
                </w:p>
              </w:tc>
              <w:tc>
                <w:tcPr>
                  <w:tcW w:w="1287" w:type="dxa"/>
                  <w:vAlign w:val="center"/>
                </w:tcPr>
                <w:p>
                  <w:pPr>
                    <w:adjustRightInd w:val="0"/>
                    <w:snapToGrid w:val="0"/>
                    <w:jc w:val="center"/>
                    <w:rPr>
                      <w:color w:val="auto"/>
                      <w:szCs w:val="21"/>
                    </w:rPr>
                  </w:pPr>
                  <w:r>
                    <w:rPr>
                      <w:color w:val="auto"/>
                      <w:szCs w:val="21"/>
                    </w:rPr>
                    <w:t>/</w:t>
                  </w:r>
                </w:p>
              </w:tc>
              <w:tc>
                <w:tcPr>
                  <w:tcW w:w="1293" w:type="dxa"/>
                  <w:vAlign w:val="center"/>
                </w:tcPr>
                <w:p>
                  <w:pPr>
                    <w:adjustRightInd w:val="0"/>
                    <w:snapToGrid w:val="0"/>
                    <w:jc w:val="center"/>
                    <w:rPr>
                      <w:color w:val="auto"/>
                      <w:szCs w:val="21"/>
                    </w:rPr>
                  </w:pPr>
                  <w:r>
                    <w:rPr>
                      <w:color w:val="auto"/>
                      <w:szCs w:val="21"/>
                    </w:rPr>
                    <w:t>500</w:t>
                  </w:r>
                </w:p>
              </w:tc>
              <w:tc>
                <w:tcPr>
                  <w:tcW w:w="1295" w:type="dxa"/>
                  <w:vAlign w:val="center"/>
                </w:tcPr>
                <w:p>
                  <w:pPr>
                    <w:adjustRightInd w:val="0"/>
                    <w:snapToGrid w:val="0"/>
                    <w:jc w:val="center"/>
                    <w:rPr>
                      <w:color w:val="auto"/>
                      <w:szCs w:val="21"/>
                    </w:rPr>
                  </w:pPr>
                  <w:r>
                    <w:rPr>
                      <w:rFonts w:hint="eastAsia"/>
                      <w:color w:val="auto"/>
                      <w:szCs w:val="21"/>
                    </w:rPr>
                    <w:t>350</w:t>
                  </w:r>
                </w:p>
              </w:tc>
              <w:tc>
                <w:tcPr>
                  <w:tcW w:w="1295" w:type="dxa"/>
                  <w:vAlign w:val="center"/>
                </w:tcPr>
                <w:p>
                  <w:pPr>
                    <w:adjustRightInd w:val="0"/>
                    <w:snapToGrid w:val="0"/>
                    <w:jc w:val="center"/>
                    <w:rPr>
                      <w:color w:val="auto"/>
                      <w:szCs w:val="21"/>
                    </w:rPr>
                  </w:pPr>
                  <w:r>
                    <w:rPr>
                      <w:color w:val="auto"/>
                      <w:szCs w:val="21"/>
                    </w:rPr>
                    <w:t>400</w:t>
                  </w:r>
                </w:p>
              </w:tc>
              <w:tc>
                <w:tcPr>
                  <w:tcW w:w="1312" w:type="dxa"/>
                  <w:vAlign w:val="center"/>
                </w:tcPr>
                <w:p>
                  <w:pPr>
                    <w:adjustRightInd w:val="0"/>
                    <w:snapToGrid w:val="0"/>
                    <w:jc w:val="center"/>
                    <w:rPr>
                      <w:color w:val="auto"/>
                      <w:szCs w:val="21"/>
                    </w:rPr>
                  </w:pPr>
                  <w:r>
                    <w:rPr>
                      <w:color w:val="auto"/>
                      <w:szCs w:val="21"/>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022" w:type="dxa"/>
                  <w:vAlign w:val="center"/>
                </w:tcPr>
                <w:p>
                  <w:pPr>
                    <w:adjustRightInd w:val="0"/>
                    <w:snapToGrid w:val="0"/>
                    <w:jc w:val="center"/>
                    <w:rPr>
                      <w:color w:val="auto"/>
                      <w:szCs w:val="21"/>
                    </w:rPr>
                  </w:pPr>
                  <w:r>
                    <w:rPr>
                      <w:color w:val="auto"/>
                      <w:szCs w:val="21"/>
                    </w:rPr>
                    <w:t>去向</w:t>
                  </w:r>
                </w:p>
              </w:tc>
              <w:tc>
                <w:tcPr>
                  <w:tcW w:w="6482" w:type="dxa"/>
                  <w:gridSpan w:val="5"/>
                  <w:vAlign w:val="center"/>
                </w:tcPr>
                <w:p>
                  <w:pPr>
                    <w:adjustRightInd w:val="0"/>
                    <w:snapToGrid w:val="0"/>
                    <w:jc w:val="center"/>
                    <w:rPr>
                      <w:color w:val="auto"/>
                      <w:szCs w:val="21"/>
                    </w:rPr>
                  </w:pPr>
                  <w:r>
                    <w:rPr>
                      <w:color w:val="auto"/>
                      <w:szCs w:val="21"/>
                    </w:rPr>
                    <w:t>纳入</w:t>
                  </w:r>
                  <w:r>
                    <w:rPr>
                      <w:rFonts w:hint="eastAsia"/>
                      <w:color w:val="auto"/>
                      <w:szCs w:val="21"/>
                    </w:rPr>
                    <w:t>市政</w:t>
                  </w:r>
                  <w:r>
                    <w:rPr>
                      <w:color w:val="auto"/>
                      <w:szCs w:val="21"/>
                    </w:rPr>
                    <w:t>污水管网，排入长乐区</w:t>
                  </w:r>
                  <w:r>
                    <w:rPr>
                      <w:rFonts w:hint="eastAsia"/>
                      <w:color w:val="auto"/>
                      <w:szCs w:val="21"/>
                      <w:lang w:val="en-US" w:eastAsia="zh-CN"/>
                    </w:rPr>
                    <w:t>滨海</w:t>
                  </w:r>
                  <w:r>
                    <w:rPr>
                      <w:color w:val="auto"/>
                      <w:szCs w:val="21"/>
                    </w:rPr>
                    <w:t>污水处理厂</w:t>
                  </w:r>
                  <w:r>
                    <w:rPr>
                      <w:rFonts w:hint="eastAsia"/>
                      <w:color w:val="auto"/>
                      <w:szCs w:val="21"/>
                    </w:rPr>
                    <w:t>深度处理</w:t>
                  </w:r>
                </w:p>
              </w:tc>
            </w:tr>
          </w:tbl>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2</w:t>
            </w:r>
            <w:r>
              <w:rPr>
                <w:rFonts w:eastAsia="宋体" w:cs="Times New Roman"/>
                <w:b/>
                <w:bCs w:val="0"/>
                <w:color w:val="auto"/>
                <w:sz w:val="30"/>
                <w:szCs w:val="30"/>
                <w:lang w:val="en-GB"/>
              </w:rPr>
              <w:t>.</w:t>
            </w:r>
            <w:r>
              <w:rPr>
                <w:rFonts w:hint="eastAsia" w:eastAsia="宋体" w:cs="Times New Roman"/>
                <w:b/>
                <w:bCs w:val="0"/>
                <w:color w:val="auto"/>
                <w:sz w:val="30"/>
                <w:szCs w:val="30"/>
              </w:rPr>
              <w:t>2废水污染物排放源及排放口基本情况</w:t>
            </w:r>
          </w:p>
          <w:p>
            <w:pPr>
              <w:pStyle w:val="103"/>
              <w:spacing w:after="0"/>
              <w:ind w:left="0" w:leftChars="0" w:firstLine="480"/>
              <w:rPr>
                <w:color w:val="auto"/>
              </w:rPr>
            </w:pPr>
            <w:r>
              <w:rPr>
                <w:rFonts w:hint="eastAsia"/>
                <w:color w:val="auto"/>
              </w:rPr>
              <w:t>废水排放口基本情况见</w:t>
            </w:r>
            <w:r>
              <w:rPr>
                <w:rFonts w:hint="eastAsia"/>
                <w:b/>
                <w:bCs/>
                <w:color w:val="auto"/>
              </w:rPr>
              <w:t>表4.2-2</w:t>
            </w:r>
            <w:r>
              <w:rPr>
                <w:rFonts w:hint="eastAsia"/>
                <w:color w:val="auto"/>
              </w:rPr>
              <w:t>，废水污染物排放源详见</w:t>
            </w:r>
            <w:r>
              <w:rPr>
                <w:rFonts w:hint="eastAsia"/>
                <w:b/>
                <w:bCs/>
                <w:color w:val="auto"/>
              </w:rPr>
              <w:t>表4.2-3</w:t>
            </w:r>
            <w:r>
              <w:rPr>
                <w:rFonts w:hint="eastAsia"/>
                <w:color w:val="auto"/>
              </w:rPr>
              <w:t>。</w:t>
            </w:r>
          </w:p>
          <w:p>
            <w:pPr>
              <w:pStyle w:val="47"/>
              <w:rPr>
                <w:bCs/>
                <w:color w:val="auto"/>
              </w:rPr>
            </w:pPr>
            <w:r>
              <w:rPr>
                <w:bCs/>
                <w:color w:val="auto"/>
              </w:rPr>
              <w:t>表4.2-</w:t>
            </w:r>
            <w:r>
              <w:rPr>
                <w:rFonts w:hint="eastAsia"/>
                <w:bCs/>
                <w:color w:val="auto"/>
              </w:rPr>
              <w:t>2  扩建项目</w:t>
            </w:r>
            <w:r>
              <w:rPr>
                <w:bCs/>
                <w:color w:val="auto"/>
              </w:rPr>
              <w:t>废水间接排放口基本情况表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365"/>
              <w:gridCol w:w="772"/>
              <w:gridCol w:w="1322"/>
              <w:gridCol w:w="1220"/>
              <w:gridCol w:w="844"/>
              <w:gridCol w:w="503"/>
              <w:gridCol w:w="608"/>
              <w:gridCol w:w="818"/>
              <w:gridCol w:w="1042"/>
              <w:gridCol w:w="101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65" w:type="dxa"/>
                  <w:vMerge w:val="restart"/>
                  <w:tcBorders>
                    <w:tl2br w:val="nil"/>
                    <w:tr2bl w:val="nil"/>
                  </w:tcBorders>
                  <w:vAlign w:val="center"/>
                </w:tcPr>
                <w:p>
                  <w:pPr>
                    <w:pStyle w:val="154"/>
                    <w:rPr>
                      <w:color w:val="auto"/>
                    </w:rPr>
                  </w:pPr>
                  <w:r>
                    <w:rPr>
                      <w:color w:val="auto"/>
                    </w:rPr>
                    <w:t>序号</w:t>
                  </w:r>
                </w:p>
              </w:tc>
              <w:tc>
                <w:tcPr>
                  <w:tcW w:w="772" w:type="dxa"/>
                  <w:vMerge w:val="restart"/>
                  <w:tcBorders>
                    <w:tl2br w:val="nil"/>
                    <w:tr2bl w:val="nil"/>
                  </w:tcBorders>
                  <w:vAlign w:val="center"/>
                </w:tcPr>
                <w:p>
                  <w:pPr>
                    <w:pStyle w:val="154"/>
                    <w:rPr>
                      <w:color w:val="auto"/>
                    </w:rPr>
                  </w:pPr>
                  <w:r>
                    <w:rPr>
                      <w:color w:val="auto"/>
                    </w:rPr>
                    <w:t>排放口编号</w:t>
                  </w:r>
                </w:p>
              </w:tc>
              <w:tc>
                <w:tcPr>
                  <w:tcW w:w="2542" w:type="dxa"/>
                  <w:gridSpan w:val="2"/>
                  <w:tcBorders>
                    <w:tl2br w:val="nil"/>
                    <w:tr2bl w:val="nil"/>
                  </w:tcBorders>
                  <w:vAlign w:val="center"/>
                </w:tcPr>
                <w:p>
                  <w:pPr>
                    <w:pStyle w:val="154"/>
                    <w:rPr>
                      <w:color w:val="auto"/>
                    </w:rPr>
                  </w:pPr>
                  <w:r>
                    <w:rPr>
                      <w:color w:val="auto"/>
                    </w:rPr>
                    <w:t>排放口地理坐标</w:t>
                  </w:r>
                </w:p>
              </w:tc>
              <w:tc>
                <w:tcPr>
                  <w:tcW w:w="844" w:type="dxa"/>
                  <w:vMerge w:val="restart"/>
                  <w:tcBorders>
                    <w:tl2br w:val="nil"/>
                    <w:tr2bl w:val="nil"/>
                  </w:tcBorders>
                  <w:vAlign w:val="center"/>
                </w:tcPr>
                <w:p>
                  <w:pPr>
                    <w:pStyle w:val="154"/>
                    <w:rPr>
                      <w:color w:val="auto"/>
                    </w:rPr>
                  </w:pPr>
                  <w:r>
                    <w:rPr>
                      <w:color w:val="auto"/>
                    </w:rPr>
                    <w:t>废水排放量</w:t>
                  </w:r>
                </w:p>
                <w:p>
                  <w:pPr>
                    <w:pStyle w:val="154"/>
                    <w:rPr>
                      <w:color w:val="auto"/>
                    </w:rPr>
                  </w:pPr>
                  <w:r>
                    <w:rPr>
                      <w:color w:val="auto"/>
                    </w:rPr>
                    <w:t>（t/a）</w:t>
                  </w:r>
                </w:p>
              </w:tc>
              <w:tc>
                <w:tcPr>
                  <w:tcW w:w="503" w:type="dxa"/>
                  <w:vMerge w:val="restart"/>
                  <w:tcBorders>
                    <w:tl2br w:val="nil"/>
                    <w:tr2bl w:val="nil"/>
                  </w:tcBorders>
                  <w:vAlign w:val="center"/>
                </w:tcPr>
                <w:p>
                  <w:pPr>
                    <w:pStyle w:val="154"/>
                    <w:rPr>
                      <w:color w:val="auto"/>
                    </w:rPr>
                  </w:pPr>
                  <w:r>
                    <w:rPr>
                      <w:color w:val="auto"/>
                    </w:rPr>
                    <w:t>排放</w:t>
                  </w:r>
                </w:p>
                <w:p>
                  <w:pPr>
                    <w:pStyle w:val="154"/>
                    <w:rPr>
                      <w:color w:val="auto"/>
                    </w:rPr>
                  </w:pPr>
                  <w:r>
                    <w:rPr>
                      <w:color w:val="auto"/>
                    </w:rPr>
                    <w:t>去向</w:t>
                  </w:r>
                </w:p>
              </w:tc>
              <w:tc>
                <w:tcPr>
                  <w:tcW w:w="608" w:type="dxa"/>
                  <w:vMerge w:val="restart"/>
                  <w:tcBorders>
                    <w:tl2br w:val="nil"/>
                    <w:tr2bl w:val="nil"/>
                  </w:tcBorders>
                  <w:vAlign w:val="center"/>
                </w:tcPr>
                <w:p>
                  <w:pPr>
                    <w:pStyle w:val="154"/>
                    <w:rPr>
                      <w:color w:val="auto"/>
                    </w:rPr>
                  </w:pPr>
                  <w:r>
                    <w:rPr>
                      <w:color w:val="auto"/>
                    </w:rPr>
                    <w:t>排放</w:t>
                  </w:r>
                </w:p>
                <w:p>
                  <w:pPr>
                    <w:pStyle w:val="154"/>
                    <w:rPr>
                      <w:color w:val="auto"/>
                    </w:rPr>
                  </w:pPr>
                  <w:r>
                    <w:rPr>
                      <w:color w:val="auto"/>
                    </w:rPr>
                    <w:t>规律</w:t>
                  </w:r>
                </w:p>
              </w:tc>
              <w:tc>
                <w:tcPr>
                  <w:tcW w:w="2870" w:type="dxa"/>
                  <w:gridSpan w:val="3"/>
                  <w:tcBorders>
                    <w:tl2br w:val="nil"/>
                    <w:tr2bl w:val="nil"/>
                  </w:tcBorders>
                  <w:vAlign w:val="center"/>
                </w:tcPr>
                <w:p>
                  <w:pPr>
                    <w:pStyle w:val="154"/>
                    <w:rPr>
                      <w:color w:val="auto"/>
                    </w:rPr>
                  </w:pPr>
                  <w:r>
                    <w:rPr>
                      <w:color w:val="auto"/>
                    </w:rPr>
                    <w:t>受纳污水处理厂信息</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65" w:type="dxa"/>
                  <w:vMerge w:val="continue"/>
                  <w:tcBorders>
                    <w:tl2br w:val="nil"/>
                    <w:tr2bl w:val="nil"/>
                  </w:tcBorders>
                  <w:vAlign w:val="center"/>
                </w:tcPr>
                <w:p>
                  <w:pPr>
                    <w:pStyle w:val="154"/>
                    <w:rPr>
                      <w:color w:val="auto"/>
                    </w:rPr>
                  </w:pPr>
                </w:p>
              </w:tc>
              <w:tc>
                <w:tcPr>
                  <w:tcW w:w="772" w:type="dxa"/>
                  <w:vMerge w:val="continue"/>
                  <w:tcBorders>
                    <w:tl2br w:val="nil"/>
                    <w:tr2bl w:val="nil"/>
                  </w:tcBorders>
                  <w:vAlign w:val="center"/>
                </w:tcPr>
                <w:p>
                  <w:pPr>
                    <w:pStyle w:val="154"/>
                    <w:rPr>
                      <w:color w:val="auto"/>
                    </w:rPr>
                  </w:pPr>
                </w:p>
              </w:tc>
              <w:tc>
                <w:tcPr>
                  <w:tcW w:w="1322" w:type="dxa"/>
                  <w:tcBorders>
                    <w:tl2br w:val="nil"/>
                    <w:tr2bl w:val="nil"/>
                  </w:tcBorders>
                  <w:vAlign w:val="center"/>
                </w:tcPr>
                <w:p>
                  <w:pPr>
                    <w:pStyle w:val="154"/>
                    <w:rPr>
                      <w:color w:val="auto"/>
                    </w:rPr>
                  </w:pPr>
                  <w:r>
                    <w:rPr>
                      <w:color w:val="auto"/>
                    </w:rPr>
                    <w:t>经度</w:t>
                  </w:r>
                </w:p>
              </w:tc>
              <w:tc>
                <w:tcPr>
                  <w:tcW w:w="1220" w:type="dxa"/>
                  <w:tcBorders>
                    <w:tl2br w:val="nil"/>
                    <w:tr2bl w:val="nil"/>
                  </w:tcBorders>
                  <w:vAlign w:val="center"/>
                </w:tcPr>
                <w:p>
                  <w:pPr>
                    <w:pStyle w:val="154"/>
                    <w:rPr>
                      <w:color w:val="auto"/>
                    </w:rPr>
                  </w:pPr>
                  <w:r>
                    <w:rPr>
                      <w:color w:val="auto"/>
                    </w:rPr>
                    <w:t>纬度</w:t>
                  </w:r>
                </w:p>
              </w:tc>
              <w:tc>
                <w:tcPr>
                  <w:tcW w:w="844" w:type="dxa"/>
                  <w:vMerge w:val="continue"/>
                  <w:tcBorders>
                    <w:tl2br w:val="nil"/>
                    <w:tr2bl w:val="nil"/>
                  </w:tcBorders>
                  <w:vAlign w:val="center"/>
                </w:tcPr>
                <w:p>
                  <w:pPr>
                    <w:pStyle w:val="154"/>
                    <w:rPr>
                      <w:color w:val="auto"/>
                    </w:rPr>
                  </w:pPr>
                </w:p>
              </w:tc>
              <w:tc>
                <w:tcPr>
                  <w:tcW w:w="503" w:type="dxa"/>
                  <w:vMerge w:val="continue"/>
                  <w:tcBorders>
                    <w:tl2br w:val="nil"/>
                    <w:tr2bl w:val="nil"/>
                  </w:tcBorders>
                  <w:vAlign w:val="center"/>
                </w:tcPr>
                <w:p>
                  <w:pPr>
                    <w:pStyle w:val="154"/>
                    <w:rPr>
                      <w:color w:val="auto"/>
                    </w:rPr>
                  </w:pPr>
                </w:p>
              </w:tc>
              <w:tc>
                <w:tcPr>
                  <w:tcW w:w="608" w:type="dxa"/>
                  <w:vMerge w:val="continue"/>
                  <w:tcBorders>
                    <w:tl2br w:val="nil"/>
                    <w:tr2bl w:val="nil"/>
                  </w:tcBorders>
                  <w:vAlign w:val="center"/>
                </w:tcPr>
                <w:p>
                  <w:pPr>
                    <w:pStyle w:val="154"/>
                    <w:rPr>
                      <w:color w:val="auto"/>
                    </w:rPr>
                  </w:pPr>
                </w:p>
              </w:tc>
              <w:tc>
                <w:tcPr>
                  <w:tcW w:w="818" w:type="dxa"/>
                  <w:tcBorders>
                    <w:tl2br w:val="nil"/>
                    <w:tr2bl w:val="nil"/>
                  </w:tcBorders>
                  <w:vAlign w:val="center"/>
                </w:tcPr>
                <w:p>
                  <w:pPr>
                    <w:pStyle w:val="154"/>
                    <w:rPr>
                      <w:color w:val="auto"/>
                    </w:rPr>
                  </w:pPr>
                  <w:r>
                    <w:rPr>
                      <w:color w:val="auto"/>
                    </w:rPr>
                    <w:t>名称</w:t>
                  </w:r>
                </w:p>
              </w:tc>
              <w:tc>
                <w:tcPr>
                  <w:tcW w:w="1042" w:type="dxa"/>
                  <w:tcBorders>
                    <w:tl2br w:val="nil"/>
                    <w:tr2bl w:val="nil"/>
                  </w:tcBorders>
                  <w:vAlign w:val="center"/>
                </w:tcPr>
                <w:p>
                  <w:pPr>
                    <w:pStyle w:val="154"/>
                    <w:rPr>
                      <w:color w:val="auto"/>
                    </w:rPr>
                  </w:pPr>
                  <w:r>
                    <w:rPr>
                      <w:color w:val="auto"/>
                    </w:rPr>
                    <w:t>污染物</w:t>
                  </w:r>
                </w:p>
                <w:p>
                  <w:pPr>
                    <w:pStyle w:val="154"/>
                    <w:rPr>
                      <w:color w:val="auto"/>
                    </w:rPr>
                  </w:pPr>
                  <w:r>
                    <w:rPr>
                      <w:color w:val="auto"/>
                    </w:rPr>
                    <w:t>种类</w:t>
                  </w:r>
                </w:p>
              </w:tc>
              <w:tc>
                <w:tcPr>
                  <w:tcW w:w="1010" w:type="dxa"/>
                  <w:tcBorders>
                    <w:tl2br w:val="nil"/>
                    <w:tr2bl w:val="nil"/>
                  </w:tcBorders>
                  <w:vAlign w:val="center"/>
                </w:tcPr>
                <w:p>
                  <w:pPr>
                    <w:pStyle w:val="154"/>
                    <w:rPr>
                      <w:color w:val="auto"/>
                    </w:rPr>
                  </w:pPr>
                  <w:r>
                    <w:rPr>
                      <w:color w:val="auto"/>
                    </w:rPr>
                    <w:t>国家或地方污染物排放标准限值（mg/L）</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65" w:type="dxa"/>
                  <w:vMerge w:val="restart"/>
                  <w:tcBorders>
                    <w:tl2br w:val="nil"/>
                    <w:tr2bl w:val="nil"/>
                  </w:tcBorders>
                  <w:vAlign w:val="center"/>
                </w:tcPr>
                <w:p>
                  <w:pPr>
                    <w:pStyle w:val="154"/>
                    <w:rPr>
                      <w:color w:val="auto"/>
                    </w:rPr>
                  </w:pPr>
                  <w:r>
                    <w:rPr>
                      <w:color w:val="auto"/>
                    </w:rPr>
                    <w:t>1</w:t>
                  </w:r>
                </w:p>
              </w:tc>
              <w:tc>
                <w:tcPr>
                  <w:tcW w:w="772" w:type="dxa"/>
                  <w:vMerge w:val="restart"/>
                  <w:tcBorders>
                    <w:tl2br w:val="nil"/>
                    <w:tr2bl w:val="nil"/>
                  </w:tcBorders>
                  <w:vAlign w:val="center"/>
                </w:tcPr>
                <w:p>
                  <w:pPr>
                    <w:pStyle w:val="154"/>
                    <w:rPr>
                      <w:color w:val="auto"/>
                    </w:rPr>
                  </w:pPr>
                  <w:r>
                    <w:rPr>
                      <w:rFonts w:hint="eastAsia"/>
                      <w:color w:val="auto"/>
                    </w:rPr>
                    <w:t>DW001</w:t>
                  </w:r>
                </w:p>
              </w:tc>
              <w:tc>
                <w:tcPr>
                  <w:tcW w:w="1322" w:type="dxa"/>
                  <w:vMerge w:val="restart"/>
                  <w:tcBorders>
                    <w:tl2br w:val="nil"/>
                    <w:tr2bl w:val="nil"/>
                  </w:tcBorders>
                  <w:vAlign w:val="center"/>
                </w:tcPr>
                <w:p>
                  <w:pPr>
                    <w:pStyle w:val="154"/>
                    <w:rPr>
                      <w:color w:val="auto"/>
                    </w:rPr>
                  </w:pPr>
                  <w:r>
                    <w:rPr>
                      <w:rFonts w:hint="eastAsia"/>
                      <w:color w:val="auto"/>
                    </w:rPr>
                    <w:t>119.598723°</w:t>
                  </w:r>
                </w:p>
              </w:tc>
              <w:tc>
                <w:tcPr>
                  <w:tcW w:w="1220" w:type="dxa"/>
                  <w:vMerge w:val="restart"/>
                  <w:tcBorders>
                    <w:tl2br w:val="nil"/>
                    <w:tr2bl w:val="nil"/>
                  </w:tcBorders>
                  <w:vAlign w:val="center"/>
                </w:tcPr>
                <w:p>
                  <w:pPr>
                    <w:pStyle w:val="154"/>
                    <w:rPr>
                      <w:color w:val="auto"/>
                    </w:rPr>
                  </w:pPr>
                  <w:r>
                    <w:rPr>
                      <w:rFonts w:hint="eastAsia"/>
                      <w:color w:val="auto"/>
                    </w:rPr>
                    <w:t>25.955934°</w:t>
                  </w:r>
                </w:p>
              </w:tc>
              <w:tc>
                <w:tcPr>
                  <w:tcW w:w="844" w:type="dxa"/>
                  <w:vMerge w:val="restart"/>
                  <w:tcBorders>
                    <w:tl2br w:val="nil"/>
                    <w:tr2bl w:val="nil"/>
                  </w:tcBorders>
                  <w:vAlign w:val="center"/>
                </w:tcPr>
                <w:p>
                  <w:pPr>
                    <w:pStyle w:val="154"/>
                    <w:rPr>
                      <w:color w:val="auto"/>
                    </w:rPr>
                  </w:pPr>
                  <w:r>
                    <w:rPr>
                      <w:rFonts w:hint="eastAsia"/>
                      <w:color w:val="auto"/>
                    </w:rPr>
                    <w:t>2160</w:t>
                  </w:r>
                </w:p>
              </w:tc>
              <w:tc>
                <w:tcPr>
                  <w:tcW w:w="503" w:type="dxa"/>
                  <w:vMerge w:val="restart"/>
                  <w:tcBorders>
                    <w:tl2br w:val="nil"/>
                    <w:tr2bl w:val="nil"/>
                  </w:tcBorders>
                  <w:vAlign w:val="center"/>
                </w:tcPr>
                <w:p>
                  <w:pPr>
                    <w:pStyle w:val="154"/>
                    <w:rPr>
                      <w:color w:val="auto"/>
                    </w:rPr>
                  </w:pPr>
                  <w:r>
                    <w:rPr>
                      <w:rFonts w:hint="eastAsia"/>
                      <w:color w:val="auto"/>
                      <w:lang w:val="en-US" w:eastAsia="zh-CN"/>
                    </w:rPr>
                    <w:t>松下</w:t>
                  </w:r>
                  <w:r>
                    <w:rPr>
                      <w:rFonts w:hint="eastAsia"/>
                      <w:color w:val="auto"/>
                    </w:rPr>
                    <w:t>海域</w:t>
                  </w:r>
                </w:p>
              </w:tc>
              <w:tc>
                <w:tcPr>
                  <w:tcW w:w="608" w:type="dxa"/>
                  <w:vMerge w:val="restart"/>
                  <w:tcBorders>
                    <w:tl2br w:val="nil"/>
                    <w:tr2bl w:val="nil"/>
                  </w:tcBorders>
                  <w:vAlign w:val="center"/>
                </w:tcPr>
                <w:p>
                  <w:pPr>
                    <w:pStyle w:val="154"/>
                    <w:rPr>
                      <w:color w:val="auto"/>
                    </w:rPr>
                  </w:pPr>
                  <w:r>
                    <w:rPr>
                      <w:rFonts w:hint="eastAsia"/>
                      <w:color w:val="auto"/>
                    </w:rPr>
                    <w:t>间断</w:t>
                  </w:r>
                </w:p>
                <w:p>
                  <w:pPr>
                    <w:pStyle w:val="154"/>
                    <w:rPr>
                      <w:color w:val="auto"/>
                    </w:rPr>
                  </w:pPr>
                  <w:r>
                    <w:rPr>
                      <w:color w:val="auto"/>
                    </w:rPr>
                    <w:t>排放</w:t>
                  </w:r>
                </w:p>
              </w:tc>
              <w:tc>
                <w:tcPr>
                  <w:tcW w:w="818" w:type="dxa"/>
                  <w:vMerge w:val="restart"/>
                  <w:tcBorders>
                    <w:tl2br w:val="nil"/>
                    <w:tr2bl w:val="nil"/>
                  </w:tcBorders>
                  <w:vAlign w:val="center"/>
                </w:tcPr>
                <w:p>
                  <w:pPr>
                    <w:pStyle w:val="154"/>
                    <w:rPr>
                      <w:color w:val="auto"/>
                    </w:rPr>
                  </w:pPr>
                  <w:r>
                    <w:rPr>
                      <w:rFonts w:hint="eastAsia"/>
                      <w:color w:val="auto"/>
                    </w:rPr>
                    <w:t>长乐区</w:t>
                  </w:r>
                  <w:r>
                    <w:rPr>
                      <w:rFonts w:hint="eastAsia"/>
                      <w:color w:val="auto"/>
                      <w:lang w:val="en-US" w:eastAsia="zh-CN"/>
                    </w:rPr>
                    <w:t>滨海</w:t>
                  </w:r>
                  <w:r>
                    <w:rPr>
                      <w:rFonts w:hint="eastAsia"/>
                      <w:color w:val="auto"/>
                    </w:rPr>
                    <w:t>污水处理厂</w:t>
                  </w:r>
                </w:p>
              </w:tc>
              <w:tc>
                <w:tcPr>
                  <w:tcW w:w="1042" w:type="dxa"/>
                  <w:tcBorders>
                    <w:tl2br w:val="nil"/>
                    <w:tr2bl w:val="nil"/>
                  </w:tcBorders>
                  <w:vAlign w:val="center"/>
                </w:tcPr>
                <w:p>
                  <w:pPr>
                    <w:pStyle w:val="154"/>
                    <w:rPr>
                      <w:color w:val="auto"/>
                    </w:rPr>
                  </w:pPr>
                  <w:r>
                    <w:rPr>
                      <w:color w:val="auto"/>
                    </w:rPr>
                    <w:t>COD</w:t>
                  </w:r>
                  <w:r>
                    <w:rPr>
                      <w:rFonts w:hint="eastAsia"/>
                      <w:color w:val="auto"/>
                    </w:rPr>
                    <w:t>cr</w:t>
                  </w:r>
                </w:p>
              </w:tc>
              <w:tc>
                <w:tcPr>
                  <w:tcW w:w="1010" w:type="dxa"/>
                  <w:tcBorders>
                    <w:tl2br w:val="nil"/>
                    <w:tr2bl w:val="nil"/>
                  </w:tcBorders>
                  <w:vAlign w:val="center"/>
                </w:tcPr>
                <w:p>
                  <w:pPr>
                    <w:pStyle w:val="154"/>
                    <w:rPr>
                      <w:color w:val="auto"/>
                    </w:rPr>
                  </w:pPr>
                  <w:r>
                    <w:rPr>
                      <w:rFonts w:hint="eastAsia"/>
                      <w:color w:val="auto"/>
                    </w:rPr>
                    <w:t>5</w:t>
                  </w:r>
                  <w:r>
                    <w:rPr>
                      <w:color w:val="auto"/>
                    </w:rPr>
                    <w:t>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65" w:type="dxa"/>
                  <w:vMerge w:val="continue"/>
                  <w:tcBorders>
                    <w:tl2br w:val="nil"/>
                    <w:tr2bl w:val="nil"/>
                  </w:tcBorders>
                  <w:vAlign w:val="center"/>
                </w:tcPr>
                <w:p>
                  <w:pPr>
                    <w:pStyle w:val="154"/>
                    <w:rPr>
                      <w:color w:val="auto"/>
                    </w:rPr>
                  </w:pPr>
                </w:p>
              </w:tc>
              <w:tc>
                <w:tcPr>
                  <w:tcW w:w="772" w:type="dxa"/>
                  <w:vMerge w:val="continue"/>
                  <w:tcBorders>
                    <w:tl2br w:val="nil"/>
                    <w:tr2bl w:val="nil"/>
                  </w:tcBorders>
                  <w:vAlign w:val="center"/>
                </w:tcPr>
                <w:p>
                  <w:pPr>
                    <w:pStyle w:val="154"/>
                    <w:rPr>
                      <w:color w:val="auto"/>
                    </w:rPr>
                  </w:pPr>
                </w:p>
              </w:tc>
              <w:tc>
                <w:tcPr>
                  <w:tcW w:w="1322" w:type="dxa"/>
                  <w:vMerge w:val="continue"/>
                  <w:tcBorders>
                    <w:tl2br w:val="nil"/>
                    <w:tr2bl w:val="nil"/>
                  </w:tcBorders>
                  <w:vAlign w:val="center"/>
                </w:tcPr>
                <w:p>
                  <w:pPr>
                    <w:pStyle w:val="154"/>
                    <w:rPr>
                      <w:color w:val="auto"/>
                    </w:rPr>
                  </w:pPr>
                </w:p>
              </w:tc>
              <w:tc>
                <w:tcPr>
                  <w:tcW w:w="1220" w:type="dxa"/>
                  <w:vMerge w:val="continue"/>
                  <w:tcBorders>
                    <w:tl2br w:val="nil"/>
                    <w:tr2bl w:val="nil"/>
                  </w:tcBorders>
                  <w:vAlign w:val="center"/>
                </w:tcPr>
                <w:p>
                  <w:pPr>
                    <w:pStyle w:val="154"/>
                    <w:rPr>
                      <w:color w:val="auto"/>
                    </w:rPr>
                  </w:pPr>
                </w:p>
              </w:tc>
              <w:tc>
                <w:tcPr>
                  <w:tcW w:w="844" w:type="dxa"/>
                  <w:vMerge w:val="continue"/>
                  <w:tcBorders>
                    <w:tl2br w:val="nil"/>
                    <w:tr2bl w:val="nil"/>
                  </w:tcBorders>
                  <w:vAlign w:val="center"/>
                </w:tcPr>
                <w:p>
                  <w:pPr>
                    <w:pStyle w:val="154"/>
                    <w:rPr>
                      <w:color w:val="auto"/>
                    </w:rPr>
                  </w:pPr>
                </w:p>
              </w:tc>
              <w:tc>
                <w:tcPr>
                  <w:tcW w:w="503" w:type="dxa"/>
                  <w:vMerge w:val="continue"/>
                  <w:tcBorders>
                    <w:tl2br w:val="nil"/>
                    <w:tr2bl w:val="nil"/>
                  </w:tcBorders>
                  <w:vAlign w:val="center"/>
                </w:tcPr>
                <w:p>
                  <w:pPr>
                    <w:pStyle w:val="154"/>
                    <w:rPr>
                      <w:color w:val="auto"/>
                    </w:rPr>
                  </w:pPr>
                </w:p>
              </w:tc>
              <w:tc>
                <w:tcPr>
                  <w:tcW w:w="608" w:type="dxa"/>
                  <w:vMerge w:val="continue"/>
                  <w:tcBorders>
                    <w:tl2br w:val="nil"/>
                    <w:tr2bl w:val="nil"/>
                  </w:tcBorders>
                  <w:vAlign w:val="center"/>
                </w:tcPr>
                <w:p>
                  <w:pPr>
                    <w:pStyle w:val="154"/>
                    <w:rPr>
                      <w:color w:val="auto"/>
                    </w:rPr>
                  </w:pPr>
                </w:p>
              </w:tc>
              <w:tc>
                <w:tcPr>
                  <w:tcW w:w="818" w:type="dxa"/>
                  <w:vMerge w:val="continue"/>
                  <w:tcBorders>
                    <w:tl2br w:val="nil"/>
                    <w:tr2bl w:val="nil"/>
                  </w:tcBorders>
                  <w:vAlign w:val="center"/>
                </w:tcPr>
                <w:p>
                  <w:pPr>
                    <w:pStyle w:val="154"/>
                    <w:rPr>
                      <w:color w:val="auto"/>
                    </w:rPr>
                  </w:pPr>
                </w:p>
              </w:tc>
              <w:tc>
                <w:tcPr>
                  <w:tcW w:w="1042" w:type="dxa"/>
                  <w:tcBorders>
                    <w:tl2br w:val="nil"/>
                    <w:tr2bl w:val="nil"/>
                  </w:tcBorders>
                  <w:vAlign w:val="center"/>
                </w:tcPr>
                <w:p>
                  <w:pPr>
                    <w:pStyle w:val="154"/>
                    <w:rPr>
                      <w:color w:val="auto"/>
                    </w:rPr>
                  </w:pPr>
                  <w:r>
                    <w:rPr>
                      <w:color w:val="auto"/>
                    </w:rPr>
                    <w:t>BOD</w:t>
                  </w:r>
                  <w:r>
                    <w:rPr>
                      <w:color w:val="auto"/>
                      <w:vertAlign w:val="subscript"/>
                    </w:rPr>
                    <w:t>5</w:t>
                  </w:r>
                </w:p>
              </w:tc>
              <w:tc>
                <w:tcPr>
                  <w:tcW w:w="1010" w:type="dxa"/>
                  <w:tcBorders>
                    <w:tl2br w:val="nil"/>
                    <w:tr2bl w:val="nil"/>
                  </w:tcBorders>
                  <w:vAlign w:val="center"/>
                </w:tcPr>
                <w:p>
                  <w:pPr>
                    <w:pStyle w:val="154"/>
                    <w:rPr>
                      <w:color w:val="auto"/>
                    </w:rPr>
                  </w:pPr>
                  <w:r>
                    <w:rPr>
                      <w:rFonts w:hint="eastAsia"/>
                      <w:color w:val="auto"/>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65" w:type="dxa"/>
                  <w:vMerge w:val="continue"/>
                  <w:tcBorders>
                    <w:tl2br w:val="nil"/>
                    <w:tr2bl w:val="nil"/>
                  </w:tcBorders>
                  <w:vAlign w:val="center"/>
                </w:tcPr>
                <w:p>
                  <w:pPr>
                    <w:pStyle w:val="154"/>
                    <w:rPr>
                      <w:color w:val="auto"/>
                    </w:rPr>
                  </w:pPr>
                </w:p>
              </w:tc>
              <w:tc>
                <w:tcPr>
                  <w:tcW w:w="772" w:type="dxa"/>
                  <w:vMerge w:val="continue"/>
                  <w:tcBorders>
                    <w:tl2br w:val="nil"/>
                    <w:tr2bl w:val="nil"/>
                  </w:tcBorders>
                  <w:vAlign w:val="center"/>
                </w:tcPr>
                <w:p>
                  <w:pPr>
                    <w:pStyle w:val="154"/>
                    <w:rPr>
                      <w:color w:val="auto"/>
                    </w:rPr>
                  </w:pPr>
                </w:p>
              </w:tc>
              <w:tc>
                <w:tcPr>
                  <w:tcW w:w="1322" w:type="dxa"/>
                  <w:vMerge w:val="continue"/>
                  <w:tcBorders>
                    <w:tl2br w:val="nil"/>
                    <w:tr2bl w:val="nil"/>
                  </w:tcBorders>
                  <w:vAlign w:val="center"/>
                </w:tcPr>
                <w:p>
                  <w:pPr>
                    <w:pStyle w:val="154"/>
                    <w:rPr>
                      <w:color w:val="auto"/>
                    </w:rPr>
                  </w:pPr>
                </w:p>
              </w:tc>
              <w:tc>
                <w:tcPr>
                  <w:tcW w:w="1220" w:type="dxa"/>
                  <w:vMerge w:val="continue"/>
                  <w:tcBorders>
                    <w:tl2br w:val="nil"/>
                    <w:tr2bl w:val="nil"/>
                  </w:tcBorders>
                  <w:vAlign w:val="center"/>
                </w:tcPr>
                <w:p>
                  <w:pPr>
                    <w:pStyle w:val="154"/>
                    <w:rPr>
                      <w:color w:val="auto"/>
                    </w:rPr>
                  </w:pPr>
                </w:p>
              </w:tc>
              <w:tc>
                <w:tcPr>
                  <w:tcW w:w="844" w:type="dxa"/>
                  <w:vMerge w:val="continue"/>
                  <w:tcBorders>
                    <w:tl2br w:val="nil"/>
                    <w:tr2bl w:val="nil"/>
                  </w:tcBorders>
                  <w:vAlign w:val="center"/>
                </w:tcPr>
                <w:p>
                  <w:pPr>
                    <w:pStyle w:val="154"/>
                    <w:rPr>
                      <w:color w:val="auto"/>
                    </w:rPr>
                  </w:pPr>
                </w:p>
              </w:tc>
              <w:tc>
                <w:tcPr>
                  <w:tcW w:w="503" w:type="dxa"/>
                  <w:vMerge w:val="continue"/>
                  <w:tcBorders>
                    <w:tl2br w:val="nil"/>
                    <w:tr2bl w:val="nil"/>
                  </w:tcBorders>
                  <w:vAlign w:val="center"/>
                </w:tcPr>
                <w:p>
                  <w:pPr>
                    <w:pStyle w:val="154"/>
                    <w:rPr>
                      <w:color w:val="auto"/>
                    </w:rPr>
                  </w:pPr>
                </w:p>
              </w:tc>
              <w:tc>
                <w:tcPr>
                  <w:tcW w:w="608" w:type="dxa"/>
                  <w:vMerge w:val="continue"/>
                  <w:tcBorders>
                    <w:tl2br w:val="nil"/>
                    <w:tr2bl w:val="nil"/>
                  </w:tcBorders>
                  <w:vAlign w:val="center"/>
                </w:tcPr>
                <w:p>
                  <w:pPr>
                    <w:pStyle w:val="154"/>
                    <w:rPr>
                      <w:color w:val="auto"/>
                    </w:rPr>
                  </w:pPr>
                </w:p>
              </w:tc>
              <w:tc>
                <w:tcPr>
                  <w:tcW w:w="818" w:type="dxa"/>
                  <w:vMerge w:val="continue"/>
                  <w:tcBorders>
                    <w:tl2br w:val="nil"/>
                    <w:tr2bl w:val="nil"/>
                  </w:tcBorders>
                  <w:vAlign w:val="center"/>
                </w:tcPr>
                <w:p>
                  <w:pPr>
                    <w:pStyle w:val="154"/>
                    <w:rPr>
                      <w:color w:val="auto"/>
                    </w:rPr>
                  </w:pPr>
                </w:p>
              </w:tc>
              <w:tc>
                <w:tcPr>
                  <w:tcW w:w="1042" w:type="dxa"/>
                  <w:tcBorders>
                    <w:tl2br w:val="nil"/>
                    <w:tr2bl w:val="nil"/>
                  </w:tcBorders>
                  <w:vAlign w:val="center"/>
                </w:tcPr>
                <w:p>
                  <w:pPr>
                    <w:pStyle w:val="154"/>
                    <w:rPr>
                      <w:color w:val="auto"/>
                    </w:rPr>
                  </w:pPr>
                  <w:r>
                    <w:rPr>
                      <w:color w:val="auto"/>
                    </w:rPr>
                    <w:t>SS</w:t>
                  </w:r>
                </w:p>
              </w:tc>
              <w:tc>
                <w:tcPr>
                  <w:tcW w:w="1010" w:type="dxa"/>
                  <w:tcBorders>
                    <w:tl2br w:val="nil"/>
                    <w:tr2bl w:val="nil"/>
                  </w:tcBorders>
                  <w:vAlign w:val="center"/>
                </w:tcPr>
                <w:p>
                  <w:pPr>
                    <w:pStyle w:val="154"/>
                    <w:rPr>
                      <w:color w:val="auto"/>
                    </w:rPr>
                  </w:pPr>
                  <w:r>
                    <w:rPr>
                      <w:rFonts w:hint="eastAsia"/>
                      <w:color w:val="auto"/>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365" w:type="dxa"/>
                  <w:vMerge w:val="continue"/>
                  <w:tcBorders>
                    <w:tl2br w:val="nil"/>
                    <w:tr2bl w:val="nil"/>
                  </w:tcBorders>
                  <w:vAlign w:val="center"/>
                </w:tcPr>
                <w:p>
                  <w:pPr>
                    <w:pStyle w:val="154"/>
                    <w:rPr>
                      <w:color w:val="auto"/>
                    </w:rPr>
                  </w:pPr>
                </w:p>
              </w:tc>
              <w:tc>
                <w:tcPr>
                  <w:tcW w:w="772" w:type="dxa"/>
                  <w:vMerge w:val="continue"/>
                  <w:tcBorders>
                    <w:tl2br w:val="nil"/>
                    <w:tr2bl w:val="nil"/>
                  </w:tcBorders>
                  <w:vAlign w:val="center"/>
                </w:tcPr>
                <w:p>
                  <w:pPr>
                    <w:pStyle w:val="154"/>
                    <w:rPr>
                      <w:color w:val="auto"/>
                    </w:rPr>
                  </w:pPr>
                </w:p>
              </w:tc>
              <w:tc>
                <w:tcPr>
                  <w:tcW w:w="1322" w:type="dxa"/>
                  <w:vMerge w:val="continue"/>
                  <w:tcBorders>
                    <w:tl2br w:val="nil"/>
                    <w:tr2bl w:val="nil"/>
                  </w:tcBorders>
                  <w:vAlign w:val="center"/>
                </w:tcPr>
                <w:p>
                  <w:pPr>
                    <w:pStyle w:val="154"/>
                    <w:rPr>
                      <w:color w:val="auto"/>
                    </w:rPr>
                  </w:pPr>
                </w:p>
              </w:tc>
              <w:tc>
                <w:tcPr>
                  <w:tcW w:w="1220" w:type="dxa"/>
                  <w:vMerge w:val="continue"/>
                  <w:tcBorders>
                    <w:tl2br w:val="nil"/>
                    <w:tr2bl w:val="nil"/>
                  </w:tcBorders>
                  <w:vAlign w:val="center"/>
                </w:tcPr>
                <w:p>
                  <w:pPr>
                    <w:pStyle w:val="154"/>
                    <w:rPr>
                      <w:color w:val="auto"/>
                    </w:rPr>
                  </w:pPr>
                </w:p>
              </w:tc>
              <w:tc>
                <w:tcPr>
                  <w:tcW w:w="844" w:type="dxa"/>
                  <w:vMerge w:val="continue"/>
                  <w:tcBorders>
                    <w:tl2br w:val="nil"/>
                    <w:tr2bl w:val="nil"/>
                  </w:tcBorders>
                  <w:vAlign w:val="center"/>
                </w:tcPr>
                <w:p>
                  <w:pPr>
                    <w:pStyle w:val="154"/>
                    <w:rPr>
                      <w:color w:val="auto"/>
                    </w:rPr>
                  </w:pPr>
                </w:p>
              </w:tc>
              <w:tc>
                <w:tcPr>
                  <w:tcW w:w="503" w:type="dxa"/>
                  <w:vMerge w:val="continue"/>
                  <w:tcBorders>
                    <w:tl2br w:val="nil"/>
                    <w:tr2bl w:val="nil"/>
                  </w:tcBorders>
                  <w:vAlign w:val="center"/>
                </w:tcPr>
                <w:p>
                  <w:pPr>
                    <w:pStyle w:val="154"/>
                    <w:rPr>
                      <w:color w:val="auto"/>
                    </w:rPr>
                  </w:pPr>
                </w:p>
              </w:tc>
              <w:tc>
                <w:tcPr>
                  <w:tcW w:w="608" w:type="dxa"/>
                  <w:vMerge w:val="continue"/>
                  <w:tcBorders>
                    <w:tl2br w:val="nil"/>
                    <w:tr2bl w:val="nil"/>
                  </w:tcBorders>
                  <w:vAlign w:val="center"/>
                </w:tcPr>
                <w:p>
                  <w:pPr>
                    <w:pStyle w:val="154"/>
                    <w:rPr>
                      <w:color w:val="auto"/>
                    </w:rPr>
                  </w:pPr>
                </w:p>
              </w:tc>
              <w:tc>
                <w:tcPr>
                  <w:tcW w:w="818" w:type="dxa"/>
                  <w:vMerge w:val="continue"/>
                  <w:tcBorders>
                    <w:tl2br w:val="nil"/>
                    <w:tr2bl w:val="nil"/>
                  </w:tcBorders>
                  <w:vAlign w:val="center"/>
                </w:tcPr>
                <w:p>
                  <w:pPr>
                    <w:pStyle w:val="154"/>
                    <w:rPr>
                      <w:color w:val="auto"/>
                    </w:rPr>
                  </w:pPr>
                </w:p>
              </w:tc>
              <w:tc>
                <w:tcPr>
                  <w:tcW w:w="1042" w:type="dxa"/>
                  <w:tcBorders>
                    <w:tl2br w:val="nil"/>
                    <w:tr2bl w:val="nil"/>
                  </w:tcBorders>
                  <w:vAlign w:val="center"/>
                </w:tcPr>
                <w:p>
                  <w:pPr>
                    <w:pStyle w:val="154"/>
                    <w:rPr>
                      <w:color w:val="auto"/>
                    </w:rPr>
                  </w:pPr>
                  <w:r>
                    <w:rPr>
                      <w:color w:val="auto"/>
                    </w:rPr>
                    <w:t>NH</w:t>
                  </w:r>
                  <w:r>
                    <w:rPr>
                      <w:color w:val="auto"/>
                      <w:vertAlign w:val="subscript"/>
                    </w:rPr>
                    <w:t>3</w:t>
                  </w:r>
                  <w:r>
                    <w:rPr>
                      <w:color w:val="auto"/>
                    </w:rPr>
                    <w:t>-N</w:t>
                  </w:r>
                </w:p>
              </w:tc>
              <w:tc>
                <w:tcPr>
                  <w:tcW w:w="1010" w:type="dxa"/>
                  <w:tcBorders>
                    <w:tl2br w:val="nil"/>
                    <w:tr2bl w:val="nil"/>
                  </w:tcBorders>
                  <w:vAlign w:val="center"/>
                </w:tcPr>
                <w:p>
                  <w:pPr>
                    <w:pStyle w:val="154"/>
                    <w:rPr>
                      <w:color w:val="auto"/>
                    </w:rPr>
                  </w:pPr>
                  <w:r>
                    <w:rPr>
                      <w:rFonts w:hint="eastAsia"/>
                      <w:color w:val="auto"/>
                    </w:rPr>
                    <w:t>5</w:t>
                  </w:r>
                </w:p>
              </w:tc>
            </w:tr>
          </w:tbl>
          <w:p>
            <w:pPr>
              <w:pStyle w:val="47"/>
              <w:rPr>
                <w:bCs/>
                <w:color w:val="auto"/>
              </w:rPr>
            </w:pPr>
            <w:r>
              <w:rPr>
                <w:bCs/>
                <w:color w:val="auto"/>
              </w:rPr>
              <w:t>表4.2-</w:t>
            </w:r>
            <w:r>
              <w:rPr>
                <w:rFonts w:hint="eastAsia"/>
                <w:bCs/>
                <w:color w:val="auto"/>
              </w:rPr>
              <w:t>3  项目</w:t>
            </w:r>
            <w:r>
              <w:rPr>
                <w:bCs/>
                <w:color w:val="auto"/>
              </w:rPr>
              <w:t>废水污染物排放信息表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78"/>
              <w:gridCol w:w="1707"/>
              <w:gridCol w:w="2088"/>
              <w:gridCol w:w="1623"/>
              <w:gridCol w:w="2108"/>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8" w:type="dxa"/>
                  <w:tcBorders>
                    <w:tl2br w:val="nil"/>
                    <w:tr2bl w:val="nil"/>
                  </w:tcBorders>
                  <w:vAlign w:val="center"/>
                </w:tcPr>
                <w:p>
                  <w:pPr>
                    <w:pStyle w:val="154"/>
                    <w:rPr>
                      <w:color w:val="auto"/>
                    </w:rPr>
                  </w:pPr>
                  <w:r>
                    <w:rPr>
                      <w:color w:val="auto"/>
                    </w:rPr>
                    <w:t>序号</w:t>
                  </w:r>
                </w:p>
              </w:tc>
              <w:tc>
                <w:tcPr>
                  <w:tcW w:w="1707" w:type="dxa"/>
                  <w:tcBorders>
                    <w:tl2br w:val="nil"/>
                    <w:tr2bl w:val="nil"/>
                  </w:tcBorders>
                  <w:vAlign w:val="center"/>
                </w:tcPr>
                <w:p>
                  <w:pPr>
                    <w:pStyle w:val="154"/>
                    <w:rPr>
                      <w:color w:val="auto"/>
                    </w:rPr>
                  </w:pPr>
                  <w:r>
                    <w:rPr>
                      <w:color w:val="auto"/>
                    </w:rPr>
                    <w:t>排放口编号</w:t>
                  </w:r>
                </w:p>
              </w:tc>
              <w:tc>
                <w:tcPr>
                  <w:tcW w:w="2088" w:type="dxa"/>
                  <w:tcBorders>
                    <w:tl2br w:val="nil"/>
                    <w:tr2bl w:val="nil"/>
                  </w:tcBorders>
                  <w:vAlign w:val="center"/>
                </w:tcPr>
                <w:p>
                  <w:pPr>
                    <w:pStyle w:val="154"/>
                    <w:rPr>
                      <w:color w:val="auto"/>
                    </w:rPr>
                  </w:pPr>
                  <w:r>
                    <w:rPr>
                      <w:color w:val="auto"/>
                    </w:rPr>
                    <w:t>污染物种类</w:t>
                  </w:r>
                </w:p>
              </w:tc>
              <w:tc>
                <w:tcPr>
                  <w:tcW w:w="1623" w:type="dxa"/>
                  <w:tcBorders>
                    <w:tl2br w:val="nil"/>
                    <w:tr2bl w:val="nil"/>
                  </w:tcBorders>
                  <w:vAlign w:val="center"/>
                </w:tcPr>
                <w:p>
                  <w:pPr>
                    <w:pStyle w:val="154"/>
                    <w:rPr>
                      <w:color w:val="auto"/>
                    </w:rPr>
                  </w:pPr>
                  <w:r>
                    <w:rPr>
                      <w:color w:val="auto"/>
                    </w:rPr>
                    <w:t>排放浓</w:t>
                  </w:r>
                  <w:r>
                    <w:rPr>
                      <w:rFonts w:hint="eastAsia"/>
                      <w:color w:val="auto"/>
                    </w:rPr>
                    <w:t>度</w:t>
                  </w:r>
                  <w:r>
                    <w:rPr>
                      <w:color w:val="auto"/>
                    </w:rPr>
                    <w:t>（mg/L）</w:t>
                  </w:r>
                </w:p>
              </w:tc>
              <w:tc>
                <w:tcPr>
                  <w:tcW w:w="2108" w:type="dxa"/>
                  <w:tcBorders>
                    <w:tl2br w:val="nil"/>
                    <w:tr2bl w:val="nil"/>
                  </w:tcBorders>
                  <w:vAlign w:val="center"/>
                </w:tcPr>
                <w:p>
                  <w:pPr>
                    <w:pStyle w:val="154"/>
                    <w:rPr>
                      <w:color w:val="auto"/>
                    </w:rPr>
                  </w:pPr>
                  <w:r>
                    <w:rPr>
                      <w:color w:val="auto"/>
                    </w:rPr>
                    <w:t>年排放量（t/a）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8" w:type="dxa"/>
                  <w:vMerge w:val="restart"/>
                  <w:tcBorders>
                    <w:tl2br w:val="nil"/>
                    <w:tr2bl w:val="nil"/>
                  </w:tcBorders>
                  <w:vAlign w:val="center"/>
                </w:tcPr>
                <w:p>
                  <w:pPr>
                    <w:pStyle w:val="154"/>
                    <w:rPr>
                      <w:color w:val="auto"/>
                    </w:rPr>
                  </w:pPr>
                  <w:r>
                    <w:rPr>
                      <w:rFonts w:hint="eastAsia"/>
                      <w:color w:val="auto"/>
                    </w:rPr>
                    <w:t>1</w:t>
                  </w:r>
                </w:p>
              </w:tc>
              <w:tc>
                <w:tcPr>
                  <w:tcW w:w="1707" w:type="dxa"/>
                  <w:vMerge w:val="restart"/>
                  <w:tcBorders>
                    <w:tl2br w:val="nil"/>
                    <w:tr2bl w:val="nil"/>
                  </w:tcBorders>
                  <w:vAlign w:val="center"/>
                </w:tcPr>
                <w:p>
                  <w:pPr>
                    <w:pStyle w:val="154"/>
                    <w:rPr>
                      <w:color w:val="auto"/>
                    </w:rPr>
                  </w:pPr>
                  <w:r>
                    <w:rPr>
                      <w:rFonts w:hint="eastAsia"/>
                      <w:color w:val="auto"/>
                    </w:rPr>
                    <w:t>DW001</w:t>
                  </w:r>
                </w:p>
              </w:tc>
              <w:tc>
                <w:tcPr>
                  <w:tcW w:w="2088" w:type="dxa"/>
                  <w:tcBorders>
                    <w:tl2br w:val="nil"/>
                    <w:tr2bl w:val="nil"/>
                  </w:tcBorders>
                </w:tcPr>
                <w:p>
                  <w:pPr>
                    <w:pStyle w:val="143"/>
                    <w:rPr>
                      <w:color w:val="auto"/>
                      <w:lang w:val="en-US"/>
                    </w:rPr>
                  </w:pPr>
                  <w:r>
                    <w:rPr>
                      <w:rFonts w:hint="eastAsia"/>
                      <w:color w:val="auto"/>
                      <w:lang w:val="en-US"/>
                    </w:rPr>
                    <w:t>CODcr</w:t>
                  </w:r>
                </w:p>
              </w:tc>
              <w:tc>
                <w:tcPr>
                  <w:tcW w:w="1623" w:type="dxa"/>
                  <w:tcBorders>
                    <w:tl2br w:val="nil"/>
                    <w:tr2bl w:val="nil"/>
                  </w:tcBorders>
                  <w:vAlign w:val="center"/>
                </w:tcPr>
                <w:p>
                  <w:pPr>
                    <w:pStyle w:val="154"/>
                    <w:rPr>
                      <w:color w:val="auto"/>
                      <w:kern w:val="0"/>
                    </w:rPr>
                  </w:pPr>
                  <w:r>
                    <w:rPr>
                      <w:rFonts w:hint="eastAsia"/>
                      <w:color w:val="auto"/>
                    </w:rPr>
                    <w:t>5</w:t>
                  </w:r>
                  <w:r>
                    <w:rPr>
                      <w:color w:val="auto"/>
                    </w:rPr>
                    <w:t>0</w:t>
                  </w:r>
                </w:p>
              </w:tc>
              <w:tc>
                <w:tcPr>
                  <w:tcW w:w="2108" w:type="dxa"/>
                  <w:tcBorders>
                    <w:tl2br w:val="nil"/>
                    <w:tr2bl w:val="nil"/>
                  </w:tcBorders>
                  <w:vAlign w:val="center"/>
                </w:tcPr>
                <w:p>
                  <w:pPr>
                    <w:pStyle w:val="143"/>
                    <w:rPr>
                      <w:color w:val="auto"/>
                    </w:rPr>
                  </w:pPr>
                  <w:r>
                    <w:rPr>
                      <w:color w:val="auto"/>
                    </w:rPr>
                    <w:fldChar w:fldCharType="begin"/>
                  </w:r>
                  <w:r>
                    <w:rPr>
                      <w:color w:val="auto"/>
                    </w:rPr>
                    <w:instrText xml:space="preserve"> =50*2160/1000000 \# "0.0000" \* MERGEFORMAT </w:instrText>
                  </w:r>
                  <w:r>
                    <w:rPr>
                      <w:color w:val="auto"/>
                    </w:rPr>
                    <w:fldChar w:fldCharType="separate"/>
                  </w:r>
                  <w:r>
                    <w:rPr>
                      <w:color w:val="auto"/>
                    </w:rPr>
                    <w:t>0.1080</w:t>
                  </w:r>
                  <w:r>
                    <w:rPr>
                      <w:color w:val="auto"/>
                    </w:rPr>
                    <w:fldChar w:fldCharType="end"/>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8" w:type="dxa"/>
                  <w:vMerge w:val="continue"/>
                  <w:tcBorders>
                    <w:tl2br w:val="nil"/>
                    <w:tr2bl w:val="nil"/>
                  </w:tcBorders>
                  <w:vAlign w:val="center"/>
                </w:tcPr>
                <w:p>
                  <w:pPr>
                    <w:pStyle w:val="154"/>
                    <w:rPr>
                      <w:color w:val="auto"/>
                    </w:rPr>
                  </w:pPr>
                </w:p>
              </w:tc>
              <w:tc>
                <w:tcPr>
                  <w:tcW w:w="1707" w:type="dxa"/>
                  <w:vMerge w:val="continue"/>
                  <w:tcBorders>
                    <w:tl2br w:val="nil"/>
                    <w:tr2bl w:val="nil"/>
                  </w:tcBorders>
                  <w:vAlign w:val="center"/>
                </w:tcPr>
                <w:p>
                  <w:pPr>
                    <w:pStyle w:val="154"/>
                    <w:rPr>
                      <w:color w:val="auto"/>
                    </w:rPr>
                  </w:pPr>
                </w:p>
              </w:tc>
              <w:tc>
                <w:tcPr>
                  <w:tcW w:w="2088" w:type="dxa"/>
                  <w:tcBorders>
                    <w:tl2br w:val="nil"/>
                    <w:tr2bl w:val="nil"/>
                  </w:tcBorders>
                </w:tcPr>
                <w:p>
                  <w:pPr>
                    <w:pStyle w:val="143"/>
                    <w:rPr>
                      <w:color w:val="auto"/>
                      <w:lang w:val="en-US"/>
                    </w:rPr>
                  </w:pPr>
                  <w:r>
                    <w:rPr>
                      <w:rFonts w:hint="eastAsia"/>
                      <w:color w:val="auto"/>
                      <w:lang w:val="en-US"/>
                    </w:rPr>
                    <w:t>BOD</w:t>
                  </w:r>
                  <w:r>
                    <w:rPr>
                      <w:rFonts w:hint="eastAsia"/>
                      <w:color w:val="auto"/>
                      <w:vertAlign w:val="subscript"/>
                      <w:lang w:val="en-US"/>
                    </w:rPr>
                    <w:t>5</w:t>
                  </w:r>
                </w:p>
              </w:tc>
              <w:tc>
                <w:tcPr>
                  <w:tcW w:w="1623" w:type="dxa"/>
                  <w:tcBorders>
                    <w:tl2br w:val="nil"/>
                    <w:tr2bl w:val="nil"/>
                  </w:tcBorders>
                  <w:vAlign w:val="center"/>
                </w:tcPr>
                <w:p>
                  <w:pPr>
                    <w:pStyle w:val="154"/>
                    <w:rPr>
                      <w:color w:val="auto"/>
                      <w:kern w:val="0"/>
                    </w:rPr>
                  </w:pPr>
                  <w:r>
                    <w:rPr>
                      <w:rFonts w:hint="eastAsia"/>
                      <w:color w:val="auto"/>
                    </w:rPr>
                    <w:t>10</w:t>
                  </w:r>
                </w:p>
              </w:tc>
              <w:tc>
                <w:tcPr>
                  <w:tcW w:w="2108" w:type="dxa"/>
                  <w:tcBorders>
                    <w:tl2br w:val="nil"/>
                    <w:tr2bl w:val="nil"/>
                  </w:tcBorders>
                  <w:vAlign w:val="center"/>
                </w:tcPr>
                <w:p>
                  <w:pPr>
                    <w:pStyle w:val="143"/>
                    <w:rPr>
                      <w:color w:val="auto"/>
                    </w:rPr>
                  </w:pPr>
                  <w:r>
                    <w:rPr>
                      <w:color w:val="auto"/>
                    </w:rPr>
                    <w:fldChar w:fldCharType="begin"/>
                  </w:r>
                  <w:r>
                    <w:rPr>
                      <w:color w:val="auto"/>
                    </w:rPr>
                    <w:instrText xml:space="preserve"> =10*2160/1000000 \# "0.0000" \* MERGEFORMAT </w:instrText>
                  </w:r>
                  <w:r>
                    <w:rPr>
                      <w:color w:val="auto"/>
                    </w:rPr>
                    <w:fldChar w:fldCharType="separate"/>
                  </w:r>
                  <w:r>
                    <w:rPr>
                      <w:color w:val="auto"/>
                    </w:rPr>
                    <w:t>0.0216</w:t>
                  </w:r>
                  <w:r>
                    <w:rPr>
                      <w:color w:val="auto"/>
                    </w:rPr>
                    <w:fldChar w:fldCharType="end"/>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8" w:type="dxa"/>
                  <w:vMerge w:val="continue"/>
                  <w:tcBorders>
                    <w:tl2br w:val="nil"/>
                    <w:tr2bl w:val="nil"/>
                  </w:tcBorders>
                  <w:vAlign w:val="center"/>
                </w:tcPr>
                <w:p>
                  <w:pPr>
                    <w:pStyle w:val="154"/>
                    <w:rPr>
                      <w:color w:val="auto"/>
                    </w:rPr>
                  </w:pPr>
                </w:p>
              </w:tc>
              <w:tc>
                <w:tcPr>
                  <w:tcW w:w="1707" w:type="dxa"/>
                  <w:vMerge w:val="continue"/>
                  <w:tcBorders>
                    <w:tl2br w:val="nil"/>
                    <w:tr2bl w:val="nil"/>
                  </w:tcBorders>
                  <w:vAlign w:val="center"/>
                </w:tcPr>
                <w:p>
                  <w:pPr>
                    <w:pStyle w:val="154"/>
                    <w:rPr>
                      <w:color w:val="auto"/>
                    </w:rPr>
                  </w:pPr>
                </w:p>
              </w:tc>
              <w:tc>
                <w:tcPr>
                  <w:tcW w:w="2088" w:type="dxa"/>
                  <w:tcBorders>
                    <w:tl2br w:val="nil"/>
                    <w:tr2bl w:val="nil"/>
                  </w:tcBorders>
                </w:tcPr>
                <w:p>
                  <w:pPr>
                    <w:pStyle w:val="143"/>
                    <w:rPr>
                      <w:color w:val="auto"/>
                      <w:lang w:val="en-US"/>
                    </w:rPr>
                  </w:pPr>
                  <w:r>
                    <w:rPr>
                      <w:rFonts w:hint="eastAsia"/>
                      <w:color w:val="auto"/>
                      <w:lang w:val="en-US"/>
                    </w:rPr>
                    <w:t>SS</w:t>
                  </w:r>
                </w:p>
              </w:tc>
              <w:tc>
                <w:tcPr>
                  <w:tcW w:w="1623" w:type="dxa"/>
                  <w:tcBorders>
                    <w:tl2br w:val="nil"/>
                    <w:tr2bl w:val="nil"/>
                  </w:tcBorders>
                  <w:vAlign w:val="center"/>
                </w:tcPr>
                <w:p>
                  <w:pPr>
                    <w:pStyle w:val="154"/>
                    <w:rPr>
                      <w:color w:val="auto"/>
                    </w:rPr>
                  </w:pPr>
                  <w:r>
                    <w:rPr>
                      <w:rFonts w:hint="eastAsia"/>
                      <w:color w:val="auto"/>
                    </w:rPr>
                    <w:t>10</w:t>
                  </w:r>
                </w:p>
              </w:tc>
              <w:tc>
                <w:tcPr>
                  <w:tcW w:w="2108" w:type="dxa"/>
                  <w:tcBorders>
                    <w:tl2br w:val="nil"/>
                    <w:tr2bl w:val="nil"/>
                  </w:tcBorders>
                  <w:vAlign w:val="center"/>
                </w:tcPr>
                <w:p>
                  <w:pPr>
                    <w:pStyle w:val="143"/>
                    <w:rPr>
                      <w:color w:val="auto"/>
                      <w:lang w:val="en-US"/>
                    </w:rPr>
                  </w:pPr>
                  <w:r>
                    <w:rPr>
                      <w:color w:val="auto"/>
                    </w:rPr>
                    <w:fldChar w:fldCharType="begin"/>
                  </w:r>
                  <w:r>
                    <w:rPr>
                      <w:color w:val="auto"/>
                    </w:rPr>
                    <w:instrText xml:space="preserve"> =10*2160/1000000 \# "0.0000" \* MERGEFORMAT </w:instrText>
                  </w:r>
                  <w:r>
                    <w:rPr>
                      <w:color w:val="auto"/>
                    </w:rPr>
                    <w:fldChar w:fldCharType="separate"/>
                  </w:r>
                  <w:r>
                    <w:rPr>
                      <w:color w:val="auto"/>
                    </w:rPr>
                    <w:t>0.0216</w:t>
                  </w:r>
                  <w:r>
                    <w:rPr>
                      <w:color w:val="auto"/>
                    </w:rPr>
                    <w:fldChar w:fldCharType="end"/>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978" w:type="dxa"/>
                  <w:vMerge w:val="continue"/>
                  <w:tcBorders>
                    <w:tl2br w:val="nil"/>
                    <w:tr2bl w:val="nil"/>
                  </w:tcBorders>
                  <w:vAlign w:val="center"/>
                </w:tcPr>
                <w:p>
                  <w:pPr>
                    <w:pStyle w:val="154"/>
                    <w:rPr>
                      <w:color w:val="auto"/>
                    </w:rPr>
                  </w:pPr>
                </w:p>
              </w:tc>
              <w:tc>
                <w:tcPr>
                  <w:tcW w:w="1707" w:type="dxa"/>
                  <w:vMerge w:val="continue"/>
                  <w:tcBorders>
                    <w:tl2br w:val="nil"/>
                    <w:tr2bl w:val="nil"/>
                  </w:tcBorders>
                  <w:vAlign w:val="center"/>
                </w:tcPr>
                <w:p>
                  <w:pPr>
                    <w:pStyle w:val="154"/>
                    <w:rPr>
                      <w:color w:val="auto"/>
                    </w:rPr>
                  </w:pPr>
                </w:p>
              </w:tc>
              <w:tc>
                <w:tcPr>
                  <w:tcW w:w="2088" w:type="dxa"/>
                  <w:tcBorders>
                    <w:tl2br w:val="nil"/>
                    <w:tr2bl w:val="nil"/>
                  </w:tcBorders>
                </w:tcPr>
                <w:p>
                  <w:pPr>
                    <w:pStyle w:val="143"/>
                    <w:rPr>
                      <w:color w:val="auto"/>
                      <w:lang w:val="en-US"/>
                    </w:rPr>
                  </w:pPr>
                  <w:r>
                    <w:rPr>
                      <w:rFonts w:hint="eastAsia"/>
                      <w:color w:val="auto"/>
                      <w:lang w:val="en-US"/>
                    </w:rPr>
                    <w:t>NH</w:t>
                  </w:r>
                  <w:r>
                    <w:rPr>
                      <w:rFonts w:hint="eastAsia"/>
                      <w:color w:val="auto"/>
                      <w:vertAlign w:val="subscript"/>
                      <w:lang w:val="en-US"/>
                    </w:rPr>
                    <w:t>3</w:t>
                  </w:r>
                  <w:r>
                    <w:rPr>
                      <w:rFonts w:hint="eastAsia"/>
                      <w:color w:val="auto"/>
                      <w:lang w:val="en-US"/>
                    </w:rPr>
                    <w:t>-N</w:t>
                  </w:r>
                </w:p>
              </w:tc>
              <w:tc>
                <w:tcPr>
                  <w:tcW w:w="1623" w:type="dxa"/>
                  <w:tcBorders>
                    <w:tl2br w:val="nil"/>
                    <w:tr2bl w:val="nil"/>
                  </w:tcBorders>
                  <w:vAlign w:val="center"/>
                </w:tcPr>
                <w:p>
                  <w:pPr>
                    <w:pStyle w:val="154"/>
                    <w:rPr>
                      <w:color w:val="auto"/>
                    </w:rPr>
                  </w:pPr>
                  <w:r>
                    <w:rPr>
                      <w:rFonts w:hint="eastAsia"/>
                      <w:color w:val="auto"/>
                    </w:rPr>
                    <w:t>5</w:t>
                  </w:r>
                </w:p>
              </w:tc>
              <w:tc>
                <w:tcPr>
                  <w:tcW w:w="2108" w:type="dxa"/>
                  <w:tcBorders>
                    <w:tl2br w:val="nil"/>
                    <w:tr2bl w:val="nil"/>
                  </w:tcBorders>
                  <w:vAlign w:val="center"/>
                </w:tcPr>
                <w:p>
                  <w:pPr>
                    <w:pStyle w:val="143"/>
                    <w:rPr>
                      <w:color w:val="auto"/>
                    </w:rPr>
                  </w:pPr>
                  <w:r>
                    <w:rPr>
                      <w:color w:val="auto"/>
                    </w:rPr>
                    <w:fldChar w:fldCharType="begin"/>
                  </w:r>
                  <w:r>
                    <w:rPr>
                      <w:color w:val="auto"/>
                    </w:rPr>
                    <w:instrText xml:space="preserve"> =5*2160/1000000 \# "0.0000" \* MERGEFORMAT </w:instrText>
                  </w:r>
                  <w:r>
                    <w:rPr>
                      <w:color w:val="auto"/>
                    </w:rPr>
                    <w:fldChar w:fldCharType="separate"/>
                  </w:r>
                  <w:r>
                    <w:rPr>
                      <w:color w:val="auto"/>
                    </w:rPr>
                    <w:t>0.0108</w:t>
                  </w:r>
                  <w:r>
                    <w:rPr>
                      <w:color w:val="auto"/>
                    </w:rPr>
                    <w:fldChar w:fldCharType="end"/>
                  </w:r>
                </w:p>
              </w:tc>
            </w:tr>
          </w:tbl>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2</w:t>
            </w:r>
            <w:r>
              <w:rPr>
                <w:rFonts w:eastAsia="宋体" w:cs="Times New Roman"/>
                <w:b/>
                <w:bCs w:val="0"/>
                <w:color w:val="auto"/>
                <w:sz w:val="30"/>
                <w:szCs w:val="30"/>
                <w:lang w:val="en-GB"/>
              </w:rPr>
              <w:t>.</w:t>
            </w:r>
            <w:r>
              <w:rPr>
                <w:rFonts w:hint="eastAsia" w:eastAsia="宋体" w:cs="Times New Roman"/>
                <w:b/>
                <w:bCs w:val="0"/>
                <w:color w:val="auto"/>
                <w:sz w:val="30"/>
                <w:szCs w:val="30"/>
              </w:rPr>
              <w:t>3废水治理措施可行性和依托污水处理厂处理可行性分析</w:t>
            </w:r>
          </w:p>
          <w:p>
            <w:pPr>
              <w:pStyle w:val="48"/>
              <w:ind w:firstLine="480"/>
              <w:rPr>
                <w:color w:val="auto"/>
              </w:rPr>
            </w:pPr>
            <w:r>
              <w:rPr>
                <w:rFonts w:hint="eastAsia"/>
                <w:color w:val="auto"/>
              </w:rPr>
              <w:t>1、废水治理措施可行性</w:t>
            </w:r>
          </w:p>
          <w:p>
            <w:pPr>
              <w:pStyle w:val="103"/>
              <w:spacing w:after="0"/>
              <w:ind w:left="0" w:leftChars="0" w:firstLine="480"/>
              <w:rPr>
                <w:color w:val="auto"/>
              </w:rPr>
            </w:pPr>
            <w:r>
              <w:rPr>
                <w:rFonts w:hint="eastAsia"/>
                <w:color w:val="auto"/>
              </w:rPr>
              <w:t>(1)生活污水处理工艺</w:t>
            </w:r>
          </w:p>
          <w:p>
            <w:pPr>
              <w:pStyle w:val="103"/>
              <w:spacing w:after="0"/>
              <w:ind w:left="0" w:leftChars="0" w:firstLine="480"/>
              <w:rPr>
                <w:color w:val="auto"/>
              </w:rPr>
            </w:pPr>
            <w:r>
              <w:rPr>
                <w:rFonts w:hint="eastAsia"/>
                <w:color w:val="auto"/>
              </w:rPr>
              <w:t>扩建项目生活污水经三级化粪池处理后纳入市政污水管网，排入长乐区</w:t>
            </w:r>
            <w:r>
              <w:rPr>
                <w:rFonts w:hint="eastAsia"/>
                <w:color w:val="auto"/>
                <w:lang w:val="en-US" w:eastAsia="zh-CN"/>
              </w:rPr>
              <w:t>滨海</w:t>
            </w:r>
            <w:r>
              <w:rPr>
                <w:rFonts w:hint="eastAsia"/>
                <w:color w:val="auto"/>
              </w:rPr>
              <w:t>污水处理厂深度处理。</w:t>
            </w:r>
          </w:p>
          <w:p>
            <w:pPr>
              <w:pStyle w:val="103"/>
              <w:spacing w:after="0"/>
              <w:ind w:left="0" w:leftChars="0" w:firstLine="480"/>
              <w:rPr>
                <w:color w:val="auto"/>
              </w:rPr>
            </w:pPr>
            <w:r>
              <w:rPr>
                <w:rFonts w:hint="eastAsia"/>
                <w:color w:val="auto"/>
              </w:rPr>
              <w:t>三级化粪池由相连的三个池子组成，中间由过粪管联通，主要是利用厌氧发酵、中层过粪和寄生虫卵比重大于一般混合液比重而易于沉淀原理，粪便在池内经过30天以上的发酵分解，中层粪液依次由1池流至3池，以达沉淀或杀灭粪便中寄生虫卵和肠道致病菌的目的，第3池粪液成为优质化肥。</w:t>
            </w:r>
          </w:p>
          <w:p>
            <w:pPr>
              <w:pStyle w:val="103"/>
              <w:spacing w:after="0"/>
              <w:ind w:left="0" w:leftChars="0" w:firstLine="480"/>
              <w:rPr>
                <w:color w:val="auto"/>
              </w:rPr>
            </w:pPr>
            <w:r>
              <w:rPr>
                <w:rFonts w:hint="eastAsia"/>
                <w:color w:val="auto"/>
              </w:rPr>
              <w:t>新鲜粪便由进粪口进入第一池，池内粪便开始发酵分解、因比重不同粪液可自然分为三层，上层为糊粪皮，下层为块状或颖状粪渣，中层为比较澄清的粪液。在上层粪皮和下层粪渣中含细菌和寄生虫卵最多，中层含虫卵最少，初步发酵的中层粪液经过粪管溢流至第二池，而将大部分未经充分发酵的粪皮和粪渣阻窗在第一池内继续发酵。流入第二池的粪液进一步发酵分解，虫卵继续下沉，病原体逐渐死亡，粪液得到进一步无害化，产生的粪皮和粪厚度比第一池显著减少。流入第三池的粪液一般已经腐熟，其中病菌和寄生虫卵已基本杀灭，第三池功能主要起储存基本无害化的粪液作用。</w:t>
            </w:r>
          </w:p>
          <w:p>
            <w:pPr>
              <w:pStyle w:val="103"/>
              <w:spacing w:after="0"/>
              <w:ind w:left="0" w:leftChars="0" w:firstLine="480"/>
              <w:rPr>
                <w:color w:val="auto"/>
              </w:rPr>
            </w:pPr>
            <w:r>
              <w:rPr>
                <w:rFonts w:hint="eastAsia"/>
                <w:color w:val="auto"/>
              </w:rPr>
              <w:t>(2)三级化粪池处理能力可行性</w:t>
            </w:r>
          </w:p>
          <w:p>
            <w:pPr>
              <w:pStyle w:val="48"/>
              <w:ind w:firstLine="480"/>
              <w:rPr>
                <w:color w:val="auto"/>
                <w:highlight w:val="none"/>
              </w:rPr>
            </w:pPr>
            <w:r>
              <w:rPr>
                <w:rFonts w:hint="eastAsia"/>
                <w:color w:val="auto"/>
                <w:highlight w:val="none"/>
              </w:rPr>
              <w:t>福州市长乐区力驰针纺有限公司厂区已建的三级化粪池容积为30m</w:t>
            </w:r>
            <w:r>
              <w:rPr>
                <w:rFonts w:hint="eastAsia"/>
                <w:color w:val="auto"/>
                <w:highlight w:val="none"/>
                <w:vertAlign w:val="superscript"/>
              </w:rPr>
              <w:t>3</w:t>
            </w:r>
            <w:r>
              <w:rPr>
                <w:rFonts w:hint="eastAsia"/>
                <w:color w:val="auto"/>
                <w:highlight w:val="none"/>
              </w:rPr>
              <w:t>，生活污水在三级化粪池的停留时间一般在12-24h（本项目取24h），则厂区已建的三级化粪池处理能力为30t/d</w:t>
            </w:r>
            <w:r>
              <w:rPr>
                <w:rFonts w:hint="eastAsia"/>
                <w:color w:val="auto"/>
                <w:highlight w:val="none"/>
                <w:lang w:eastAsia="zh-CN"/>
              </w:rPr>
              <w:t>，</w:t>
            </w:r>
            <w:r>
              <w:rPr>
                <w:rFonts w:hint="eastAsia"/>
                <w:color w:val="auto"/>
                <w:highlight w:val="none"/>
                <w:lang w:val="en-US" w:eastAsia="zh-CN"/>
              </w:rPr>
              <w:t>根据调查，</w:t>
            </w:r>
            <w:r>
              <w:rPr>
                <w:rFonts w:hint="eastAsia"/>
                <w:color w:val="auto"/>
                <w:highlight w:val="none"/>
              </w:rPr>
              <w:t>厂区已建三级化粪池</w:t>
            </w:r>
            <w:r>
              <w:rPr>
                <w:rFonts w:hint="eastAsia"/>
                <w:color w:val="auto"/>
                <w:highlight w:val="none"/>
                <w:lang w:val="en-US" w:eastAsia="zh-CN"/>
              </w:rPr>
              <w:t>还剩余27t/d的处理能力，</w:t>
            </w:r>
            <w:r>
              <w:rPr>
                <w:rFonts w:hint="eastAsia"/>
                <w:color w:val="auto"/>
                <w:highlight w:val="none"/>
              </w:rPr>
              <w:t>扩建项目生活污水排放量为7.2t/d，厂区已建的三级化粪池容积能满足扩建项目生活污水量的要求。</w:t>
            </w:r>
          </w:p>
          <w:p>
            <w:pPr>
              <w:pStyle w:val="48"/>
              <w:ind w:firstLine="480"/>
              <w:rPr>
                <w:color w:val="auto"/>
              </w:rPr>
            </w:pPr>
            <w:r>
              <w:rPr>
                <w:rFonts w:hint="eastAsia"/>
                <w:color w:val="auto"/>
              </w:rPr>
              <w:t>2、依托污水处理厂处理可行性分析</w:t>
            </w:r>
          </w:p>
          <w:p>
            <w:pPr>
              <w:pStyle w:val="48"/>
              <w:ind w:firstLine="480"/>
              <w:rPr>
                <w:color w:val="auto"/>
              </w:rPr>
            </w:pPr>
            <w:r>
              <w:rPr>
                <w:color w:val="auto"/>
              </w:rPr>
              <w:t>（1）长乐区</w:t>
            </w:r>
            <w:r>
              <w:rPr>
                <w:rFonts w:hint="eastAsia"/>
                <w:color w:val="auto"/>
                <w:lang w:val="en-US" w:eastAsia="zh-CN"/>
              </w:rPr>
              <w:t>滨海</w:t>
            </w:r>
            <w:r>
              <w:rPr>
                <w:color w:val="auto"/>
              </w:rPr>
              <w:t>污水处理厂概况</w:t>
            </w:r>
          </w:p>
          <w:p>
            <w:pPr>
              <w:pStyle w:val="103"/>
              <w:spacing w:after="0"/>
              <w:ind w:left="0" w:leftChars="0" w:firstLine="480"/>
              <w:rPr>
                <w:rFonts w:hint="eastAsia" w:eastAsia="宋体"/>
                <w:color w:val="auto"/>
                <w:lang w:eastAsia="zh-CN"/>
              </w:rPr>
            </w:pPr>
            <w:r>
              <w:rPr>
                <w:rFonts w:hint="eastAsia"/>
                <w:color w:val="auto"/>
                <w:lang w:val="en-US" w:eastAsia="zh-CN"/>
              </w:rPr>
              <w:t>长乐区</w:t>
            </w:r>
            <w:r>
              <w:rPr>
                <w:rFonts w:hint="eastAsia"/>
                <w:color w:val="auto"/>
              </w:rPr>
              <w:t>滨海工业区污水处理厂于2016年建设，</w:t>
            </w:r>
            <w:r>
              <w:rPr>
                <w:rFonts w:hint="eastAsia"/>
                <w:color w:val="auto"/>
                <w:lang w:val="en-US" w:eastAsia="zh-CN"/>
              </w:rPr>
              <w:t>位于长乐区松下镇首祉片，</w:t>
            </w:r>
            <w:r>
              <w:rPr>
                <w:rFonts w:hint="eastAsia"/>
                <w:color w:val="auto"/>
              </w:rPr>
              <w:t>服务范围包括滨海工业区、空港工业集中区、漳港片区、古槐镇、江田镇等片区区域，根据《福州市滨海工业区污水处理厂提标改造及二期扩建工程环境影响报告书》可知，项目进出水水质指标如下表4.</w:t>
            </w:r>
            <w:r>
              <w:rPr>
                <w:rFonts w:hint="eastAsia"/>
                <w:color w:val="auto"/>
                <w:lang w:val="en-US" w:eastAsia="zh-CN"/>
              </w:rPr>
              <w:t>2</w:t>
            </w:r>
            <w:r>
              <w:rPr>
                <w:rFonts w:hint="eastAsia"/>
                <w:color w:val="auto"/>
              </w:rPr>
              <w:t>-4，一期工程规模3万吨/日，采用水解+MBBR+高效工艺，于2020年9月底完成建设，二期工程规模6万吨/日，采用水解+改良型卡式氧化沟+高效+精密+消毒工艺，于2019年10月完成建设，尾水达《城镇污水处理厂污染物排放标准》（GB18918-2002）中的一级A标准</w:t>
            </w:r>
            <w:r>
              <w:rPr>
                <w:rFonts w:hint="eastAsia"/>
                <w:color w:val="auto"/>
                <w:lang w:eastAsia="zh-CN"/>
              </w:rPr>
              <w:t>。</w:t>
            </w:r>
          </w:p>
          <w:p>
            <w:pPr>
              <w:pStyle w:val="103"/>
              <w:spacing w:after="0" w:line="240" w:lineRule="auto"/>
              <w:ind w:left="0" w:leftChars="0" w:firstLine="0" w:firstLineChars="0"/>
              <w:jc w:val="center"/>
              <w:rPr>
                <w:color w:val="auto"/>
              </w:rPr>
            </w:pPr>
            <w:r>
              <w:rPr>
                <w:b/>
                <w:bCs w:val="0"/>
                <w:color w:val="auto"/>
              </w:rPr>
              <w:t>表4.2-</w:t>
            </w:r>
            <w:r>
              <w:rPr>
                <w:rFonts w:hint="eastAsia"/>
                <w:b/>
                <w:bCs w:val="0"/>
                <w:color w:val="auto"/>
                <w:lang w:val="en-US" w:eastAsia="zh-CN"/>
              </w:rPr>
              <w:t>4</w:t>
            </w:r>
            <w:r>
              <w:rPr>
                <w:rFonts w:hint="eastAsia"/>
                <w:b/>
                <w:bCs w:val="0"/>
                <w:color w:val="auto"/>
              </w:rPr>
              <w:t xml:space="preserve"> </w:t>
            </w:r>
            <w:r>
              <w:rPr>
                <w:rFonts w:hint="eastAsia"/>
                <w:b/>
                <w:bCs w:val="0"/>
                <w:color w:val="auto"/>
                <w:lang w:val="en-US" w:eastAsia="zh-CN"/>
              </w:rPr>
              <w:t xml:space="preserve"> </w:t>
            </w:r>
            <w:r>
              <w:rPr>
                <w:rFonts w:hint="eastAsia"/>
                <w:b/>
                <w:bCs w:val="0"/>
                <w:color w:val="auto"/>
              </w:rPr>
              <w:t>污水处理厂进出水水质标准</w:t>
            </w:r>
            <w:r>
              <w:rPr>
                <w:rFonts w:hint="eastAsia"/>
                <w:b/>
                <w:bCs w:val="0"/>
                <w:color w:val="auto"/>
                <w:lang w:val="en-US" w:eastAsia="zh-CN"/>
              </w:rPr>
              <w:t xml:space="preserve">  （mg/L pH除外）</w:t>
            </w:r>
            <w:r>
              <w:drawing>
                <wp:inline distT="0" distB="0" distL="114300" distR="114300">
                  <wp:extent cx="5299075" cy="801370"/>
                  <wp:effectExtent l="0" t="0" r="0" b="0"/>
                  <wp:docPr id="2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5"/>
                          <pic:cNvPicPr>
                            <a:picLocks noChangeAspect="1"/>
                          </pic:cNvPicPr>
                        </pic:nvPicPr>
                        <pic:blipFill>
                          <a:blip r:embed="rId33"/>
                          <a:srcRect t="6101"/>
                          <a:stretch>
                            <a:fillRect/>
                          </a:stretch>
                        </pic:blipFill>
                        <pic:spPr>
                          <a:xfrm>
                            <a:off x="0" y="0"/>
                            <a:ext cx="5299075" cy="801370"/>
                          </a:xfrm>
                          <a:prstGeom prst="rect">
                            <a:avLst/>
                          </a:prstGeom>
                          <a:noFill/>
                          <a:ln>
                            <a:noFill/>
                          </a:ln>
                        </pic:spPr>
                      </pic:pic>
                    </a:graphicData>
                  </a:graphic>
                </wp:inline>
              </w:drawing>
            </w:r>
          </w:p>
          <w:p>
            <w:pPr>
              <w:pStyle w:val="103"/>
              <w:spacing w:after="0"/>
              <w:ind w:left="0" w:leftChars="0" w:firstLine="480"/>
              <w:rPr>
                <w:color w:val="auto"/>
              </w:rPr>
            </w:pPr>
            <w:r>
              <w:rPr>
                <w:rFonts w:hint="eastAsia"/>
                <w:color w:val="auto"/>
              </w:rPr>
              <w:t>扩建项目位于</w:t>
            </w:r>
            <w:r>
              <w:rPr>
                <w:color w:val="auto"/>
                <w:szCs w:val="21"/>
              </w:rPr>
              <w:t>福建省</w:t>
            </w:r>
            <w:r>
              <w:rPr>
                <w:rFonts w:hint="eastAsia"/>
                <w:color w:val="auto"/>
                <w:szCs w:val="21"/>
              </w:rPr>
              <w:t>福州</w:t>
            </w:r>
            <w:r>
              <w:rPr>
                <w:color w:val="auto"/>
                <w:szCs w:val="21"/>
              </w:rPr>
              <w:t>市</w:t>
            </w:r>
            <w:r>
              <w:rPr>
                <w:rFonts w:hint="eastAsia"/>
                <w:color w:val="auto"/>
                <w:szCs w:val="21"/>
              </w:rPr>
              <w:t>长乐区漳港街道渡桥村，属于</w:t>
            </w:r>
            <w:r>
              <w:rPr>
                <w:rFonts w:hint="eastAsia"/>
                <w:color w:val="auto"/>
              </w:rPr>
              <w:t>漳港</w:t>
            </w:r>
            <w:r>
              <w:rPr>
                <w:rFonts w:hint="eastAsia"/>
                <w:color w:val="auto"/>
                <w:lang w:val="en-US" w:eastAsia="zh-CN"/>
              </w:rPr>
              <w:t>片</w:t>
            </w:r>
            <w:r>
              <w:rPr>
                <w:rFonts w:hint="eastAsia"/>
                <w:color w:val="auto"/>
              </w:rPr>
              <w:t>区范围，属于</w:t>
            </w:r>
            <w:r>
              <w:rPr>
                <w:rFonts w:hint="eastAsia"/>
                <w:color w:val="auto"/>
                <w:lang w:val="en-US" w:eastAsia="zh-CN"/>
              </w:rPr>
              <w:t>长乐区滨海</w:t>
            </w:r>
            <w:r>
              <w:rPr>
                <w:rFonts w:hint="eastAsia"/>
                <w:color w:val="auto"/>
              </w:rPr>
              <w:t>污水处理厂服务范围。</w:t>
            </w:r>
          </w:p>
          <w:p>
            <w:pPr>
              <w:pStyle w:val="91"/>
              <w:rPr>
                <w:color w:val="auto"/>
              </w:rPr>
            </w:pPr>
            <w:r>
              <w:rPr>
                <w:rFonts w:hint="eastAsia"/>
                <w:color w:val="auto"/>
              </w:rPr>
              <w:t>（2）接入</w:t>
            </w:r>
            <w:r>
              <w:rPr>
                <w:color w:val="auto"/>
              </w:rPr>
              <w:t>污水处理厂可行性分析</w:t>
            </w:r>
          </w:p>
          <w:p>
            <w:pPr>
              <w:pStyle w:val="91"/>
              <w:rPr>
                <w:color w:val="auto"/>
              </w:rPr>
            </w:pPr>
            <w:r>
              <w:rPr>
                <w:rFonts w:hint="eastAsia" w:ascii="宋体" w:hAnsi="宋体" w:cs="宋体"/>
                <w:color w:val="auto"/>
              </w:rPr>
              <w:t>①</w:t>
            </w:r>
            <w:r>
              <w:rPr>
                <w:color w:val="auto"/>
              </w:rPr>
              <w:t>废水水量的影响</w:t>
            </w:r>
          </w:p>
          <w:p>
            <w:pPr>
              <w:pStyle w:val="91"/>
              <w:rPr>
                <w:color w:val="auto"/>
              </w:rPr>
            </w:pPr>
            <w:r>
              <w:rPr>
                <w:rFonts w:hint="eastAsia"/>
                <w:color w:val="auto"/>
              </w:rPr>
              <w:t>扩建项目生活污水</w:t>
            </w:r>
            <w:r>
              <w:rPr>
                <w:color w:val="auto"/>
              </w:rPr>
              <w:t>排放量为</w:t>
            </w:r>
            <w:r>
              <w:rPr>
                <w:rFonts w:hint="eastAsia"/>
                <w:color w:val="auto"/>
              </w:rPr>
              <w:t>7.2</w:t>
            </w:r>
            <w:r>
              <w:rPr>
                <w:color w:val="auto"/>
              </w:rPr>
              <w:t>t/d（</w:t>
            </w:r>
            <w:r>
              <w:rPr>
                <w:rFonts w:hint="eastAsia"/>
                <w:color w:val="auto"/>
              </w:rPr>
              <w:t>2160</w:t>
            </w:r>
            <w:r>
              <w:rPr>
                <w:color w:val="auto"/>
              </w:rPr>
              <w:t>t/a），</w:t>
            </w:r>
            <w:r>
              <w:rPr>
                <w:rFonts w:hint="eastAsia"/>
                <w:color w:val="auto"/>
              </w:rPr>
              <w:t>长乐区</w:t>
            </w:r>
            <w:r>
              <w:rPr>
                <w:rFonts w:hint="eastAsia"/>
                <w:color w:val="auto"/>
                <w:lang w:val="en-US" w:eastAsia="zh-CN"/>
              </w:rPr>
              <w:t>滨海</w:t>
            </w:r>
            <w:r>
              <w:rPr>
                <w:rFonts w:hint="eastAsia"/>
                <w:color w:val="auto"/>
              </w:rPr>
              <w:t>污水处理厂</w:t>
            </w:r>
            <w:r>
              <w:rPr>
                <w:rFonts w:hint="eastAsia"/>
                <w:color w:val="auto"/>
                <w:lang w:val="en-US" w:eastAsia="zh-CN"/>
              </w:rPr>
              <w:t>已建处理规模为9万t/d，</w:t>
            </w:r>
            <w:r>
              <w:rPr>
                <w:color w:val="auto"/>
              </w:rPr>
              <w:t>根据福州</w:t>
            </w:r>
            <w:r>
              <w:rPr>
                <w:rFonts w:hint="eastAsia"/>
                <w:color w:val="auto"/>
                <w:lang w:val="en-US" w:eastAsia="zh-CN"/>
              </w:rPr>
              <w:t>恒友水务</w:t>
            </w:r>
            <w:r>
              <w:rPr>
                <w:color w:val="auto"/>
              </w:rPr>
              <w:t>有限公司提供信息可知，</w:t>
            </w:r>
            <w:r>
              <w:rPr>
                <w:rFonts w:hint="eastAsia"/>
                <w:color w:val="auto"/>
                <w:lang w:val="en-US" w:eastAsia="zh-CN"/>
              </w:rPr>
              <w:t>现状处理量约6万t/d，</w:t>
            </w:r>
            <w:r>
              <w:rPr>
                <w:color w:val="auto"/>
              </w:rPr>
              <w:t>目前污水处理厂剩余处理能力约</w:t>
            </w:r>
            <w:r>
              <w:rPr>
                <w:rFonts w:hint="eastAsia"/>
                <w:color w:val="auto"/>
                <w:lang w:val="en-US" w:eastAsia="zh-CN"/>
              </w:rPr>
              <w:t>3</w:t>
            </w:r>
            <w:r>
              <w:rPr>
                <w:rFonts w:hint="eastAsia"/>
                <w:color w:val="auto"/>
              </w:rPr>
              <w:t>万</w:t>
            </w:r>
            <w:r>
              <w:rPr>
                <w:color w:val="auto"/>
              </w:rPr>
              <w:t>t/d</w:t>
            </w:r>
            <w:r>
              <w:rPr>
                <w:rFonts w:hint="eastAsia"/>
                <w:color w:val="auto"/>
              </w:rPr>
              <w:t>，扩建项目</w:t>
            </w:r>
            <w:r>
              <w:rPr>
                <w:color w:val="auto"/>
              </w:rPr>
              <w:t>污水排放量占污水处理厂剩余处理能力的</w:t>
            </w:r>
            <w:r>
              <w:rPr>
                <w:rFonts w:hint="eastAsia"/>
                <w:color w:val="auto"/>
              </w:rPr>
              <w:t>0.</w:t>
            </w:r>
            <w:r>
              <w:rPr>
                <w:rFonts w:hint="eastAsia"/>
                <w:color w:val="auto"/>
                <w:lang w:val="en-US" w:eastAsia="zh-CN"/>
              </w:rPr>
              <w:t>024</w:t>
            </w:r>
            <w:r>
              <w:rPr>
                <w:color w:val="auto"/>
              </w:rPr>
              <w:t>%，</w:t>
            </w:r>
            <w:r>
              <w:rPr>
                <w:rFonts w:hint="eastAsia"/>
                <w:color w:val="auto"/>
              </w:rPr>
              <w:t>扩建</w:t>
            </w:r>
            <w:r>
              <w:rPr>
                <w:color w:val="auto"/>
              </w:rPr>
              <w:t>项目</w:t>
            </w:r>
            <w:r>
              <w:rPr>
                <w:rFonts w:hint="eastAsia"/>
                <w:color w:val="auto"/>
              </w:rPr>
              <w:t>所排放污水量占比较小，不会对其处理能力产生冲击。</w:t>
            </w:r>
          </w:p>
          <w:p>
            <w:pPr>
              <w:pStyle w:val="91"/>
              <w:rPr>
                <w:color w:val="auto"/>
              </w:rPr>
            </w:pPr>
            <w:r>
              <w:rPr>
                <w:rFonts w:hint="eastAsia" w:ascii="宋体" w:hAnsi="宋体" w:cs="宋体"/>
                <w:color w:val="auto"/>
              </w:rPr>
              <w:t>②</w:t>
            </w:r>
            <w:r>
              <w:rPr>
                <w:color w:val="auto"/>
              </w:rPr>
              <w:t>废水水质的影响</w:t>
            </w:r>
          </w:p>
          <w:p>
            <w:pPr>
              <w:pStyle w:val="91"/>
              <w:rPr>
                <w:color w:val="auto"/>
              </w:rPr>
            </w:pPr>
            <w:r>
              <w:rPr>
                <w:rFonts w:hint="eastAsia"/>
                <w:color w:val="auto"/>
              </w:rPr>
              <w:t>扩建项目生活污水经化粪池处理后各污染物浓度均</w:t>
            </w:r>
            <w:r>
              <w:rPr>
                <w:color w:val="auto"/>
              </w:rPr>
              <w:t>可以达到《污水综合排放标准》</w:t>
            </w:r>
            <w:r>
              <w:rPr>
                <w:rFonts w:hint="eastAsia"/>
                <w:color w:val="auto"/>
              </w:rPr>
              <w:t>（</w:t>
            </w:r>
            <w:r>
              <w:rPr>
                <w:color w:val="auto"/>
              </w:rPr>
              <w:t>GB8978-1996</w:t>
            </w:r>
            <w:r>
              <w:rPr>
                <w:rFonts w:hint="eastAsia"/>
                <w:color w:val="auto"/>
              </w:rPr>
              <w:t>）</w:t>
            </w:r>
            <w:r>
              <w:rPr>
                <w:color w:val="auto"/>
              </w:rPr>
              <w:t>表4中三级标准（NH</w:t>
            </w:r>
            <w:r>
              <w:rPr>
                <w:color w:val="auto"/>
                <w:vertAlign w:val="subscript"/>
              </w:rPr>
              <w:t>3</w:t>
            </w:r>
            <w:r>
              <w:rPr>
                <w:color w:val="auto"/>
              </w:rPr>
              <w:t>-N执行《污水排入城镇下水道水质标准》</w:t>
            </w:r>
            <w:r>
              <w:rPr>
                <w:rFonts w:hint="eastAsia"/>
                <w:color w:val="auto"/>
              </w:rPr>
              <w:t>（</w:t>
            </w:r>
            <w:r>
              <w:rPr>
                <w:color w:val="auto"/>
              </w:rPr>
              <w:t>GB/T31962-2015</w:t>
            </w:r>
            <w:r>
              <w:rPr>
                <w:rFonts w:hint="eastAsia"/>
                <w:color w:val="auto"/>
              </w:rPr>
              <w:t>）</w:t>
            </w:r>
            <w:r>
              <w:rPr>
                <w:color w:val="auto"/>
              </w:rPr>
              <w:t>B等级）</w:t>
            </w:r>
            <w:r>
              <w:rPr>
                <w:rFonts w:hint="eastAsia"/>
                <w:color w:val="auto"/>
              </w:rPr>
              <w:t>。</w:t>
            </w:r>
            <w:r>
              <w:rPr>
                <w:color w:val="auto"/>
              </w:rPr>
              <w:t>从水质分析，项目预处理后的废水</w:t>
            </w:r>
            <w:r>
              <w:rPr>
                <w:rFonts w:hint="eastAsia"/>
                <w:color w:val="auto"/>
              </w:rPr>
              <w:t>水质</w:t>
            </w:r>
            <w:r>
              <w:rPr>
                <w:color w:val="auto"/>
              </w:rPr>
              <w:t>纳入不会对污水处理厂的正常运行造成影响。</w:t>
            </w:r>
          </w:p>
          <w:p>
            <w:pPr>
              <w:pStyle w:val="91"/>
              <w:rPr>
                <w:color w:val="auto"/>
              </w:rPr>
            </w:pPr>
            <w:r>
              <w:rPr>
                <w:rFonts w:hint="eastAsia" w:ascii="宋体" w:hAnsi="宋体" w:cs="宋体"/>
                <w:color w:val="auto"/>
              </w:rPr>
              <w:t>③</w:t>
            </w:r>
            <w:r>
              <w:rPr>
                <w:color w:val="auto"/>
              </w:rPr>
              <w:t>与污水管网建设的衔接关系</w:t>
            </w:r>
          </w:p>
          <w:p>
            <w:pPr>
              <w:pStyle w:val="91"/>
              <w:rPr>
                <w:color w:val="auto"/>
              </w:rPr>
            </w:pPr>
            <w:r>
              <w:rPr>
                <w:rFonts w:hint="eastAsia"/>
                <w:color w:val="auto"/>
              </w:rPr>
              <w:t>扩建项目位于</w:t>
            </w:r>
            <w:r>
              <w:rPr>
                <w:color w:val="auto"/>
                <w:szCs w:val="21"/>
              </w:rPr>
              <w:t>福建省</w:t>
            </w:r>
            <w:r>
              <w:rPr>
                <w:rFonts w:hint="eastAsia"/>
                <w:color w:val="auto"/>
                <w:szCs w:val="21"/>
              </w:rPr>
              <w:t>福州</w:t>
            </w:r>
            <w:r>
              <w:rPr>
                <w:color w:val="auto"/>
                <w:szCs w:val="21"/>
              </w:rPr>
              <w:t>市</w:t>
            </w:r>
            <w:r>
              <w:rPr>
                <w:rFonts w:hint="eastAsia"/>
                <w:color w:val="auto"/>
                <w:szCs w:val="21"/>
              </w:rPr>
              <w:t>长乐区漳港街道渡桥村</w:t>
            </w:r>
            <w:r>
              <w:rPr>
                <w:rFonts w:hint="eastAsia"/>
                <w:color w:val="auto"/>
              </w:rPr>
              <w:t>，</w:t>
            </w:r>
            <w:r>
              <w:rPr>
                <w:rFonts w:hint="eastAsia"/>
                <w:color w:val="auto"/>
                <w:lang w:val="en-US" w:eastAsia="zh-CN"/>
              </w:rPr>
              <w:t>位于福州市长乐区力驰针纺有限公司场地内，</w:t>
            </w:r>
            <w:r>
              <w:rPr>
                <w:rFonts w:hint="eastAsia"/>
                <w:color w:val="auto"/>
              </w:rPr>
              <w:t>所在区域</w:t>
            </w:r>
            <w:r>
              <w:rPr>
                <w:rFonts w:hint="eastAsia"/>
                <w:color w:val="auto"/>
                <w:lang w:val="en-US" w:eastAsia="zh-CN"/>
              </w:rPr>
              <w:t>为长乐区滨海工业区污水处理厂服务范围，目前</w:t>
            </w:r>
            <w:r>
              <w:rPr>
                <w:rFonts w:hint="eastAsia"/>
                <w:color w:val="auto"/>
              </w:rPr>
              <w:t>污水管网已接入</w:t>
            </w:r>
            <w:r>
              <w:rPr>
                <w:rFonts w:hint="eastAsia"/>
                <w:color w:val="auto"/>
                <w:lang w:val="en-US" w:eastAsia="zh-CN"/>
              </w:rPr>
              <w:t>项目所在区域，扩建项目建成投产后，污水</w:t>
            </w:r>
            <w:r>
              <w:rPr>
                <w:color w:val="auto"/>
              </w:rPr>
              <w:t>可以通过</w:t>
            </w:r>
            <w:r>
              <w:rPr>
                <w:rFonts w:hint="eastAsia"/>
                <w:color w:val="auto"/>
                <w:lang w:val="en-US" w:eastAsia="zh-CN"/>
              </w:rPr>
              <w:t>厂区外敷设的</w:t>
            </w:r>
            <w:r>
              <w:rPr>
                <w:rFonts w:hint="eastAsia"/>
                <w:color w:val="auto"/>
              </w:rPr>
              <w:t>市政</w:t>
            </w:r>
            <w:r>
              <w:rPr>
                <w:color w:val="auto"/>
              </w:rPr>
              <w:t>污水管网排入</w:t>
            </w:r>
            <w:r>
              <w:rPr>
                <w:rFonts w:hint="eastAsia"/>
                <w:color w:val="auto"/>
              </w:rPr>
              <w:t>长乐区</w:t>
            </w:r>
            <w:r>
              <w:rPr>
                <w:rFonts w:hint="eastAsia"/>
                <w:color w:val="auto"/>
                <w:lang w:val="en-US" w:eastAsia="zh-CN"/>
              </w:rPr>
              <w:t>滨海</w:t>
            </w:r>
            <w:r>
              <w:rPr>
                <w:rFonts w:hint="eastAsia"/>
                <w:color w:val="auto"/>
              </w:rPr>
              <w:t>污水处理厂</w:t>
            </w:r>
            <w:r>
              <w:rPr>
                <w:rFonts w:hint="eastAsia"/>
                <w:color w:val="auto"/>
                <w:lang w:val="en-US" w:eastAsia="zh-CN"/>
              </w:rPr>
              <w:t>（排水许可证见附件18）。</w:t>
            </w:r>
          </w:p>
          <w:p>
            <w:pPr>
              <w:pStyle w:val="194"/>
              <w:spacing w:line="360" w:lineRule="auto"/>
              <w:ind w:firstLine="480"/>
              <w:rPr>
                <w:rFonts w:ascii="Times New Roman" w:hAnsi="Times New Roman" w:eastAsia="宋体" w:cs="Times New Roman"/>
                <w:color w:val="auto"/>
                <w:kern w:val="2"/>
              </w:rPr>
            </w:pPr>
            <w:r>
              <w:rPr>
                <w:rFonts w:hint="eastAsia" w:ascii="Times New Roman" w:hAnsi="Times New Roman" w:eastAsia="宋体" w:cs="Times New Roman"/>
                <w:color w:val="auto"/>
                <w:kern w:val="2"/>
              </w:rPr>
              <w:t>综上所述，从长乐区</w:t>
            </w:r>
            <w:r>
              <w:rPr>
                <w:rFonts w:hint="eastAsia" w:ascii="Times New Roman" w:hAnsi="Times New Roman" w:eastAsia="宋体" w:cs="Times New Roman"/>
                <w:color w:val="auto"/>
                <w:kern w:val="2"/>
                <w:lang w:val="en-US" w:eastAsia="zh-CN"/>
              </w:rPr>
              <w:t>滨海</w:t>
            </w:r>
            <w:r>
              <w:rPr>
                <w:rFonts w:hint="eastAsia" w:ascii="Times New Roman" w:hAnsi="Times New Roman" w:eastAsia="宋体" w:cs="Times New Roman"/>
                <w:color w:val="auto"/>
                <w:kern w:val="2"/>
              </w:rPr>
              <w:t>污水处理厂的处理能力和设计进水水质角度分析，扩建项目生活污水依托长乐区</w:t>
            </w:r>
            <w:r>
              <w:rPr>
                <w:rFonts w:hint="eastAsia" w:ascii="Times New Roman" w:hAnsi="Times New Roman" w:eastAsia="宋体" w:cs="Times New Roman"/>
                <w:color w:val="auto"/>
                <w:kern w:val="2"/>
                <w:lang w:val="en-US" w:eastAsia="zh-CN"/>
              </w:rPr>
              <w:t>滨海</w:t>
            </w:r>
            <w:r>
              <w:rPr>
                <w:rFonts w:hint="eastAsia" w:ascii="Times New Roman" w:hAnsi="Times New Roman" w:eastAsia="宋体" w:cs="Times New Roman"/>
                <w:color w:val="auto"/>
                <w:kern w:val="2"/>
              </w:rPr>
              <w:t>污水处理厂进行处理可行。</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hint="eastAsia" w:eastAsia="宋体" w:cs="Times New Roman"/>
                <w:b/>
                <w:bCs w:val="0"/>
                <w:color w:val="auto"/>
                <w:sz w:val="30"/>
                <w:szCs w:val="30"/>
                <w:lang w:val="en-GB"/>
              </w:rPr>
              <w:t>.</w:t>
            </w:r>
            <w:r>
              <w:rPr>
                <w:rFonts w:hint="eastAsia" w:eastAsia="宋体" w:cs="Times New Roman"/>
                <w:b/>
                <w:bCs w:val="0"/>
                <w:color w:val="auto"/>
                <w:sz w:val="30"/>
                <w:szCs w:val="30"/>
              </w:rPr>
              <w:t>3</w:t>
            </w:r>
            <w:r>
              <w:rPr>
                <w:rFonts w:hint="eastAsia" w:eastAsia="宋体" w:cs="Times New Roman"/>
                <w:b/>
                <w:bCs w:val="0"/>
                <w:color w:val="auto"/>
                <w:sz w:val="30"/>
                <w:szCs w:val="30"/>
                <w:lang w:val="en-GB"/>
              </w:rPr>
              <w:t>运营期声环境影响分析及保护措施</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3</w:t>
            </w:r>
            <w:r>
              <w:rPr>
                <w:rFonts w:eastAsia="宋体" w:cs="Times New Roman"/>
                <w:b/>
                <w:bCs w:val="0"/>
                <w:color w:val="auto"/>
                <w:sz w:val="30"/>
                <w:szCs w:val="30"/>
                <w:lang w:val="en-GB"/>
              </w:rPr>
              <w:t>.1</w:t>
            </w:r>
            <w:r>
              <w:rPr>
                <w:rFonts w:hint="eastAsia" w:eastAsia="宋体" w:cs="Times New Roman"/>
                <w:b/>
                <w:bCs w:val="0"/>
                <w:color w:val="auto"/>
                <w:sz w:val="30"/>
                <w:szCs w:val="30"/>
                <w:lang w:val="en-GB"/>
              </w:rPr>
              <w:t>运营期噪声源强核算</w:t>
            </w:r>
          </w:p>
          <w:p>
            <w:pPr>
              <w:pStyle w:val="97"/>
              <w:ind w:firstLine="480"/>
              <w:rPr>
                <w:color w:val="auto"/>
              </w:rPr>
            </w:pPr>
            <w:r>
              <w:rPr>
                <w:rFonts w:hint="eastAsia"/>
                <w:color w:val="auto"/>
              </w:rPr>
              <w:t>扩建项目运营期噪声主要为印刷机、复合机、分切机、制袋机、风机等设备运行时产生的噪声，声压级在</w:t>
            </w:r>
            <w:r>
              <w:rPr>
                <w:rFonts w:hint="eastAsia"/>
                <w:color w:val="auto"/>
                <w:lang w:val="en-US" w:eastAsia="zh-CN"/>
              </w:rPr>
              <w:t>80-90</w:t>
            </w:r>
            <w:r>
              <w:rPr>
                <w:rFonts w:hint="eastAsia"/>
                <w:color w:val="auto"/>
              </w:rPr>
              <w:t>dB(A)。扩建项目主要高噪声设备</w:t>
            </w:r>
            <w:r>
              <w:rPr>
                <w:color w:val="auto"/>
              </w:rPr>
              <w:t>源强详见</w:t>
            </w:r>
            <w:r>
              <w:rPr>
                <w:b/>
                <w:bCs/>
                <w:color w:val="auto"/>
              </w:rPr>
              <w:t>表4.</w:t>
            </w:r>
            <w:r>
              <w:rPr>
                <w:rFonts w:hint="eastAsia"/>
                <w:b/>
                <w:bCs/>
                <w:color w:val="auto"/>
              </w:rPr>
              <w:t>3-1和表4.3-2</w:t>
            </w:r>
            <w:r>
              <w:rPr>
                <w:color w:val="auto"/>
              </w:rPr>
              <w:t>。</w:t>
            </w:r>
          </w:p>
          <w:p>
            <w:pPr>
              <w:pStyle w:val="116"/>
              <w:rPr>
                <w:rFonts w:eastAsia="宋体" w:cs="Times New Roman"/>
                <w:b/>
                <w:bCs w:val="0"/>
                <w:color w:val="auto"/>
                <w:sz w:val="30"/>
                <w:szCs w:val="30"/>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3</w:t>
            </w:r>
            <w:r>
              <w:rPr>
                <w:rFonts w:eastAsia="宋体" w:cs="Times New Roman"/>
                <w:b/>
                <w:bCs w:val="0"/>
                <w:color w:val="auto"/>
                <w:sz w:val="30"/>
                <w:szCs w:val="30"/>
                <w:lang w:val="en-GB"/>
              </w:rPr>
              <w:t>.</w:t>
            </w:r>
            <w:r>
              <w:rPr>
                <w:rFonts w:hint="eastAsia" w:eastAsia="宋体" w:cs="Times New Roman"/>
                <w:b/>
                <w:bCs w:val="0"/>
                <w:color w:val="auto"/>
                <w:sz w:val="30"/>
                <w:szCs w:val="30"/>
              </w:rPr>
              <w:t>2</w:t>
            </w:r>
            <w:r>
              <w:rPr>
                <w:rFonts w:hint="eastAsia" w:eastAsia="宋体" w:cs="Times New Roman"/>
                <w:b/>
                <w:bCs w:val="0"/>
                <w:color w:val="auto"/>
                <w:sz w:val="30"/>
                <w:szCs w:val="30"/>
                <w:lang w:val="en-GB"/>
              </w:rPr>
              <w:t>运营期噪声</w:t>
            </w:r>
            <w:r>
              <w:rPr>
                <w:rFonts w:hint="eastAsia" w:eastAsia="宋体" w:cs="Times New Roman"/>
                <w:b/>
                <w:bCs w:val="0"/>
                <w:color w:val="auto"/>
                <w:sz w:val="30"/>
                <w:szCs w:val="30"/>
              </w:rPr>
              <w:t>预测模</w:t>
            </w:r>
          </w:p>
          <w:p>
            <w:pPr>
              <w:spacing w:line="360" w:lineRule="auto"/>
              <w:ind w:firstLine="555"/>
              <w:rPr>
                <w:color w:val="auto"/>
                <w:sz w:val="24"/>
              </w:rPr>
            </w:pPr>
            <w:r>
              <w:rPr>
                <w:rFonts w:hint="eastAsia"/>
                <w:color w:val="auto"/>
                <w:sz w:val="24"/>
              </w:rPr>
              <w:t>扩建项目</w:t>
            </w:r>
            <w:r>
              <w:rPr>
                <w:color w:val="auto"/>
                <w:sz w:val="24"/>
              </w:rPr>
              <w:t>噪声预测模式采用《环境影响评价技术导则 声环境》(HJ2.4-2021)中附录A户外声传播的衰减及附录B典型行业噪声预测模型进行分析。</w:t>
            </w:r>
          </w:p>
          <w:p>
            <w:pPr>
              <w:adjustRightInd w:val="0"/>
              <w:snapToGrid w:val="0"/>
              <w:spacing w:line="360" w:lineRule="auto"/>
              <w:ind w:firstLine="480"/>
              <w:rPr>
                <w:bCs/>
                <w:color w:val="auto"/>
                <w:sz w:val="24"/>
              </w:rPr>
            </w:pPr>
            <w:r>
              <w:rPr>
                <w:rFonts w:hint="eastAsia"/>
                <w:bCs/>
                <w:color w:val="auto"/>
                <w:sz w:val="24"/>
              </w:rPr>
              <w:t>(1)单个室外的点声源在预测点产生的声级计算基本公式</w:t>
            </w:r>
          </w:p>
          <w:p>
            <w:pPr>
              <w:adjustRightInd w:val="0"/>
              <w:snapToGrid w:val="0"/>
              <w:spacing w:line="360" w:lineRule="auto"/>
              <w:ind w:firstLine="480"/>
              <w:rPr>
                <w:bCs/>
                <w:color w:val="auto"/>
                <w:sz w:val="24"/>
              </w:rPr>
            </w:pPr>
            <w:r>
              <w:rPr>
                <w:rFonts w:hint="eastAsia"/>
                <w:bCs/>
                <w:color w:val="auto"/>
                <w:sz w:val="24"/>
              </w:rPr>
              <w:t>某个声源在预测点的倍频带声压级的计算公式如下：</w:t>
            </w:r>
          </w:p>
          <w:p>
            <w:pPr>
              <w:adjustRightInd w:val="0"/>
              <w:snapToGrid w:val="0"/>
              <w:spacing w:line="360" w:lineRule="auto"/>
              <w:jc w:val="center"/>
              <w:rPr>
                <w:bCs/>
                <w:color w:val="auto"/>
                <w:sz w:val="24"/>
              </w:rPr>
            </w:pPr>
            <w:r>
              <w:rPr>
                <w:bCs/>
                <w:color w:val="auto"/>
                <w:sz w:val="24"/>
              </w:rPr>
              <w:drawing>
                <wp:inline distT="0" distB="0" distL="114300" distR="114300">
                  <wp:extent cx="2954020" cy="213995"/>
                  <wp:effectExtent l="0" t="0" r="2540" b="14605"/>
                  <wp:docPr id="17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2"/>
                          <pic:cNvPicPr>
                            <a:picLocks noChangeAspect="1"/>
                          </pic:cNvPicPr>
                        </pic:nvPicPr>
                        <pic:blipFill>
                          <a:blip r:embed="rId34"/>
                          <a:stretch>
                            <a:fillRect/>
                          </a:stretch>
                        </pic:blipFill>
                        <pic:spPr>
                          <a:xfrm>
                            <a:off x="0" y="0"/>
                            <a:ext cx="2954020" cy="213995"/>
                          </a:xfrm>
                          <a:prstGeom prst="rect">
                            <a:avLst/>
                          </a:prstGeom>
                          <a:noFill/>
                          <a:ln>
                            <a:noFill/>
                          </a:ln>
                        </pic:spPr>
                      </pic:pic>
                    </a:graphicData>
                  </a:graphic>
                </wp:inline>
              </w:drawing>
            </w:r>
          </w:p>
          <w:p>
            <w:pPr>
              <w:adjustRightInd w:val="0"/>
              <w:snapToGrid w:val="0"/>
              <w:spacing w:line="360" w:lineRule="auto"/>
              <w:ind w:firstLine="480"/>
              <w:rPr>
                <w:bCs/>
                <w:color w:val="auto"/>
                <w:sz w:val="24"/>
              </w:rPr>
            </w:pPr>
            <w:r>
              <w:rPr>
                <w:rFonts w:hint="eastAsia"/>
                <w:bCs/>
                <w:color w:val="auto"/>
                <w:sz w:val="24"/>
              </w:rPr>
              <w:t>式中：</w:t>
            </w:r>
          </w:p>
          <w:p>
            <w:pPr>
              <w:adjustRightInd w:val="0"/>
              <w:snapToGrid w:val="0"/>
              <w:spacing w:line="360" w:lineRule="auto"/>
              <w:ind w:firstLine="480"/>
              <w:rPr>
                <w:bCs/>
                <w:color w:val="auto"/>
                <w:sz w:val="24"/>
              </w:rPr>
            </w:pPr>
            <w:r>
              <w:rPr>
                <w:rFonts w:hint="eastAsia"/>
                <w:bCs/>
                <w:color w:val="auto"/>
                <w:sz w:val="24"/>
              </w:rPr>
              <w:t>Lp(r)一预测点处声压级，dB；</w:t>
            </w:r>
          </w:p>
          <w:p>
            <w:pPr>
              <w:adjustRightInd w:val="0"/>
              <w:snapToGrid w:val="0"/>
              <w:spacing w:line="360" w:lineRule="auto"/>
              <w:ind w:firstLine="480"/>
              <w:rPr>
                <w:bCs/>
                <w:color w:val="auto"/>
                <w:sz w:val="24"/>
              </w:rPr>
            </w:pPr>
            <w:r>
              <w:rPr>
                <w:rFonts w:hint="eastAsia"/>
                <w:bCs/>
                <w:color w:val="auto"/>
                <w:sz w:val="24"/>
              </w:rPr>
              <w:t>Lp(r0)一参考位置r0处声压级，dB；</w:t>
            </w:r>
          </w:p>
          <w:p>
            <w:pPr>
              <w:adjustRightInd w:val="0"/>
              <w:snapToGrid w:val="0"/>
              <w:spacing w:line="360" w:lineRule="auto"/>
              <w:ind w:firstLine="480"/>
              <w:rPr>
                <w:bCs/>
                <w:color w:val="auto"/>
                <w:sz w:val="24"/>
              </w:rPr>
            </w:pPr>
            <w:r>
              <w:rPr>
                <w:rFonts w:hint="eastAsia"/>
                <w:bCs/>
                <w:color w:val="auto"/>
                <w:sz w:val="24"/>
              </w:rPr>
              <w:t>Dc一指向性校正，它描述点声源的等效连续声压级与产生声功率级Lw的全向点声源、在规定方向的声级的偏差程度，dB，Dc=OdB；</w:t>
            </w:r>
          </w:p>
          <w:p>
            <w:pPr>
              <w:adjustRightInd w:val="0"/>
              <w:snapToGrid w:val="0"/>
              <w:spacing w:line="360" w:lineRule="auto"/>
              <w:ind w:firstLine="480"/>
              <w:rPr>
                <w:bCs/>
                <w:color w:val="auto"/>
                <w:sz w:val="24"/>
              </w:rPr>
            </w:pPr>
            <w:r>
              <w:rPr>
                <w:rFonts w:hint="eastAsia"/>
                <w:bCs/>
                <w:color w:val="auto"/>
                <w:sz w:val="24"/>
              </w:rPr>
              <w:t>Adiv一几何发散引起的倍频带衰减，dB；</w:t>
            </w:r>
          </w:p>
          <w:p>
            <w:pPr>
              <w:adjustRightInd w:val="0"/>
              <w:snapToGrid w:val="0"/>
              <w:spacing w:line="360" w:lineRule="auto"/>
              <w:ind w:firstLine="480"/>
              <w:rPr>
                <w:bCs/>
                <w:color w:val="auto"/>
                <w:sz w:val="24"/>
              </w:rPr>
            </w:pPr>
            <w:r>
              <w:rPr>
                <w:rFonts w:hint="eastAsia"/>
                <w:bCs/>
                <w:color w:val="auto"/>
                <w:sz w:val="24"/>
              </w:rPr>
              <w:t>Aatm一大气吸收引起的倍频带衰减，dB；</w:t>
            </w:r>
          </w:p>
          <w:p>
            <w:pPr>
              <w:adjustRightInd w:val="0"/>
              <w:snapToGrid w:val="0"/>
              <w:spacing w:line="360" w:lineRule="auto"/>
              <w:ind w:firstLine="480"/>
              <w:rPr>
                <w:bCs/>
                <w:color w:val="auto"/>
                <w:sz w:val="24"/>
              </w:rPr>
            </w:pPr>
            <w:r>
              <w:rPr>
                <w:rFonts w:hint="eastAsia"/>
                <w:bCs/>
                <w:color w:val="auto"/>
                <w:sz w:val="24"/>
              </w:rPr>
              <w:t>Agr一地面效应引起的倍频带衰减，dB；</w:t>
            </w:r>
          </w:p>
          <w:p>
            <w:pPr>
              <w:adjustRightInd w:val="0"/>
              <w:snapToGrid w:val="0"/>
              <w:spacing w:line="360" w:lineRule="auto"/>
              <w:ind w:firstLine="480"/>
              <w:rPr>
                <w:bCs/>
                <w:color w:val="auto"/>
                <w:sz w:val="24"/>
              </w:rPr>
            </w:pPr>
            <w:r>
              <w:rPr>
                <w:rFonts w:hint="eastAsia"/>
                <w:bCs/>
                <w:color w:val="auto"/>
                <w:sz w:val="24"/>
              </w:rPr>
              <w:t>Abar一障碍物屏蔽引起的衰减，dB；</w:t>
            </w:r>
          </w:p>
          <w:p>
            <w:pPr>
              <w:adjustRightInd w:val="0"/>
              <w:snapToGrid w:val="0"/>
              <w:spacing w:line="360" w:lineRule="auto"/>
              <w:ind w:firstLine="480"/>
              <w:rPr>
                <w:bCs/>
                <w:color w:val="auto"/>
                <w:sz w:val="24"/>
              </w:rPr>
            </w:pPr>
            <w:r>
              <w:rPr>
                <w:rFonts w:hint="eastAsia"/>
                <w:bCs/>
                <w:color w:val="auto"/>
                <w:sz w:val="24"/>
              </w:rPr>
              <w:t>Amisc一其他多方面效应引起的倍频带衰减，dB。</w:t>
            </w:r>
          </w:p>
          <w:p>
            <w:pPr>
              <w:adjustRightInd w:val="0"/>
              <w:snapToGrid w:val="0"/>
              <w:spacing w:line="360" w:lineRule="auto"/>
              <w:ind w:firstLine="480"/>
              <w:rPr>
                <w:bCs/>
                <w:color w:val="auto"/>
                <w:sz w:val="24"/>
              </w:rPr>
            </w:pPr>
            <w:r>
              <w:rPr>
                <w:rFonts w:hint="eastAsia"/>
                <w:bCs/>
                <w:color w:val="auto"/>
                <w:sz w:val="24"/>
              </w:rPr>
              <w:t>衰减项计算按导则附录A相关模式计算。</w:t>
            </w:r>
          </w:p>
          <w:p>
            <w:pPr>
              <w:adjustRightInd w:val="0"/>
              <w:snapToGrid w:val="0"/>
              <w:spacing w:line="360" w:lineRule="auto"/>
              <w:ind w:firstLine="480"/>
              <w:rPr>
                <w:bCs/>
                <w:color w:val="auto"/>
                <w:sz w:val="24"/>
              </w:rPr>
            </w:pPr>
            <w:r>
              <w:rPr>
                <w:rFonts w:hint="eastAsia"/>
                <w:bCs/>
                <w:color w:val="auto"/>
                <w:sz w:val="24"/>
              </w:rPr>
              <w:t>预测点的A声级LA(r），可利用8个倍频带的声压级按下式计算：</w:t>
            </w:r>
          </w:p>
          <w:p>
            <w:pPr>
              <w:adjustRightInd w:val="0"/>
              <w:snapToGrid w:val="0"/>
              <w:spacing w:line="360" w:lineRule="auto"/>
              <w:jc w:val="center"/>
              <w:rPr>
                <w:bCs/>
                <w:color w:val="auto"/>
                <w:sz w:val="24"/>
              </w:rPr>
            </w:pPr>
            <w:r>
              <w:rPr>
                <w:bCs/>
                <w:color w:val="auto"/>
                <w:sz w:val="24"/>
              </w:rPr>
              <w:drawing>
                <wp:inline distT="0" distB="0" distL="114300" distR="114300">
                  <wp:extent cx="2105025" cy="428625"/>
                  <wp:effectExtent l="0" t="0" r="13335" b="13335"/>
                  <wp:docPr id="17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3"/>
                          <pic:cNvPicPr>
                            <a:picLocks noChangeAspect="1"/>
                          </pic:cNvPicPr>
                        </pic:nvPicPr>
                        <pic:blipFill>
                          <a:blip r:embed="rId35"/>
                          <a:stretch>
                            <a:fillRect/>
                          </a:stretch>
                        </pic:blipFill>
                        <pic:spPr>
                          <a:xfrm>
                            <a:off x="0" y="0"/>
                            <a:ext cx="2105025" cy="428625"/>
                          </a:xfrm>
                          <a:prstGeom prst="rect">
                            <a:avLst/>
                          </a:prstGeom>
                          <a:noFill/>
                          <a:ln>
                            <a:noFill/>
                          </a:ln>
                        </pic:spPr>
                      </pic:pic>
                    </a:graphicData>
                  </a:graphic>
                </wp:inline>
              </w:drawing>
            </w:r>
          </w:p>
          <w:p>
            <w:pPr>
              <w:adjustRightInd w:val="0"/>
              <w:snapToGrid w:val="0"/>
              <w:spacing w:line="360" w:lineRule="auto"/>
              <w:ind w:firstLine="480"/>
              <w:rPr>
                <w:bCs/>
                <w:color w:val="auto"/>
                <w:sz w:val="24"/>
              </w:rPr>
            </w:pPr>
            <w:r>
              <w:rPr>
                <w:rFonts w:hint="eastAsia"/>
                <w:bCs/>
                <w:color w:val="auto"/>
                <w:sz w:val="24"/>
              </w:rPr>
              <w:t>式中：</w:t>
            </w:r>
          </w:p>
          <w:p>
            <w:pPr>
              <w:adjustRightInd w:val="0"/>
              <w:snapToGrid w:val="0"/>
              <w:spacing w:line="360" w:lineRule="auto"/>
              <w:ind w:firstLine="480"/>
              <w:rPr>
                <w:bCs/>
                <w:color w:val="auto"/>
                <w:sz w:val="24"/>
              </w:rPr>
            </w:pPr>
            <w:r>
              <w:rPr>
                <w:rFonts w:hint="eastAsia"/>
                <w:bCs/>
                <w:color w:val="auto"/>
                <w:sz w:val="24"/>
              </w:rPr>
              <w:t>LA(r)一距离声源r处的A声级，dB(A)；</w:t>
            </w:r>
          </w:p>
          <w:p>
            <w:pPr>
              <w:adjustRightInd w:val="0"/>
              <w:snapToGrid w:val="0"/>
              <w:spacing w:line="360" w:lineRule="auto"/>
              <w:ind w:firstLine="480"/>
              <w:rPr>
                <w:bCs/>
                <w:color w:val="auto"/>
                <w:sz w:val="24"/>
              </w:rPr>
            </w:pPr>
            <w:r>
              <w:rPr>
                <w:rFonts w:hint="eastAsia"/>
                <w:bCs/>
                <w:color w:val="auto"/>
                <w:sz w:val="24"/>
              </w:rPr>
              <w:t>Lpi(r)一预测点（r）处，第i倍频带声压级，dB；</w:t>
            </w:r>
          </w:p>
          <w:p>
            <w:pPr>
              <w:adjustRightInd w:val="0"/>
              <w:snapToGrid w:val="0"/>
              <w:spacing w:line="360" w:lineRule="auto"/>
              <w:ind w:firstLine="480"/>
              <w:rPr>
                <w:bCs/>
                <w:color w:val="auto"/>
                <w:sz w:val="24"/>
              </w:rPr>
            </w:pPr>
            <w:r>
              <w:rPr>
                <w:bCs/>
                <w:color w:val="auto"/>
                <w:sz w:val="24"/>
              </w:rPr>
              <w:t>Δ</w:t>
            </w:r>
            <w:r>
              <w:rPr>
                <w:rFonts w:hint="eastAsia"/>
                <w:bCs/>
                <w:color w:val="auto"/>
                <w:sz w:val="24"/>
              </w:rPr>
              <w:t>Li一i倍频带A计算网络修正值，dB。</w:t>
            </w:r>
          </w:p>
          <w:p>
            <w:pPr>
              <w:adjustRightInd w:val="0"/>
              <w:snapToGrid w:val="0"/>
              <w:spacing w:line="360" w:lineRule="auto"/>
              <w:ind w:firstLine="480"/>
              <w:rPr>
                <w:bCs/>
                <w:color w:val="auto"/>
                <w:sz w:val="24"/>
              </w:rPr>
            </w:pPr>
            <w:r>
              <w:rPr>
                <w:bCs/>
                <w:color w:val="auto"/>
                <w:sz w:val="24"/>
              </w:rPr>
              <w:t>(</w:t>
            </w:r>
            <w:r>
              <w:rPr>
                <w:rFonts w:hint="eastAsia"/>
                <w:bCs/>
                <w:color w:val="auto"/>
                <w:sz w:val="24"/>
              </w:rPr>
              <w:t>2</w:t>
            </w:r>
            <w:r>
              <w:rPr>
                <w:bCs/>
                <w:color w:val="auto"/>
                <w:sz w:val="24"/>
              </w:rPr>
              <w:t>)室内声源声功率级计算方法</w:t>
            </w:r>
          </w:p>
          <w:p>
            <w:pPr>
              <w:adjustRightInd w:val="0"/>
              <w:snapToGrid w:val="0"/>
              <w:spacing w:line="360" w:lineRule="auto"/>
              <w:ind w:firstLine="480"/>
              <w:rPr>
                <w:color w:val="auto"/>
                <w:sz w:val="24"/>
              </w:rPr>
            </w:pPr>
            <w:r>
              <w:rPr>
                <w:color w:val="auto"/>
                <w:sz w:val="24"/>
              </w:rPr>
              <w:t>①如下图所示，声源位于室内，室内声源可采用等效室外声源声功率级法进行计算。设靠近开口处(或窗户)室内、室外某倍频带的声压级或A声级分别为Lp1和Lp2。若声源所在室内声场为近似扩散声场，则室外的倍频带声压级可按下式近似求出：</w:t>
            </w:r>
          </w:p>
          <w:p>
            <w:pPr>
              <w:adjustRightInd w:val="0"/>
              <w:snapToGrid w:val="0"/>
              <w:spacing w:line="360" w:lineRule="auto"/>
              <w:ind w:firstLine="480"/>
              <w:jc w:val="center"/>
              <w:rPr>
                <w:color w:val="auto"/>
                <w:sz w:val="24"/>
              </w:rPr>
            </w:pPr>
            <w:r>
              <w:rPr>
                <w:color w:val="auto"/>
                <w:sz w:val="24"/>
              </w:rPr>
              <w:drawing>
                <wp:inline distT="0" distB="0" distL="114300" distR="114300">
                  <wp:extent cx="1543050" cy="361950"/>
                  <wp:effectExtent l="0" t="0" r="11430" b="3810"/>
                  <wp:docPr id="1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4"/>
                          <pic:cNvPicPr>
                            <a:picLocks noChangeAspect="1"/>
                          </pic:cNvPicPr>
                        </pic:nvPicPr>
                        <pic:blipFill>
                          <a:blip r:embed="rId36"/>
                          <a:stretch>
                            <a:fillRect/>
                          </a:stretch>
                        </pic:blipFill>
                        <pic:spPr>
                          <a:xfrm>
                            <a:off x="0" y="0"/>
                            <a:ext cx="1543050" cy="361950"/>
                          </a:xfrm>
                          <a:prstGeom prst="rect">
                            <a:avLst/>
                          </a:prstGeom>
                          <a:noFill/>
                          <a:ln>
                            <a:noFill/>
                          </a:ln>
                        </pic:spPr>
                      </pic:pic>
                    </a:graphicData>
                  </a:graphic>
                </wp:inline>
              </w:drawing>
            </w:r>
          </w:p>
          <w:p>
            <w:pPr>
              <w:adjustRightInd w:val="0"/>
              <w:snapToGrid w:val="0"/>
              <w:spacing w:line="360" w:lineRule="auto"/>
              <w:ind w:firstLine="480"/>
              <w:rPr>
                <w:color w:val="auto"/>
                <w:sz w:val="24"/>
              </w:rPr>
            </w:pPr>
            <w:r>
              <w:rPr>
                <w:color w:val="auto"/>
                <w:sz w:val="24"/>
              </w:rPr>
              <w:t>式中：</w:t>
            </w:r>
          </w:p>
          <w:p>
            <w:pPr>
              <w:adjustRightInd w:val="0"/>
              <w:snapToGrid w:val="0"/>
              <w:spacing w:line="360" w:lineRule="auto"/>
              <w:ind w:firstLine="480"/>
              <w:rPr>
                <w:color w:val="auto"/>
                <w:sz w:val="24"/>
              </w:rPr>
            </w:pPr>
            <w:r>
              <w:rPr>
                <w:color w:val="auto"/>
                <w:sz w:val="24"/>
              </w:rPr>
              <w:t>L</w:t>
            </w:r>
            <w:r>
              <w:rPr>
                <w:color w:val="auto"/>
                <w:sz w:val="24"/>
                <w:vertAlign w:val="subscript"/>
              </w:rPr>
              <w:t>p1</w:t>
            </w:r>
            <w:r>
              <w:rPr>
                <w:color w:val="auto"/>
                <w:sz w:val="24"/>
              </w:rPr>
              <w:t>—靠近开口处(或窗户)室内某倍频带的声压级或A声级，dB；</w:t>
            </w:r>
          </w:p>
          <w:p>
            <w:pPr>
              <w:adjustRightInd w:val="0"/>
              <w:snapToGrid w:val="0"/>
              <w:spacing w:line="360" w:lineRule="auto"/>
              <w:ind w:firstLine="480"/>
              <w:rPr>
                <w:color w:val="auto"/>
                <w:sz w:val="24"/>
              </w:rPr>
            </w:pPr>
            <w:r>
              <w:rPr>
                <w:color w:val="auto"/>
                <w:sz w:val="24"/>
              </w:rPr>
              <w:t>L</w:t>
            </w:r>
            <w:r>
              <w:rPr>
                <w:color w:val="auto"/>
                <w:sz w:val="24"/>
                <w:vertAlign w:val="subscript"/>
              </w:rPr>
              <w:t>p2</w:t>
            </w:r>
            <w:r>
              <w:rPr>
                <w:color w:val="auto"/>
                <w:sz w:val="24"/>
              </w:rPr>
              <w:t>—靠近开口处(或窗户)室外某倍频带的声压级或A声级，dB；</w:t>
            </w:r>
          </w:p>
          <w:p>
            <w:pPr>
              <w:adjustRightInd w:val="0"/>
              <w:snapToGrid w:val="0"/>
              <w:spacing w:line="360" w:lineRule="auto"/>
              <w:ind w:firstLine="480"/>
              <w:rPr>
                <w:color w:val="auto"/>
                <w:sz w:val="24"/>
              </w:rPr>
            </w:pPr>
            <w:r>
              <w:rPr>
                <w:color w:val="auto"/>
                <w:sz w:val="24"/>
              </w:rPr>
              <w:t>TI—隔墙(或窗户)倍频带或A声级的隔声量，dB。</w:t>
            </w:r>
          </w:p>
          <w:p>
            <w:pPr>
              <w:adjustRightInd w:val="0"/>
              <w:snapToGrid w:val="0"/>
              <w:spacing w:line="360" w:lineRule="auto"/>
              <w:ind w:firstLine="480"/>
              <w:jc w:val="center"/>
              <w:rPr>
                <w:color w:val="auto"/>
                <w:sz w:val="24"/>
              </w:rPr>
            </w:pPr>
            <w:r>
              <w:rPr>
                <w:color w:val="auto"/>
                <w:sz w:val="24"/>
              </w:rPr>
              <w:drawing>
                <wp:inline distT="0" distB="0" distL="114300" distR="114300">
                  <wp:extent cx="2016125" cy="1079500"/>
                  <wp:effectExtent l="0" t="0" r="10795" b="2540"/>
                  <wp:docPr id="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
                          <pic:cNvPicPr>
                            <a:picLocks noChangeAspect="1"/>
                          </pic:cNvPicPr>
                        </pic:nvPicPr>
                        <pic:blipFill>
                          <a:blip r:embed="rId37"/>
                          <a:stretch>
                            <a:fillRect/>
                          </a:stretch>
                        </pic:blipFill>
                        <pic:spPr>
                          <a:xfrm>
                            <a:off x="0" y="0"/>
                            <a:ext cx="2016125" cy="1079500"/>
                          </a:xfrm>
                          <a:prstGeom prst="rect">
                            <a:avLst/>
                          </a:prstGeom>
                          <a:noFill/>
                          <a:ln>
                            <a:noFill/>
                          </a:ln>
                        </pic:spPr>
                      </pic:pic>
                    </a:graphicData>
                  </a:graphic>
                </wp:inline>
              </w:drawing>
            </w:r>
          </w:p>
          <w:p>
            <w:pPr>
              <w:adjustRightInd w:val="0"/>
              <w:snapToGrid w:val="0"/>
              <w:spacing w:line="360" w:lineRule="auto"/>
              <w:ind w:firstLine="480"/>
              <w:jc w:val="center"/>
              <w:rPr>
                <w:color w:val="auto"/>
                <w:sz w:val="24"/>
              </w:rPr>
            </w:pPr>
            <w:r>
              <w:rPr>
                <w:color w:val="auto"/>
                <w:sz w:val="24"/>
              </w:rPr>
              <w:t>室内声源等效室外声源图例</w:t>
            </w:r>
          </w:p>
          <w:p>
            <w:pPr>
              <w:adjustRightInd w:val="0"/>
              <w:snapToGrid w:val="0"/>
              <w:spacing w:line="360" w:lineRule="auto"/>
              <w:ind w:firstLine="480"/>
              <w:rPr>
                <w:color w:val="auto"/>
                <w:sz w:val="24"/>
              </w:rPr>
            </w:pPr>
            <w:r>
              <w:rPr>
                <w:color w:val="auto"/>
                <w:sz w:val="24"/>
              </w:rPr>
              <w:t>②按下式计算某一室内声源靠近围护结构处产生的倍频带声压级或A声级：</w:t>
            </w:r>
          </w:p>
          <w:p>
            <w:pPr>
              <w:adjustRightInd w:val="0"/>
              <w:snapToGrid w:val="0"/>
              <w:spacing w:line="360" w:lineRule="auto"/>
              <w:ind w:firstLine="480"/>
              <w:jc w:val="center"/>
              <w:rPr>
                <w:color w:val="auto"/>
                <w:sz w:val="24"/>
              </w:rPr>
            </w:pPr>
            <w:r>
              <w:rPr>
                <w:color w:val="auto"/>
                <w:sz w:val="24"/>
              </w:rPr>
              <w:drawing>
                <wp:inline distT="0" distB="0" distL="114300" distR="114300">
                  <wp:extent cx="1962150" cy="571500"/>
                  <wp:effectExtent l="0" t="0" r="3810" b="7620"/>
                  <wp:docPr id="1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6"/>
                          <pic:cNvPicPr>
                            <a:picLocks noChangeAspect="1"/>
                          </pic:cNvPicPr>
                        </pic:nvPicPr>
                        <pic:blipFill>
                          <a:blip r:embed="rId38"/>
                          <a:stretch>
                            <a:fillRect/>
                          </a:stretch>
                        </pic:blipFill>
                        <pic:spPr>
                          <a:xfrm>
                            <a:off x="0" y="0"/>
                            <a:ext cx="1962150" cy="571500"/>
                          </a:xfrm>
                          <a:prstGeom prst="rect">
                            <a:avLst/>
                          </a:prstGeom>
                          <a:noFill/>
                          <a:ln>
                            <a:noFill/>
                          </a:ln>
                        </pic:spPr>
                      </pic:pic>
                    </a:graphicData>
                  </a:graphic>
                </wp:inline>
              </w:drawing>
            </w:r>
          </w:p>
          <w:p>
            <w:pPr>
              <w:adjustRightInd w:val="0"/>
              <w:snapToGrid w:val="0"/>
              <w:spacing w:line="360" w:lineRule="auto"/>
              <w:ind w:firstLine="480"/>
              <w:rPr>
                <w:color w:val="auto"/>
                <w:sz w:val="24"/>
              </w:rPr>
            </w:pPr>
            <w:r>
              <w:rPr>
                <w:color w:val="auto"/>
                <w:sz w:val="24"/>
              </w:rPr>
              <w:t>式中：</w:t>
            </w:r>
          </w:p>
          <w:p>
            <w:pPr>
              <w:adjustRightInd w:val="0"/>
              <w:snapToGrid w:val="0"/>
              <w:spacing w:line="360" w:lineRule="auto"/>
              <w:ind w:firstLine="480"/>
              <w:rPr>
                <w:color w:val="auto"/>
                <w:sz w:val="24"/>
              </w:rPr>
            </w:pPr>
            <w:r>
              <w:rPr>
                <w:color w:val="auto"/>
                <w:sz w:val="24"/>
              </w:rPr>
              <w:t>Lp</w:t>
            </w:r>
            <w:r>
              <w:rPr>
                <w:color w:val="auto"/>
                <w:sz w:val="24"/>
                <w:vertAlign w:val="subscript"/>
              </w:rPr>
              <w:t>1</w:t>
            </w:r>
            <w:r>
              <w:rPr>
                <w:color w:val="auto"/>
                <w:sz w:val="24"/>
              </w:rPr>
              <w:t>—靠近开口处(或窗户)室内某倍频带的声压级或A声级，dB；</w:t>
            </w:r>
          </w:p>
          <w:p>
            <w:pPr>
              <w:adjustRightInd w:val="0"/>
              <w:snapToGrid w:val="0"/>
              <w:spacing w:line="360" w:lineRule="auto"/>
              <w:ind w:firstLine="480"/>
              <w:rPr>
                <w:color w:val="auto"/>
                <w:sz w:val="24"/>
              </w:rPr>
            </w:pPr>
            <w:r>
              <w:rPr>
                <w:color w:val="auto"/>
                <w:sz w:val="24"/>
              </w:rPr>
              <w:t>Lw—点声源声功率级(A计权或倍频带)，dB；</w:t>
            </w:r>
          </w:p>
          <w:p>
            <w:pPr>
              <w:adjustRightInd w:val="0"/>
              <w:snapToGrid w:val="0"/>
              <w:spacing w:line="360" w:lineRule="auto"/>
              <w:ind w:firstLine="480"/>
              <w:rPr>
                <w:color w:val="auto"/>
                <w:sz w:val="24"/>
              </w:rPr>
            </w:pPr>
            <w:r>
              <w:rPr>
                <w:color w:val="auto"/>
                <w:sz w:val="24"/>
              </w:rPr>
              <w:t>Q—指向性因数；通常对无指向性声源，当声源放在房间中心时，Q=1；当放在一面墙的中心时，Q=2；当放在两面墙夹角处时，Q=4；当放在三面墙夹角处时，Q=8；</w:t>
            </w:r>
          </w:p>
          <w:p>
            <w:pPr>
              <w:adjustRightInd w:val="0"/>
              <w:snapToGrid w:val="0"/>
              <w:spacing w:line="360" w:lineRule="auto"/>
              <w:ind w:firstLine="480"/>
              <w:rPr>
                <w:color w:val="auto"/>
                <w:sz w:val="24"/>
              </w:rPr>
            </w:pPr>
            <w:r>
              <w:rPr>
                <w:color w:val="auto"/>
                <w:sz w:val="24"/>
              </w:rPr>
              <w:t>R—房间常数；R=Sa/(1-a)，s为房间内表面面积，m</w:t>
            </w:r>
            <w:r>
              <w:rPr>
                <w:color w:val="auto"/>
                <w:sz w:val="24"/>
                <w:vertAlign w:val="superscript"/>
              </w:rPr>
              <w:t>2</w:t>
            </w:r>
            <w:r>
              <w:rPr>
                <w:color w:val="auto"/>
                <w:sz w:val="24"/>
              </w:rPr>
              <w:t>；a为平均吸声系数；</w:t>
            </w:r>
          </w:p>
          <w:p>
            <w:pPr>
              <w:adjustRightInd w:val="0"/>
              <w:snapToGrid w:val="0"/>
              <w:spacing w:line="360" w:lineRule="auto"/>
              <w:ind w:firstLine="480"/>
              <w:rPr>
                <w:color w:val="auto"/>
                <w:sz w:val="24"/>
              </w:rPr>
            </w:pPr>
            <w:r>
              <w:rPr>
                <w:color w:val="auto"/>
                <w:sz w:val="24"/>
              </w:rPr>
              <w:t>r—声源到靠近围护结构某点处的距离，m。</w:t>
            </w:r>
          </w:p>
          <w:p>
            <w:pPr>
              <w:adjustRightInd w:val="0"/>
              <w:snapToGrid w:val="0"/>
              <w:spacing w:line="360" w:lineRule="auto"/>
              <w:ind w:firstLine="480"/>
              <w:rPr>
                <w:color w:val="auto"/>
                <w:sz w:val="24"/>
              </w:rPr>
            </w:pPr>
            <w:r>
              <w:rPr>
                <w:color w:val="auto"/>
                <w:sz w:val="24"/>
              </w:rPr>
              <w:t>③按下式计算出所有室内声源在靠近围护结构处产生的i倍频带叠加声压级：</w:t>
            </w:r>
          </w:p>
          <w:p>
            <w:pPr>
              <w:adjustRightInd w:val="0"/>
              <w:snapToGrid w:val="0"/>
              <w:spacing w:line="360" w:lineRule="auto"/>
              <w:ind w:firstLine="480"/>
              <w:jc w:val="center"/>
              <w:rPr>
                <w:color w:val="auto"/>
                <w:sz w:val="24"/>
              </w:rPr>
            </w:pPr>
            <w:r>
              <w:rPr>
                <w:color w:val="auto"/>
                <w:sz w:val="24"/>
              </w:rPr>
              <w:drawing>
                <wp:inline distT="0" distB="0" distL="114300" distR="114300">
                  <wp:extent cx="2047875" cy="628650"/>
                  <wp:effectExtent l="0" t="0" r="9525" b="11430"/>
                  <wp:docPr id="14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7"/>
                          <pic:cNvPicPr>
                            <a:picLocks noChangeAspect="1"/>
                          </pic:cNvPicPr>
                        </pic:nvPicPr>
                        <pic:blipFill>
                          <a:blip r:embed="rId39"/>
                          <a:stretch>
                            <a:fillRect/>
                          </a:stretch>
                        </pic:blipFill>
                        <pic:spPr>
                          <a:xfrm>
                            <a:off x="0" y="0"/>
                            <a:ext cx="2047875" cy="628650"/>
                          </a:xfrm>
                          <a:prstGeom prst="rect">
                            <a:avLst/>
                          </a:prstGeom>
                          <a:noFill/>
                          <a:ln>
                            <a:noFill/>
                          </a:ln>
                        </pic:spPr>
                      </pic:pic>
                    </a:graphicData>
                  </a:graphic>
                </wp:inline>
              </w:drawing>
            </w:r>
          </w:p>
          <w:p>
            <w:pPr>
              <w:adjustRightInd w:val="0"/>
              <w:snapToGrid w:val="0"/>
              <w:spacing w:line="360" w:lineRule="auto"/>
              <w:ind w:firstLine="480"/>
              <w:rPr>
                <w:color w:val="auto"/>
                <w:sz w:val="24"/>
              </w:rPr>
            </w:pPr>
            <w:r>
              <w:rPr>
                <w:color w:val="auto"/>
                <w:sz w:val="24"/>
              </w:rPr>
              <w:t>式中：</w:t>
            </w:r>
          </w:p>
          <w:p>
            <w:pPr>
              <w:adjustRightInd w:val="0"/>
              <w:snapToGrid w:val="0"/>
              <w:spacing w:line="360" w:lineRule="auto"/>
              <w:ind w:firstLine="480"/>
              <w:rPr>
                <w:color w:val="auto"/>
                <w:sz w:val="24"/>
              </w:rPr>
            </w:pPr>
            <w:r>
              <w:rPr>
                <w:color w:val="auto"/>
                <w:sz w:val="24"/>
              </w:rPr>
              <w:t>L</w:t>
            </w:r>
            <w:r>
              <w:rPr>
                <w:color w:val="auto"/>
                <w:sz w:val="24"/>
                <w:vertAlign w:val="subscript"/>
              </w:rPr>
              <w:t>p1i</w:t>
            </w:r>
            <w:r>
              <w:rPr>
                <w:color w:val="auto"/>
                <w:sz w:val="24"/>
              </w:rPr>
              <w:t>(T)—靠近围护结构处室内N个声源i倍频带的叠加声压级，dB；</w:t>
            </w:r>
          </w:p>
          <w:p>
            <w:pPr>
              <w:adjustRightInd w:val="0"/>
              <w:snapToGrid w:val="0"/>
              <w:spacing w:line="360" w:lineRule="auto"/>
              <w:ind w:firstLine="480"/>
              <w:rPr>
                <w:color w:val="auto"/>
                <w:sz w:val="24"/>
              </w:rPr>
            </w:pPr>
            <w:r>
              <w:rPr>
                <w:color w:val="auto"/>
                <w:sz w:val="24"/>
              </w:rPr>
              <w:t>L</w:t>
            </w:r>
            <w:r>
              <w:rPr>
                <w:color w:val="auto"/>
                <w:sz w:val="24"/>
                <w:vertAlign w:val="subscript"/>
              </w:rPr>
              <w:t>p1ij</w:t>
            </w:r>
            <w:r>
              <w:rPr>
                <w:color w:val="auto"/>
                <w:sz w:val="24"/>
              </w:rPr>
              <w:t>—室内j声源i倍频带的声压级，dB；</w:t>
            </w:r>
          </w:p>
          <w:p>
            <w:pPr>
              <w:adjustRightInd w:val="0"/>
              <w:snapToGrid w:val="0"/>
              <w:spacing w:line="360" w:lineRule="auto"/>
              <w:ind w:firstLine="480"/>
              <w:rPr>
                <w:color w:val="auto"/>
                <w:sz w:val="24"/>
              </w:rPr>
            </w:pPr>
            <w:r>
              <w:rPr>
                <w:color w:val="auto"/>
                <w:sz w:val="24"/>
              </w:rPr>
              <w:t>N—室内声源总数。</w:t>
            </w:r>
          </w:p>
          <w:p>
            <w:pPr>
              <w:adjustRightInd w:val="0"/>
              <w:snapToGrid w:val="0"/>
              <w:spacing w:line="360" w:lineRule="auto"/>
              <w:ind w:firstLine="480"/>
              <w:rPr>
                <w:color w:val="auto"/>
                <w:sz w:val="24"/>
              </w:rPr>
            </w:pPr>
            <w:r>
              <w:rPr>
                <w:color w:val="auto"/>
                <w:sz w:val="24"/>
              </w:rPr>
              <w:t>④在室内近似为扩散声场时，按下式计算出室外靠近围护结构处的声压级：</w:t>
            </w:r>
          </w:p>
          <w:p>
            <w:pPr>
              <w:adjustRightInd w:val="0"/>
              <w:snapToGrid w:val="0"/>
              <w:spacing w:line="360" w:lineRule="auto"/>
              <w:ind w:firstLine="480"/>
              <w:jc w:val="center"/>
              <w:rPr>
                <w:color w:val="auto"/>
                <w:sz w:val="24"/>
              </w:rPr>
            </w:pPr>
            <w:r>
              <w:rPr>
                <w:color w:val="auto"/>
                <w:sz w:val="24"/>
              </w:rPr>
              <w:drawing>
                <wp:inline distT="0" distB="0" distL="114300" distR="114300">
                  <wp:extent cx="2085975" cy="333375"/>
                  <wp:effectExtent l="0" t="0" r="1905" b="1905"/>
                  <wp:docPr id="1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8"/>
                          <pic:cNvPicPr>
                            <a:picLocks noChangeAspect="1"/>
                          </pic:cNvPicPr>
                        </pic:nvPicPr>
                        <pic:blipFill>
                          <a:blip r:embed="rId40"/>
                          <a:stretch>
                            <a:fillRect/>
                          </a:stretch>
                        </pic:blipFill>
                        <pic:spPr>
                          <a:xfrm>
                            <a:off x="0" y="0"/>
                            <a:ext cx="2085975" cy="333375"/>
                          </a:xfrm>
                          <a:prstGeom prst="rect">
                            <a:avLst/>
                          </a:prstGeom>
                          <a:noFill/>
                          <a:ln>
                            <a:noFill/>
                          </a:ln>
                        </pic:spPr>
                      </pic:pic>
                    </a:graphicData>
                  </a:graphic>
                </wp:inline>
              </w:drawing>
            </w:r>
          </w:p>
          <w:p>
            <w:pPr>
              <w:adjustRightInd w:val="0"/>
              <w:snapToGrid w:val="0"/>
              <w:spacing w:line="360" w:lineRule="auto"/>
              <w:ind w:firstLine="480"/>
              <w:rPr>
                <w:color w:val="auto"/>
                <w:sz w:val="24"/>
              </w:rPr>
            </w:pPr>
            <w:r>
              <w:rPr>
                <w:color w:val="auto"/>
                <w:sz w:val="24"/>
              </w:rPr>
              <w:t>式中：</w:t>
            </w:r>
          </w:p>
          <w:p>
            <w:pPr>
              <w:adjustRightInd w:val="0"/>
              <w:snapToGrid w:val="0"/>
              <w:spacing w:line="360" w:lineRule="auto"/>
              <w:ind w:firstLine="480"/>
              <w:rPr>
                <w:color w:val="auto"/>
                <w:sz w:val="24"/>
              </w:rPr>
            </w:pPr>
            <w:r>
              <w:rPr>
                <w:color w:val="auto"/>
                <w:sz w:val="24"/>
              </w:rPr>
              <w:t>L</w:t>
            </w:r>
            <w:r>
              <w:rPr>
                <w:color w:val="auto"/>
                <w:sz w:val="24"/>
                <w:vertAlign w:val="subscript"/>
              </w:rPr>
              <w:t>p2i</w:t>
            </w:r>
            <w:r>
              <w:rPr>
                <w:color w:val="auto"/>
                <w:sz w:val="24"/>
              </w:rPr>
              <w:t>(T)—靠近围护结构处室外N个声源i倍频带的叠加声压级，dB；</w:t>
            </w:r>
          </w:p>
          <w:p>
            <w:pPr>
              <w:adjustRightInd w:val="0"/>
              <w:snapToGrid w:val="0"/>
              <w:spacing w:line="360" w:lineRule="auto"/>
              <w:ind w:firstLine="480"/>
              <w:rPr>
                <w:color w:val="auto"/>
                <w:sz w:val="24"/>
              </w:rPr>
            </w:pPr>
            <w:r>
              <w:rPr>
                <w:color w:val="auto"/>
                <w:sz w:val="24"/>
              </w:rPr>
              <w:t>L</w:t>
            </w:r>
            <w:r>
              <w:rPr>
                <w:color w:val="auto"/>
                <w:sz w:val="24"/>
                <w:vertAlign w:val="subscript"/>
              </w:rPr>
              <w:t>p1i</w:t>
            </w:r>
            <w:r>
              <w:rPr>
                <w:color w:val="auto"/>
                <w:sz w:val="24"/>
              </w:rPr>
              <w:t>(T)—靠近围护结构处室内N个声源i倍频带的叠加声压级，dB；</w:t>
            </w:r>
          </w:p>
          <w:p>
            <w:pPr>
              <w:adjustRightInd w:val="0"/>
              <w:snapToGrid w:val="0"/>
              <w:spacing w:line="360" w:lineRule="auto"/>
              <w:ind w:firstLine="480"/>
              <w:rPr>
                <w:color w:val="auto"/>
                <w:sz w:val="24"/>
              </w:rPr>
            </w:pPr>
            <w:r>
              <w:rPr>
                <w:color w:val="auto"/>
                <w:sz w:val="24"/>
              </w:rPr>
              <w:t>TL</w:t>
            </w:r>
            <w:r>
              <w:rPr>
                <w:color w:val="auto"/>
                <w:sz w:val="24"/>
                <w:vertAlign w:val="subscript"/>
              </w:rPr>
              <w:t>i</w:t>
            </w:r>
            <w:r>
              <w:rPr>
                <w:color w:val="auto"/>
                <w:sz w:val="24"/>
              </w:rPr>
              <w:t>—围护结构i倍频带的隔声量，dB。</w:t>
            </w:r>
          </w:p>
          <w:p>
            <w:pPr>
              <w:spacing w:line="360" w:lineRule="auto"/>
              <w:ind w:firstLine="480" w:firstLineChars="200"/>
              <w:rPr>
                <w:color w:val="auto"/>
                <w:sz w:val="24"/>
              </w:rPr>
            </w:pPr>
            <w:r>
              <w:rPr>
                <w:color w:val="auto"/>
                <w:sz w:val="24"/>
              </w:rPr>
              <w:t>(2)预测点的A声级</w:t>
            </w:r>
            <w:r>
              <w:rPr>
                <w:i/>
                <w:color w:val="auto"/>
                <w:sz w:val="24"/>
              </w:rPr>
              <w:t>L</w:t>
            </w:r>
            <w:r>
              <w:rPr>
                <w:color w:val="auto"/>
                <w:sz w:val="24"/>
                <w:vertAlign w:val="subscript"/>
              </w:rPr>
              <w:t>A</w:t>
            </w:r>
            <w:r>
              <w:rPr>
                <w:color w:val="auto"/>
                <w:sz w:val="24"/>
              </w:rPr>
              <w:t>(</w:t>
            </w:r>
            <w:r>
              <w:rPr>
                <w:i/>
                <w:color w:val="auto"/>
                <w:sz w:val="24"/>
              </w:rPr>
              <w:t>r</w:t>
            </w:r>
            <w:r>
              <w:rPr>
                <w:color w:val="auto"/>
                <w:sz w:val="24"/>
              </w:rPr>
              <w:t>)可按下式计算，即将8个倍频带声压级合成，计算出预测点的A声级[</w:t>
            </w:r>
            <w:r>
              <w:rPr>
                <w:i/>
                <w:color w:val="auto"/>
                <w:sz w:val="24"/>
              </w:rPr>
              <w:t>L</w:t>
            </w:r>
            <w:r>
              <w:rPr>
                <w:color w:val="auto"/>
                <w:sz w:val="24"/>
                <w:vertAlign w:val="subscript"/>
              </w:rPr>
              <w:t>A</w:t>
            </w:r>
            <w:r>
              <w:rPr>
                <w:color w:val="auto"/>
                <w:sz w:val="24"/>
              </w:rPr>
              <w:t>(</w:t>
            </w:r>
            <w:r>
              <w:rPr>
                <w:i/>
                <w:color w:val="auto"/>
                <w:sz w:val="24"/>
              </w:rPr>
              <w:t>r</w:t>
            </w:r>
            <w:r>
              <w:rPr>
                <w:color w:val="auto"/>
                <w:sz w:val="24"/>
              </w:rPr>
              <w:t>)]。</w:t>
            </w:r>
          </w:p>
          <w:p>
            <w:pPr>
              <w:spacing w:line="360" w:lineRule="auto"/>
              <w:jc w:val="center"/>
              <w:rPr>
                <w:b/>
                <w:color w:val="auto"/>
                <w:sz w:val="24"/>
              </w:rPr>
            </w:pPr>
            <w:r>
              <w:rPr>
                <w:b/>
                <w:color w:val="auto"/>
                <w:sz w:val="24"/>
              </w:rPr>
              <w:drawing>
                <wp:inline distT="0" distB="0" distL="114300" distR="114300">
                  <wp:extent cx="1935480" cy="419100"/>
                  <wp:effectExtent l="0" t="0" r="0" b="7620"/>
                  <wp:docPr id="1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9"/>
                          <pic:cNvPicPr>
                            <a:picLocks noChangeAspect="1"/>
                          </pic:cNvPicPr>
                        </pic:nvPicPr>
                        <pic:blipFill>
                          <a:blip r:embed="rId41"/>
                          <a:stretch>
                            <a:fillRect/>
                          </a:stretch>
                        </pic:blipFill>
                        <pic:spPr>
                          <a:xfrm>
                            <a:off x="0" y="0"/>
                            <a:ext cx="1935480" cy="419100"/>
                          </a:xfrm>
                          <a:prstGeom prst="rect">
                            <a:avLst/>
                          </a:prstGeom>
                          <a:noFill/>
                          <a:ln>
                            <a:noFill/>
                          </a:ln>
                        </pic:spPr>
                      </pic:pic>
                    </a:graphicData>
                  </a:graphic>
                </wp:inline>
              </w:drawing>
            </w:r>
          </w:p>
          <w:p>
            <w:pPr>
              <w:adjustRightInd w:val="0"/>
              <w:snapToGrid w:val="0"/>
              <w:spacing w:line="360" w:lineRule="auto"/>
              <w:ind w:firstLine="480"/>
              <w:rPr>
                <w:color w:val="auto"/>
                <w:sz w:val="24"/>
              </w:rPr>
            </w:pPr>
            <w:r>
              <w:rPr>
                <w:color w:val="auto"/>
                <w:sz w:val="24"/>
              </w:rPr>
              <w:t>式中：</w:t>
            </w:r>
          </w:p>
          <w:p>
            <w:pPr>
              <w:adjustRightInd w:val="0"/>
              <w:snapToGrid w:val="0"/>
              <w:spacing w:line="360" w:lineRule="auto"/>
              <w:ind w:firstLine="480"/>
              <w:rPr>
                <w:color w:val="auto"/>
                <w:sz w:val="24"/>
              </w:rPr>
            </w:pPr>
            <w:r>
              <w:rPr>
                <w:color w:val="auto"/>
                <w:sz w:val="24"/>
              </w:rPr>
              <w:t>LA(r)—距声源r处的A声级，dB(A)；</w:t>
            </w:r>
          </w:p>
          <w:p>
            <w:pPr>
              <w:adjustRightInd w:val="0"/>
              <w:snapToGrid w:val="0"/>
              <w:spacing w:line="360" w:lineRule="auto"/>
              <w:ind w:firstLine="480"/>
              <w:rPr>
                <w:color w:val="auto"/>
                <w:sz w:val="24"/>
              </w:rPr>
            </w:pPr>
            <w:r>
              <w:rPr>
                <w:color w:val="auto"/>
                <w:sz w:val="24"/>
              </w:rPr>
              <w:t>Lpi(r)—预测点(r)处，第i倍频带声压级，dB；</w:t>
            </w:r>
          </w:p>
          <w:p>
            <w:pPr>
              <w:adjustRightInd w:val="0"/>
              <w:snapToGrid w:val="0"/>
              <w:spacing w:line="360" w:lineRule="auto"/>
              <w:ind w:firstLine="480"/>
              <w:rPr>
                <w:color w:val="auto"/>
                <w:sz w:val="24"/>
              </w:rPr>
            </w:pPr>
            <w:r>
              <w:rPr>
                <w:color w:val="auto"/>
                <w:sz w:val="24"/>
              </w:rPr>
              <w:t>△Li—i倍频带A计算网络修正值，dB(根据导则附录B计算)。</w:t>
            </w:r>
          </w:p>
          <w:p>
            <w:pPr>
              <w:adjustRightInd w:val="0"/>
              <w:snapToGrid w:val="0"/>
              <w:spacing w:line="360" w:lineRule="auto"/>
              <w:ind w:firstLine="480"/>
              <w:rPr>
                <w:color w:val="auto"/>
                <w:sz w:val="24"/>
              </w:rPr>
            </w:pPr>
            <w:r>
              <w:rPr>
                <w:color w:val="auto"/>
                <w:sz w:val="24"/>
              </w:rPr>
              <w:t>衰减项计算按导则附录A中A.3相关模式计算。</w:t>
            </w:r>
          </w:p>
          <w:p>
            <w:pPr>
              <w:adjustRightInd w:val="0"/>
              <w:snapToGrid w:val="0"/>
              <w:spacing w:line="360" w:lineRule="auto"/>
              <w:ind w:firstLine="480"/>
              <w:rPr>
                <w:color w:val="auto"/>
                <w:sz w:val="24"/>
              </w:rPr>
            </w:pPr>
            <w:r>
              <w:rPr>
                <w:color w:val="auto"/>
                <w:sz w:val="24"/>
              </w:rPr>
              <w:t>(3)噪声贡献值计算</w:t>
            </w:r>
          </w:p>
          <w:p>
            <w:pPr>
              <w:adjustRightInd w:val="0"/>
              <w:snapToGrid w:val="0"/>
              <w:spacing w:line="360" w:lineRule="auto"/>
              <w:ind w:firstLine="480"/>
              <w:rPr>
                <w:color w:val="auto"/>
                <w:sz w:val="24"/>
              </w:rPr>
            </w:pPr>
            <w:r>
              <w:rPr>
                <w:color w:val="auto"/>
                <w:sz w:val="24"/>
              </w:rPr>
              <w:t>设第i个室外声源在预测点产生的A声级为L</w:t>
            </w:r>
            <w:r>
              <w:rPr>
                <w:color w:val="auto"/>
                <w:sz w:val="24"/>
                <w:vertAlign w:val="subscript"/>
              </w:rPr>
              <w:t>Ai</w:t>
            </w:r>
            <w:r>
              <w:rPr>
                <w:color w:val="auto"/>
                <w:sz w:val="24"/>
              </w:rPr>
              <w:t>，在T时间内该声源工作时间为t</w:t>
            </w:r>
            <w:r>
              <w:rPr>
                <w:color w:val="auto"/>
                <w:sz w:val="24"/>
                <w:vertAlign w:val="subscript"/>
              </w:rPr>
              <w:t>i</w:t>
            </w:r>
            <w:r>
              <w:rPr>
                <w:color w:val="auto"/>
                <w:sz w:val="24"/>
              </w:rPr>
              <w:t>；第j个等效室外声源在预测点产生的A声级为L</w:t>
            </w:r>
            <w:r>
              <w:rPr>
                <w:color w:val="auto"/>
                <w:sz w:val="24"/>
                <w:vertAlign w:val="subscript"/>
              </w:rPr>
              <w:t>Aj</w:t>
            </w:r>
            <w:r>
              <w:rPr>
                <w:color w:val="auto"/>
                <w:sz w:val="24"/>
              </w:rPr>
              <w:t>，在T时间内该声源工作时间为t</w:t>
            </w:r>
            <w:r>
              <w:rPr>
                <w:color w:val="auto"/>
                <w:sz w:val="24"/>
                <w:vertAlign w:val="subscript"/>
              </w:rPr>
              <w:t xml:space="preserve"> j</w:t>
            </w:r>
            <w:r>
              <w:rPr>
                <w:color w:val="auto"/>
                <w:sz w:val="24"/>
              </w:rPr>
              <w:t>，则拟建工程声源对预测点产生的贡献值(Leqg)为：</w:t>
            </w:r>
          </w:p>
          <w:p>
            <w:pPr>
              <w:spacing w:line="360" w:lineRule="auto"/>
              <w:ind w:firstLine="555"/>
              <w:jc w:val="center"/>
              <w:rPr>
                <w:color w:val="auto"/>
                <w:sz w:val="24"/>
              </w:rPr>
            </w:pPr>
            <w:r>
              <w:rPr>
                <w:color w:val="auto"/>
                <w:sz w:val="24"/>
              </w:rPr>
              <w:drawing>
                <wp:inline distT="0" distB="0" distL="114300" distR="114300">
                  <wp:extent cx="2367280" cy="485775"/>
                  <wp:effectExtent l="0" t="0" r="10160" b="1905"/>
                  <wp:docPr id="1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0"/>
                          <pic:cNvPicPr>
                            <a:picLocks noChangeAspect="1"/>
                          </pic:cNvPicPr>
                        </pic:nvPicPr>
                        <pic:blipFill>
                          <a:blip r:embed="rId42"/>
                          <a:stretch>
                            <a:fillRect/>
                          </a:stretch>
                        </pic:blipFill>
                        <pic:spPr>
                          <a:xfrm>
                            <a:off x="0" y="0"/>
                            <a:ext cx="2367280" cy="485775"/>
                          </a:xfrm>
                          <a:prstGeom prst="rect">
                            <a:avLst/>
                          </a:prstGeom>
                          <a:noFill/>
                          <a:ln>
                            <a:noFill/>
                          </a:ln>
                        </pic:spPr>
                      </pic:pic>
                    </a:graphicData>
                  </a:graphic>
                </wp:inline>
              </w:drawing>
            </w:r>
          </w:p>
          <w:p>
            <w:pPr>
              <w:spacing w:line="360" w:lineRule="auto"/>
              <w:ind w:firstLine="480" w:firstLineChars="200"/>
              <w:rPr>
                <w:color w:val="auto"/>
                <w:sz w:val="24"/>
              </w:rPr>
            </w:pPr>
            <w:r>
              <w:rPr>
                <w:color w:val="auto"/>
                <w:sz w:val="24"/>
              </w:rPr>
              <w:t>式中：Leqg——建设项目声源在预测点产生的噪声贡献值，dB(A)；</w:t>
            </w:r>
          </w:p>
          <w:p>
            <w:pPr>
              <w:spacing w:line="360" w:lineRule="auto"/>
              <w:ind w:firstLine="1200" w:firstLineChars="500"/>
              <w:rPr>
                <w:color w:val="auto"/>
                <w:sz w:val="24"/>
              </w:rPr>
            </w:pPr>
            <w:r>
              <w:rPr>
                <w:color w:val="auto"/>
                <w:sz w:val="24"/>
              </w:rPr>
              <w:t>T——用于计算等效声级的时间，s；</w:t>
            </w:r>
          </w:p>
          <w:p>
            <w:pPr>
              <w:spacing w:line="360" w:lineRule="auto"/>
              <w:ind w:firstLine="1200" w:firstLineChars="500"/>
              <w:rPr>
                <w:color w:val="auto"/>
                <w:sz w:val="24"/>
              </w:rPr>
            </w:pPr>
            <w:r>
              <w:rPr>
                <w:color w:val="auto"/>
                <w:sz w:val="24"/>
              </w:rPr>
              <w:t>N——室外声源个数；</w:t>
            </w:r>
          </w:p>
          <w:p>
            <w:pPr>
              <w:spacing w:line="360" w:lineRule="auto"/>
              <w:ind w:firstLine="1200" w:firstLineChars="500"/>
              <w:rPr>
                <w:color w:val="auto"/>
                <w:sz w:val="24"/>
              </w:rPr>
            </w:pPr>
            <w:r>
              <w:rPr>
                <w:color w:val="auto"/>
                <w:sz w:val="24"/>
              </w:rPr>
              <w:t>t</w:t>
            </w:r>
            <w:r>
              <w:rPr>
                <w:color w:val="auto"/>
                <w:sz w:val="24"/>
                <w:vertAlign w:val="subscript"/>
              </w:rPr>
              <w:t>i</w:t>
            </w:r>
            <w:r>
              <w:rPr>
                <w:color w:val="auto"/>
                <w:sz w:val="24"/>
              </w:rPr>
              <w:t>——在T时间内i声源工作时间，s；</w:t>
            </w:r>
          </w:p>
          <w:p>
            <w:pPr>
              <w:spacing w:line="360" w:lineRule="auto"/>
              <w:ind w:firstLine="1200" w:firstLineChars="500"/>
              <w:rPr>
                <w:color w:val="auto"/>
                <w:sz w:val="24"/>
              </w:rPr>
            </w:pPr>
            <w:r>
              <w:rPr>
                <w:color w:val="auto"/>
                <w:sz w:val="24"/>
              </w:rPr>
              <w:t>M——等效室外声源个数；</w:t>
            </w:r>
          </w:p>
          <w:p>
            <w:pPr>
              <w:spacing w:line="360" w:lineRule="auto"/>
              <w:ind w:firstLine="1200" w:firstLineChars="500"/>
              <w:rPr>
                <w:color w:val="auto"/>
                <w:sz w:val="24"/>
              </w:rPr>
            </w:pPr>
            <w:r>
              <w:rPr>
                <w:color w:val="auto"/>
                <w:sz w:val="24"/>
              </w:rPr>
              <w:t>t</w:t>
            </w:r>
            <w:r>
              <w:rPr>
                <w:color w:val="auto"/>
                <w:sz w:val="24"/>
                <w:vertAlign w:val="subscript"/>
              </w:rPr>
              <w:t xml:space="preserve">j </w:t>
            </w:r>
            <w:r>
              <w:rPr>
                <w:color w:val="auto"/>
                <w:sz w:val="24"/>
              </w:rPr>
              <w:t>——在T时间内j声源工作时间，s。</w:t>
            </w:r>
          </w:p>
          <w:p>
            <w:pPr>
              <w:spacing w:line="360" w:lineRule="auto"/>
              <w:ind w:firstLine="480" w:firstLineChars="200"/>
              <w:rPr>
                <w:color w:val="auto"/>
                <w:sz w:val="24"/>
              </w:rPr>
            </w:pPr>
            <w:r>
              <w:rPr>
                <w:color w:val="auto"/>
                <w:sz w:val="24"/>
              </w:rPr>
              <w:t>(4)噪声预测值计算</w:t>
            </w:r>
          </w:p>
          <w:p>
            <w:pPr>
              <w:spacing w:line="360" w:lineRule="auto"/>
              <w:ind w:firstLine="480" w:firstLineChars="200"/>
              <w:rPr>
                <w:color w:val="auto"/>
                <w:sz w:val="24"/>
              </w:rPr>
            </w:pPr>
            <w:r>
              <w:rPr>
                <w:color w:val="auto"/>
                <w:sz w:val="24"/>
              </w:rPr>
              <w:t>预测点的贡献值和背景值按能量叠加方法计算得到的声级，计算公式：</w:t>
            </w:r>
          </w:p>
          <w:p>
            <w:pPr>
              <w:spacing w:line="360" w:lineRule="auto"/>
              <w:jc w:val="center"/>
              <w:rPr>
                <w:color w:val="auto"/>
                <w:sz w:val="24"/>
              </w:rPr>
            </w:pPr>
            <w:r>
              <w:rPr>
                <w:color w:val="auto"/>
                <w:sz w:val="24"/>
              </w:rPr>
              <w:drawing>
                <wp:inline distT="0" distB="0" distL="114300" distR="114300">
                  <wp:extent cx="1907540" cy="304165"/>
                  <wp:effectExtent l="0" t="0" r="12700" b="635"/>
                  <wp:docPr id="1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1"/>
                          <pic:cNvPicPr>
                            <a:picLocks noChangeAspect="1"/>
                          </pic:cNvPicPr>
                        </pic:nvPicPr>
                        <pic:blipFill>
                          <a:blip r:embed="rId43"/>
                          <a:stretch>
                            <a:fillRect/>
                          </a:stretch>
                        </pic:blipFill>
                        <pic:spPr>
                          <a:xfrm>
                            <a:off x="0" y="0"/>
                            <a:ext cx="1907540" cy="304165"/>
                          </a:xfrm>
                          <a:prstGeom prst="rect">
                            <a:avLst/>
                          </a:prstGeom>
                          <a:noFill/>
                          <a:ln>
                            <a:noFill/>
                          </a:ln>
                        </pic:spPr>
                      </pic:pic>
                    </a:graphicData>
                  </a:graphic>
                </wp:inline>
              </w:drawing>
            </w:r>
            <w:r>
              <w:rPr>
                <w:color w:val="auto"/>
                <w:sz w:val="24"/>
              </w:rPr>
              <w:t>(2)</w:t>
            </w:r>
          </w:p>
          <w:p>
            <w:pPr>
              <w:spacing w:line="360" w:lineRule="auto"/>
              <w:ind w:firstLine="480"/>
              <w:rPr>
                <w:color w:val="auto"/>
                <w:sz w:val="24"/>
              </w:rPr>
            </w:pPr>
            <w:r>
              <w:rPr>
                <w:color w:val="auto"/>
                <w:sz w:val="24"/>
              </w:rPr>
              <w:t>式中：</w:t>
            </w:r>
          </w:p>
          <w:p>
            <w:pPr>
              <w:spacing w:line="360" w:lineRule="auto"/>
              <w:ind w:firstLine="480"/>
              <w:rPr>
                <w:color w:val="auto"/>
                <w:sz w:val="24"/>
              </w:rPr>
            </w:pPr>
            <w:r>
              <w:rPr>
                <w:color w:val="auto"/>
                <w:sz w:val="24"/>
              </w:rPr>
              <w:t>Leq—预测点的噪声预测值，dB；</w:t>
            </w:r>
          </w:p>
          <w:p>
            <w:pPr>
              <w:spacing w:line="360" w:lineRule="auto"/>
              <w:ind w:firstLine="480"/>
              <w:rPr>
                <w:color w:val="auto"/>
                <w:sz w:val="24"/>
              </w:rPr>
            </w:pPr>
            <w:r>
              <w:rPr>
                <w:color w:val="auto"/>
                <w:sz w:val="24"/>
              </w:rPr>
              <w:t>Leqg—建设项目声源在预测点产生的噪声贡献值，dB；</w:t>
            </w:r>
          </w:p>
          <w:p>
            <w:pPr>
              <w:spacing w:line="360" w:lineRule="auto"/>
              <w:ind w:firstLine="480"/>
              <w:rPr>
                <w:color w:val="auto"/>
                <w:sz w:val="24"/>
              </w:rPr>
            </w:pPr>
            <w:r>
              <w:rPr>
                <w:color w:val="auto"/>
                <w:sz w:val="24"/>
              </w:rPr>
              <w:t>Leqb—预测点的背景噪声值，dB。</w:t>
            </w:r>
          </w:p>
          <w:p>
            <w:pPr>
              <w:snapToGrid w:val="0"/>
              <w:spacing w:line="360" w:lineRule="auto"/>
              <w:ind w:right="11" w:firstLine="480" w:firstLineChars="200"/>
              <w:rPr>
                <w:color w:val="auto"/>
                <w:sz w:val="24"/>
              </w:rPr>
            </w:pPr>
            <w:r>
              <w:rPr>
                <w:color w:val="auto"/>
                <w:sz w:val="24"/>
              </w:rPr>
              <w:t>(5)隔声量的确定</w:t>
            </w:r>
          </w:p>
          <w:p>
            <w:pPr>
              <w:snapToGrid w:val="0"/>
              <w:spacing w:line="360" w:lineRule="auto"/>
              <w:ind w:right="11" w:firstLine="480" w:firstLineChars="200"/>
              <w:rPr>
                <w:color w:val="auto"/>
                <w:sz w:val="24"/>
              </w:rPr>
            </w:pPr>
            <w:r>
              <w:rPr>
                <w:color w:val="auto"/>
                <w:sz w:val="24"/>
              </w:rPr>
              <w:t>项目主要噪声设备大多设置于各建构筑物内，设备噪声经墙体隔声，设备基础减振</w:t>
            </w:r>
            <w:r>
              <w:rPr>
                <w:rFonts w:hint="eastAsia"/>
                <w:color w:val="auto"/>
                <w:sz w:val="24"/>
                <w:lang w:eastAsia="zh-CN"/>
              </w:rPr>
              <w:t>后</w:t>
            </w:r>
            <w:r>
              <w:rPr>
                <w:color w:val="auto"/>
                <w:sz w:val="24"/>
              </w:rPr>
              <w:t>，可削减10~20dB(A)以上，本项目取10dB(A)。</w:t>
            </w:r>
          </w:p>
          <w:p>
            <w:pPr>
              <w:pStyle w:val="116"/>
              <w:rPr>
                <w:rFonts w:eastAsia="宋体" w:cs="Times New Roman"/>
                <w:b/>
                <w:bCs w:val="0"/>
                <w:color w:val="auto"/>
                <w:sz w:val="30"/>
                <w:szCs w:val="30"/>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3</w:t>
            </w:r>
            <w:r>
              <w:rPr>
                <w:rFonts w:eastAsia="宋体" w:cs="Times New Roman"/>
                <w:b/>
                <w:bCs w:val="0"/>
                <w:color w:val="auto"/>
                <w:sz w:val="30"/>
                <w:szCs w:val="30"/>
                <w:lang w:val="en-GB"/>
              </w:rPr>
              <w:t>.</w:t>
            </w:r>
            <w:r>
              <w:rPr>
                <w:rFonts w:hint="eastAsia" w:eastAsia="宋体" w:cs="Times New Roman"/>
                <w:b/>
                <w:bCs w:val="0"/>
                <w:color w:val="auto"/>
                <w:sz w:val="30"/>
                <w:szCs w:val="30"/>
              </w:rPr>
              <w:t>3</w:t>
            </w:r>
            <w:r>
              <w:rPr>
                <w:rFonts w:hint="eastAsia" w:eastAsia="宋体" w:cs="Times New Roman"/>
                <w:b/>
                <w:bCs w:val="0"/>
                <w:color w:val="auto"/>
                <w:sz w:val="30"/>
                <w:szCs w:val="30"/>
                <w:lang w:val="en-GB"/>
              </w:rPr>
              <w:t>运营期噪声</w:t>
            </w:r>
            <w:r>
              <w:rPr>
                <w:rFonts w:hint="eastAsia" w:eastAsia="宋体" w:cs="Times New Roman"/>
                <w:b/>
                <w:bCs w:val="0"/>
                <w:color w:val="auto"/>
                <w:sz w:val="30"/>
                <w:szCs w:val="30"/>
              </w:rPr>
              <w:t>达标性分析</w:t>
            </w:r>
          </w:p>
          <w:p>
            <w:pPr>
              <w:snapToGrid w:val="0"/>
              <w:spacing w:line="360" w:lineRule="auto"/>
              <w:ind w:right="11" w:firstLine="480" w:firstLineChars="200"/>
              <w:rPr>
                <w:color w:val="auto"/>
                <w:sz w:val="24"/>
              </w:rPr>
            </w:pPr>
            <w:r>
              <w:rPr>
                <w:rFonts w:hint="eastAsia"/>
                <w:color w:val="auto"/>
                <w:sz w:val="24"/>
              </w:rPr>
              <w:t>(1)</w:t>
            </w:r>
            <w:r>
              <w:rPr>
                <w:color w:val="auto"/>
                <w:sz w:val="24"/>
              </w:rPr>
              <w:t>预测范围及评价标准</w:t>
            </w:r>
          </w:p>
          <w:p>
            <w:pPr>
              <w:snapToGrid w:val="0"/>
              <w:spacing w:line="360" w:lineRule="auto"/>
              <w:ind w:right="11" w:firstLine="480" w:firstLineChars="200"/>
              <w:rPr>
                <w:color w:val="auto"/>
                <w:sz w:val="24"/>
              </w:rPr>
            </w:pPr>
            <w:r>
              <w:rPr>
                <w:color w:val="auto"/>
                <w:sz w:val="24"/>
              </w:rPr>
              <w:t>①根据项目特性和周围区域环境概况，本项目的噪声评价等级为三级，声环境评价范围为项目厂界外</w:t>
            </w:r>
            <w:r>
              <w:rPr>
                <w:rFonts w:hint="eastAsia"/>
                <w:color w:val="auto"/>
                <w:sz w:val="24"/>
              </w:rPr>
              <w:t>5</w:t>
            </w:r>
            <w:r>
              <w:rPr>
                <w:color w:val="auto"/>
                <w:sz w:val="24"/>
              </w:rPr>
              <w:t>0m范围。</w:t>
            </w:r>
          </w:p>
          <w:p>
            <w:pPr>
              <w:pStyle w:val="48"/>
              <w:wordWrap w:val="0"/>
              <w:ind w:firstLine="480"/>
              <w:rPr>
                <w:color w:val="auto"/>
              </w:rPr>
            </w:pPr>
            <w:r>
              <w:rPr>
                <w:color w:val="auto"/>
              </w:rPr>
              <w:t>②项目厂界外</w:t>
            </w:r>
            <w:r>
              <w:rPr>
                <w:rFonts w:hint="eastAsia"/>
                <w:color w:val="auto"/>
              </w:rPr>
              <w:t>5</w:t>
            </w:r>
            <w:r>
              <w:rPr>
                <w:color w:val="auto"/>
              </w:rPr>
              <w:t>0m范围</w:t>
            </w:r>
            <w:r>
              <w:rPr>
                <w:rFonts w:hint="eastAsia"/>
                <w:color w:val="auto"/>
              </w:rPr>
              <w:t>无噪声敏感目标，</w:t>
            </w:r>
            <w:r>
              <w:rPr>
                <w:color w:val="auto"/>
              </w:rPr>
              <w:t>评价主要对项目运营期厂界噪声影响进行预测，</w:t>
            </w:r>
            <w:r>
              <w:rPr>
                <w:rFonts w:hint="eastAsia"/>
                <w:color w:val="auto"/>
              </w:rPr>
              <w:t>西南侧沿东环路一侧的厂界</w:t>
            </w:r>
            <w:r>
              <w:rPr>
                <w:color w:val="auto"/>
              </w:rPr>
              <w:t>噪声执行《工业企业厂界环境噪声排放标准》（GB12348-2008）中的</w:t>
            </w:r>
            <w:r>
              <w:rPr>
                <w:rFonts w:hint="eastAsia"/>
                <w:color w:val="auto"/>
              </w:rPr>
              <w:t>4</w:t>
            </w:r>
            <w:r>
              <w:rPr>
                <w:color w:val="auto"/>
              </w:rPr>
              <w:t>类标准，</w:t>
            </w:r>
            <w:r>
              <w:rPr>
                <w:rFonts w:hint="eastAsia"/>
                <w:color w:val="auto"/>
              </w:rPr>
              <w:t>其余西北侧、东北侧、东南侧厂界</w:t>
            </w:r>
            <w:r>
              <w:rPr>
                <w:color w:val="auto"/>
              </w:rPr>
              <w:t>执行《工业企业厂界环境噪声排放标准》（GB12348-2008）中的</w:t>
            </w:r>
            <w:r>
              <w:rPr>
                <w:rFonts w:hint="eastAsia"/>
                <w:color w:val="auto"/>
              </w:rPr>
              <w:t>2</w:t>
            </w:r>
            <w:r>
              <w:rPr>
                <w:color w:val="auto"/>
              </w:rPr>
              <w:t>类标准</w:t>
            </w:r>
            <w:r>
              <w:rPr>
                <w:rFonts w:hint="eastAsia"/>
                <w:color w:val="auto"/>
              </w:rPr>
              <w:t>。</w:t>
            </w:r>
          </w:p>
          <w:p>
            <w:pPr>
              <w:snapToGrid w:val="0"/>
              <w:spacing w:line="360" w:lineRule="auto"/>
              <w:ind w:right="11" w:firstLine="480" w:firstLineChars="200"/>
              <w:rPr>
                <w:color w:val="auto"/>
                <w:sz w:val="24"/>
              </w:rPr>
            </w:pPr>
            <w:r>
              <w:rPr>
                <w:color w:val="auto"/>
                <w:sz w:val="24"/>
              </w:rPr>
              <w:t>(</w:t>
            </w:r>
            <w:r>
              <w:rPr>
                <w:rFonts w:hint="eastAsia"/>
                <w:color w:val="auto"/>
                <w:sz w:val="24"/>
              </w:rPr>
              <w:t>2</w:t>
            </w:r>
            <w:r>
              <w:rPr>
                <w:color w:val="auto"/>
                <w:sz w:val="24"/>
              </w:rPr>
              <w:t>)</w:t>
            </w:r>
            <w:r>
              <w:rPr>
                <w:rFonts w:hint="eastAsia"/>
                <w:color w:val="auto"/>
                <w:sz w:val="24"/>
              </w:rPr>
              <w:t>预测结果</w:t>
            </w:r>
          </w:p>
          <w:p>
            <w:pPr>
              <w:snapToGrid w:val="0"/>
              <w:spacing w:line="360" w:lineRule="auto"/>
              <w:ind w:right="11" w:firstLine="480" w:firstLineChars="200"/>
              <w:rPr>
                <w:color w:val="auto"/>
                <w:sz w:val="24"/>
              </w:rPr>
            </w:pPr>
            <w:r>
              <w:rPr>
                <w:color w:val="auto"/>
                <w:sz w:val="24"/>
              </w:rPr>
              <w:t>采用上述预测模式计算厂界处的噪声排放声级及其对周边声环境的影响，预测结果见</w:t>
            </w:r>
            <w:r>
              <w:rPr>
                <w:b/>
                <w:bCs/>
                <w:color w:val="auto"/>
                <w:sz w:val="24"/>
              </w:rPr>
              <w:t>表4.</w:t>
            </w:r>
            <w:r>
              <w:rPr>
                <w:rFonts w:hint="eastAsia"/>
                <w:b/>
                <w:bCs/>
                <w:color w:val="auto"/>
                <w:sz w:val="24"/>
              </w:rPr>
              <w:t>3-3</w:t>
            </w:r>
            <w:r>
              <w:rPr>
                <w:color w:val="auto"/>
                <w:sz w:val="24"/>
              </w:rPr>
              <w:t>。</w:t>
            </w:r>
          </w:p>
          <w:p>
            <w:pPr>
              <w:pStyle w:val="97"/>
              <w:ind w:firstLine="480"/>
              <w:rPr>
                <w:color w:val="auto"/>
              </w:rPr>
            </w:pPr>
            <w:r>
              <w:rPr>
                <w:rFonts w:hint="eastAsia"/>
                <w:color w:val="auto"/>
              </w:rPr>
              <w:t>扩建项目夜间不进行生产，</w:t>
            </w:r>
            <w:r>
              <w:rPr>
                <w:color w:val="auto"/>
              </w:rPr>
              <w:t>由表4.</w:t>
            </w:r>
            <w:r>
              <w:rPr>
                <w:rFonts w:hint="eastAsia"/>
                <w:color w:val="auto"/>
              </w:rPr>
              <w:t>3-3可知</w:t>
            </w:r>
            <w:r>
              <w:rPr>
                <w:color w:val="auto"/>
              </w:rPr>
              <w:t>，</w:t>
            </w:r>
            <w:r>
              <w:rPr>
                <w:rFonts w:hint="eastAsia"/>
                <w:color w:val="auto"/>
              </w:rPr>
              <w:t>西南侧沿东环路一侧的厂界</w:t>
            </w:r>
            <w:r>
              <w:rPr>
                <w:color w:val="auto"/>
              </w:rPr>
              <w:t>昼间噪声预测值可满足《工业企业厂界环境噪声排放标准》（GB12348-2008）中</w:t>
            </w:r>
            <w:r>
              <w:rPr>
                <w:rFonts w:hint="eastAsia"/>
                <w:color w:val="auto"/>
              </w:rPr>
              <w:t>4</w:t>
            </w:r>
            <w:r>
              <w:rPr>
                <w:color w:val="auto"/>
              </w:rPr>
              <w:t>类标准，</w:t>
            </w:r>
            <w:r>
              <w:rPr>
                <w:rFonts w:hint="eastAsia"/>
                <w:color w:val="auto"/>
              </w:rPr>
              <w:t>西北侧、东北侧、东南侧厂界</w:t>
            </w:r>
            <w:r>
              <w:rPr>
                <w:color w:val="auto"/>
              </w:rPr>
              <w:t>昼间噪声预测值均可满足《工业企业厂界环境噪声排放标准》（GB12348-2008）中</w:t>
            </w:r>
            <w:r>
              <w:rPr>
                <w:rFonts w:hint="eastAsia"/>
                <w:color w:val="auto"/>
              </w:rPr>
              <w:t>2</w:t>
            </w:r>
            <w:r>
              <w:rPr>
                <w:color w:val="auto"/>
              </w:rPr>
              <w:t>类标准，对周边声环境影响较小。</w:t>
            </w:r>
          </w:p>
        </w:tc>
      </w:tr>
    </w:tbl>
    <w:p>
      <w:pPr>
        <w:rPr>
          <w:color w:val="auto"/>
        </w:rPr>
        <w:sectPr>
          <w:pgSz w:w="11907" w:h="16840"/>
          <w:pgMar w:top="1701" w:right="1531" w:bottom="2127" w:left="1531" w:header="851" w:footer="851" w:gutter="0"/>
          <w:cols w:space="720" w:num="1"/>
          <w:docGrid w:linePitch="312" w:charSpace="0"/>
        </w:sectPr>
      </w:pPr>
    </w:p>
    <w:tbl>
      <w:tblPr>
        <w:tblStyle w:val="36"/>
        <w:tblW w:w="2016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01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67" w:hRule="atLeast"/>
          <w:jc w:val="center"/>
        </w:trPr>
        <w:tc>
          <w:tcPr>
            <w:tcW w:w="20164" w:type="dxa"/>
            <w:tcMar>
              <w:left w:w="28" w:type="dxa"/>
              <w:right w:w="28" w:type="dxa"/>
            </w:tcMar>
            <w:vAlign w:val="center"/>
          </w:tcPr>
          <w:p>
            <w:pPr>
              <w:tabs>
                <w:tab w:val="left" w:pos="482"/>
              </w:tabs>
              <w:jc w:val="center"/>
              <w:rPr>
                <w:b/>
                <w:color w:val="auto"/>
                <w:kern w:val="0"/>
                <w:sz w:val="24"/>
              </w:rPr>
            </w:pPr>
            <w:bookmarkStart w:id="24" w:name="_Ref186790706"/>
            <w:r>
              <w:rPr>
                <w:rFonts w:hint="eastAsia"/>
                <w:b/>
                <w:color w:val="auto"/>
                <w:kern w:val="0"/>
                <w:sz w:val="24"/>
              </w:rPr>
              <w:t xml:space="preserve">表4.3-1  </w:t>
            </w:r>
            <w:r>
              <w:rPr>
                <w:b/>
                <w:color w:val="auto"/>
                <w:kern w:val="0"/>
                <w:sz w:val="24"/>
              </w:rPr>
              <w:t>室内声源调查清单</w:t>
            </w:r>
          </w:p>
          <w:tbl>
            <w:tblPr>
              <w:tblStyle w:val="36"/>
              <w:tblW w:w="1967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0"/>
              <w:gridCol w:w="646"/>
              <w:gridCol w:w="1534"/>
              <w:gridCol w:w="379"/>
              <w:gridCol w:w="840"/>
              <w:gridCol w:w="767"/>
              <w:gridCol w:w="867"/>
              <w:gridCol w:w="803"/>
              <w:gridCol w:w="593"/>
              <w:gridCol w:w="793"/>
              <w:gridCol w:w="703"/>
              <w:gridCol w:w="524"/>
              <w:gridCol w:w="461"/>
              <w:gridCol w:w="480"/>
              <w:gridCol w:w="536"/>
              <w:gridCol w:w="784"/>
              <w:gridCol w:w="693"/>
              <w:gridCol w:w="710"/>
              <w:gridCol w:w="739"/>
              <w:gridCol w:w="517"/>
              <w:gridCol w:w="544"/>
              <w:gridCol w:w="480"/>
              <w:gridCol w:w="517"/>
              <w:gridCol w:w="517"/>
              <w:gridCol w:w="840"/>
              <w:gridCol w:w="757"/>
              <w:gridCol w:w="720"/>
              <w:gridCol w:w="736"/>
              <w:gridCol w:w="7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0" w:type="dxa"/>
                  <w:vMerge w:val="restart"/>
                  <w:tcBorders>
                    <w:top w:val="single" w:color="auto" w:sz="12" w:space="0"/>
                  </w:tcBorders>
                  <w:vAlign w:val="center"/>
                </w:tcPr>
                <w:p>
                  <w:pPr>
                    <w:adjustRightInd w:val="0"/>
                    <w:snapToGrid w:val="0"/>
                    <w:jc w:val="center"/>
                    <w:rPr>
                      <w:color w:val="auto"/>
                      <w:kern w:val="0"/>
                      <w:szCs w:val="21"/>
                    </w:rPr>
                  </w:pPr>
                  <w:r>
                    <w:rPr>
                      <w:color w:val="auto"/>
                      <w:kern w:val="0"/>
                      <w:szCs w:val="21"/>
                    </w:rPr>
                    <w:t>序号</w:t>
                  </w:r>
                </w:p>
              </w:tc>
              <w:tc>
                <w:tcPr>
                  <w:tcW w:w="646" w:type="dxa"/>
                  <w:vMerge w:val="restart"/>
                  <w:tcBorders>
                    <w:top w:val="single" w:color="auto" w:sz="12" w:space="0"/>
                  </w:tcBorders>
                  <w:vAlign w:val="center"/>
                </w:tcPr>
                <w:p>
                  <w:pPr>
                    <w:adjustRightInd w:val="0"/>
                    <w:snapToGrid w:val="0"/>
                    <w:jc w:val="center"/>
                    <w:rPr>
                      <w:color w:val="auto"/>
                      <w:kern w:val="0"/>
                      <w:szCs w:val="21"/>
                    </w:rPr>
                  </w:pPr>
                  <w:r>
                    <w:rPr>
                      <w:color w:val="auto"/>
                      <w:kern w:val="0"/>
                      <w:szCs w:val="21"/>
                    </w:rPr>
                    <w:t>建筑物名称</w:t>
                  </w:r>
                </w:p>
              </w:tc>
              <w:tc>
                <w:tcPr>
                  <w:tcW w:w="1534" w:type="dxa"/>
                  <w:vMerge w:val="restart"/>
                  <w:tcBorders>
                    <w:top w:val="single" w:color="auto" w:sz="12" w:space="0"/>
                  </w:tcBorders>
                  <w:vAlign w:val="center"/>
                </w:tcPr>
                <w:p>
                  <w:pPr>
                    <w:adjustRightInd w:val="0"/>
                    <w:snapToGrid w:val="0"/>
                    <w:jc w:val="center"/>
                    <w:rPr>
                      <w:color w:val="auto"/>
                      <w:kern w:val="0"/>
                      <w:szCs w:val="21"/>
                    </w:rPr>
                  </w:pPr>
                  <w:r>
                    <w:rPr>
                      <w:color w:val="auto"/>
                      <w:kern w:val="0"/>
                      <w:szCs w:val="21"/>
                    </w:rPr>
                    <w:t>声源名称</w:t>
                  </w:r>
                </w:p>
              </w:tc>
              <w:tc>
                <w:tcPr>
                  <w:tcW w:w="379" w:type="dxa"/>
                  <w:vMerge w:val="restart"/>
                  <w:tcBorders>
                    <w:top w:val="single" w:color="auto" w:sz="12" w:space="0"/>
                  </w:tcBorders>
                  <w:vAlign w:val="center"/>
                </w:tcPr>
                <w:p>
                  <w:pPr>
                    <w:adjustRightInd w:val="0"/>
                    <w:snapToGrid w:val="0"/>
                    <w:jc w:val="center"/>
                    <w:rPr>
                      <w:color w:val="auto"/>
                      <w:kern w:val="0"/>
                      <w:szCs w:val="21"/>
                    </w:rPr>
                  </w:pPr>
                  <w:r>
                    <w:rPr>
                      <w:rFonts w:hint="eastAsia"/>
                      <w:color w:val="auto"/>
                      <w:kern w:val="0"/>
                      <w:szCs w:val="21"/>
                    </w:rPr>
                    <w:t>数量</w:t>
                  </w:r>
                </w:p>
              </w:tc>
              <w:tc>
                <w:tcPr>
                  <w:tcW w:w="1607" w:type="dxa"/>
                  <w:gridSpan w:val="2"/>
                  <w:tcBorders>
                    <w:top w:val="single" w:color="auto" w:sz="12" w:space="0"/>
                  </w:tcBorders>
                  <w:vAlign w:val="center"/>
                </w:tcPr>
                <w:p>
                  <w:pPr>
                    <w:adjustRightInd w:val="0"/>
                    <w:snapToGrid w:val="0"/>
                    <w:jc w:val="center"/>
                    <w:rPr>
                      <w:color w:val="auto"/>
                      <w:kern w:val="0"/>
                      <w:szCs w:val="21"/>
                    </w:rPr>
                  </w:pPr>
                  <w:r>
                    <w:rPr>
                      <w:color w:val="auto"/>
                      <w:kern w:val="0"/>
                      <w:szCs w:val="21"/>
                    </w:rPr>
                    <w:t>声源</w:t>
                  </w:r>
                </w:p>
                <w:p>
                  <w:pPr>
                    <w:adjustRightInd w:val="0"/>
                    <w:snapToGrid w:val="0"/>
                    <w:jc w:val="center"/>
                    <w:rPr>
                      <w:color w:val="auto"/>
                      <w:kern w:val="0"/>
                      <w:szCs w:val="21"/>
                    </w:rPr>
                  </w:pPr>
                  <w:r>
                    <w:rPr>
                      <w:color w:val="auto"/>
                      <w:kern w:val="0"/>
                      <w:szCs w:val="21"/>
                    </w:rPr>
                    <w:t>源强</w:t>
                  </w:r>
                </w:p>
              </w:tc>
              <w:tc>
                <w:tcPr>
                  <w:tcW w:w="867" w:type="dxa"/>
                  <w:vMerge w:val="restart"/>
                  <w:tcBorders>
                    <w:top w:val="single" w:color="auto" w:sz="12" w:space="0"/>
                  </w:tcBorders>
                  <w:vAlign w:val="center"/>
                </w:tcPr>
                <w:p>
                  <w:pPr>
                    <w:adjustRightInd w:val="0"/>
                    <w:snapToGrid w:val="0"/>
                    <w:jc w:val="center"/>
                    <w:rPr>
                      <w:color w:val="auto"/>
                      <w:kern w:val="0"/>
                      <w:szCs w:val="21"/>
                    </w:rPr>
                  </w:pPr>
                  <w:r>
                    <w:rPr>
                      <w:color w:val="auto"/>
                      <w:kern w:val="0"/>
                      <w:szCs w:val="21"/>
                    </w:rPr>
                    <w:t>声源控制措施</w:t>
                  </w:r>
                </w:p>
              </w:tc>
              <w:tc>
                <w:tcPr>
                  <w:tcW w:w="803" w:type="dxa"/>
                  <w:tcBorders>
                    <w:top w:val="single" w:color="auto" w:sz="12" w:space="0"/>
                  </w:tcBorders>
                  <w:vAlign w:val="center"/>
                </w:tcPr>
                <w:p>
                  <w:pPr>
                    <w:adjustRightInd w:val="0"/>
                    <w:snapToGrid w:val="0"/>
                    <w:jc w:val="center"/>
                    <w:rPr>
                      <w:color w:val="auto"/>
                      <w:kern w:val="0"/>
                      <w:szCs w:val="21"/>
                    </w:rPr>
                  </w:pPr>
                  <w:r>
                    <w:rPr>
                      <w:rFonts w:hint="eastAsia"/>
                      <w:color w:val="auto"/>
                      <w:kern w:val="0"/>
                      <w:szCs w:val="21"/>
                    </w:rPr>
                    <w:t>采取措施后</w:t>
                  </w:r>
                </w:p>
              </w:tc>
              <w:tc>
                <w:tcPr>
                  <w:tcW w:w="2089" w:type="dxa"/>
                  <w:gridSpan w:val="3"/>
                  <w:tcBorders>
                    <w:top w:val="single" w:color="auto" w:sz="12" w:space="0"/>
                  </w:tcBorders>
                  <w:vAlign w:val="center"/>
                </w:tcPr>
                <w:p>
                  <w:pPr>
                    <w:adjustRightInd w:val="0"/>
                    <w:snapToGrid w:val="0"/>
                    <w:jc w:val="center"/>
                    <w:rPr>
                      <w:color w:val="auto"/>
                      <w:kern w:val="0"/>
                      <w:szCs w:val="21"/>
                    </w:rPr>
                  </w:pPr>
                  <w:r>
                    <w:rPr>
                      <w:color w:val="auto"/>
                      <w:kern w:val="0"/>
                      <w:szCs w:val="21"/>
                    </w:rPr>
                    <w:t>空间相对位置</w:t>
                  </w:r>
                </w:p>
              </w:tc>
              <w:tc>
                <w:tcPr>
                  <w:tcW w:w="2001" w:type="dxa"/>
                  <w:gridSpan w:val="4"/>
                  <w:tcBorders>
                    <w:top w:val="single" w:color="auto" w:sz="12" w:space="0"/>
                  </w:tcBorders>
                  <w:vAlign w:val="center"/>
                </w:tcPr>
                <w:p>
                  <w:pPr>
                    <w:adjustRightInd w:val="0"/>
                    <w:snapToGrid w:val="0"/>
                    <w:jc w:val="center"/>
                    <w:rPr>
                      <w:color w:val="auto"/>
                      <w:kern w:val="0"/>
                      <w:szCs w:val="21"/>
                    </w:rPr>
                  </w:pPr>
                  <w:r>
                    <w:rPr>
                      <w:rFonts w:hint="eastAsia"/>
                      <w:color w:val="auto"/>
                      <w:kern w:val="0"/>
                      <w:szCs w:val="21"/>
                    </w:rPr>
                    <w:t>距室内边界距离/m</w:t>
                  </w:r>
                </w:p>
              </w:tc>
              <w:tc>
                <w:tcPr>
                  <w:tcW w:w="2926" w:type="dxa"/>
                  <w:gridSpan w:val="4"/>
                  <w:tcBorders>
                    <w:top w:val="single" w:color="auto" w:sz="12" w:space="0"/>
                  </w:tcBorders>
                  <w:vAlign w:val="center"/>
                </w:tcPr>
                <w:p>
                  <w:pPr>
                    <w:adjustRightInd w:val="0"/>
                    <w:snapToGrid w:val="0"/>
                    <w:jc w:val="center"/>
                    <w:rPr>
                      <w:color w:val="auto"/>
                      <w:kern w:val="0"/>
                      <w:szCs w:val="21"/>
                    </w:rPr>
                  </w:pPr>
                  <w:r>
                    <w:rPr>
                      <w:color w:val="auto"/>
                      <w:kern w:val="0"/>
                      <w:szCs w:val="21"/>
                    </w:rPr>
                    <w:t>室内边界声级</w:t>
                  </w:r>
                  <w:r>
                    <w:rPr>
                      <w:rFonts w:hint="eastAsia"/>
                      <w:color w:val="auto"/>
                      <w:kern w:val="0"/>
                      <w:szCs w:val="21"/>
                    </w:rPr>
                    <w:t>/dB（A）</w:t>
                  </w:r>
                </w:p>
              </w:tc>
              <w:tc>
                <w:tcPr>
                  <w:tcW w:w="517" w:type="dxa"/>
                  <w:vMerge w:val="restart"/>
                  <w:tcBorders>
                    <w:top w:val="single" w:color="auto" w:sz="12" w:space="0"/>
                  </w:tcBorders>
                  <w:vAlign w:val="center"/>
                </w:tcPr>
                <w:p>
                  <w:pPr>
                    <w:adjustRightInd w:val="0"/>
                    <w:snapToGrid w:val="0"/>
                    <w:jc w:val="center"/>
                    <w:rPr>
                      <w:color w:val="auto"/>
                      <w:kern w:val="0"/>
                      <w:szCs w:val="21"/>
                    </w:rPr>
                  </w:pPr>
                  <w:r>
                    <w:rPr>
                      <w:color w:val="auto"/>
                      <w:kern w:val="0"/>
                      <w:szCs w:val="21"/>
                    </w:rPr>
                    <w:t>运行时段</w:t>
                  </w:r>
                </w:p>
              </w:tc>
              <w:tc>
                <w:tcPr>
                  <w:tcW w:w="2058" w:type="dxa"/>
                  <w:gridSpan w:val="4"/>
                  <w:tcBorders>
                    <w:top w:val="single" w:color="auto" w:sz="12" w:space="0"/>
                  </w:tcBorders>
                  <w:vAlign w:val="center"/>
                </w:tcPr>
                <w:p>
                  <w:pPr>
                    <w:adjustRightInd w:val="0"/>
                    <w:snapToGrid w:val="0"/>
                    <w:jc w:val="center"/>
                    <w:rPr>
                      <w:color w:val="auto"/>
                      <w:kern w:val="0"/>
                      <w:szCs w:val="21"/>
                    </w:rPr>
                  </w:pPr>
                  <w:r>
                    <w:rPr>
                      <w:color w:val="auto"/>
                      <w:kern w:val="0"/>
                      <w:szCs w:val="21"/>
                    </w:rPr>
                    <w:t>建筑物插入损失</w:t>
                  </w:r>
                  <w:r>
                    <w:rPr>
                      <w:rFonts w:hint="eastAsia"/>
                      <w:color w:val="auto"/>
                      <w:kern w:val="0"/>
                      <w:szCs w:val="21"/>
                    </w:rPr>
                    <w:t>/dB（A）</w:t>
                  </w:r>
                </w:p>
              </w:tc>
              <w:tc>
                <w:tcPr>
                  <w:tcW w:w="3782" w:type="dxa"/>
                  <w:gridSpan w:val="5"/>
                  <w:tcBorders>
                    <w:top w:val="single" w:color="auto" w:sz="12" w:space="0"/>
                  </w:tcBorders>
                  <w:vAlign w:val="center"/>
                </w:tcPr>
                <w:p>
                  <w:pPr>
                    <w:adjustRightInd w:val="0"/>
                    <w:snapToGrid w:val="0"/>
                    <w:jc w:val="center"/>
                    <w:rPr>
                      <w:color w:val="auto"/>
                      <w:kern w:val="0"/>
                      <w:szCs w:val="21"/>
                    </w:rPr>
                  </w:pPr>
                  <w:r>
                    <w:rPr>
                      <w:color w:val="auto"/>
                      <w:kern w:val="0"/>
                      <w:szCs w:val="21"/>
                    </w:rPr>
                    <w:t>建筑物外噪声</w:t>
                  </w:r>
                  <w:r>
                    <w:rPr>
                      <w:rFonts w:hint="eastAsia"/>
                      <w:color w:val="auto"/>
                      <w:kern w:val="0"/>
                      <w:szCs w:val="21"/>
                    </w:rPr>
                    <w:t>贡献</w:t>
                  </w:r>
                  <w:r>
                    <w:rPr>
                      <w:color w:val="auto"/>
                      <w:kern w:val="0"/>
                      <w:szCs w:val="21"/>
                    </w:rPr>
                    <w:t>声压级</w:t>
                  </w:r>
                  <w:r>
                    <w:rPr>
                      <w:rFonts w:hint="eastAsia"/>
                      <w:color w:val="auto"/>
                      <w:kern w:val="0"/>
                      <w:szCs w:val="21"/>
                    </w:rPr>
                    <w:t>/dB（A）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0" w:type="dxa"/>
                  <w:vMerge w:val="continue"/>
                  <w:vAlign w:val="center"/>
                </w:tcPr>
                <w:p>
                  <w:pPr>
                    <w:adjustRightInd w:val="0"/>
                    <w:snapToGrid w:val="0"/>
                    <w:jc w:val="center"/>
                    <w:rPr>
                      <w:color w:val="auto"/>
                      <w:kern w:val="0"/>
                      <w:szCs w:val="21"/>
                    </w:rPr>
                  </w:pPr>
                </w:p>
              </w:tc>
              <w:tc>
                <w:tcPr>
                  <w:tcW w:w="646" w:type="dxa"/>
                  <w:vMerge w:val="continue"/>
                  <w:vAlign w:val="center"/>
                </w:tcPr>
                <w:p>
                  <w:pPr>
                    <w:adjustRightInd w:val="0"/>
                    <w:snapToGrid w:val="0"/>
                    <w:jc w:val="center"/>
                    <w:rPr>
                      <w:color w:val="auto"/>
                      <w:kern w:val="0"/>
                      <w:szCs w:val="21"/>
                    </w:rPr>
                  </w:pPr>
                </w:p>
              </w:tc>
              <w:tc>
                <w:tcPr>
                  <w:tcW w:w="1534" w:type="dxa"/>
                  <w:vMerge w:val="continue"/>
                  <w:vAlign w:val="center"/>
                </w:tcPr>
                <w:p>
                  <w:pPr>
                    <w:adjustRightInd w:val="0"/>
                    <w:snapToGrid w:val="0"/>
                    <w:jc w:val="center"/>
                    <w:rPr>
                      <w:color w:val="auto"/>
                      <w:kern w:val="0"/>
                      <w:szCs w:val="21"/>
                    </w:rPr>
                  </w:pPr>
                </w:p>
              </w:tc>
              <w:tc>
                <w:tcPr>
                  <w:tcW w:w="379" w:type="dxa"/>
                  <w:vMerge w:val="continue"/>
                  <w:vAlign w:val="center"/>
                </w:tcPr>
                <w:p>
                  <w:pPr>
                    <w:adjustRightInd w:val="0"/>
                    <w:snapToGrid w:val="0"/>
                    <w:jc w:val="center"/>
                    <w:rPr>
                      <w:color w:val="auto"/>
                      <w:kern w:val="0"/>
                      <w:szCs w:val="21"/>
                    </w:rPr>
                  </w:pPr>
                </w:p>
              </w:tc>
              <w:tc>
                <w:tcPr>
                  <w:tcW w:w="840" w:type="dxa"/>
                  <w:vAlign w:val="center"/>
                </w:tcPr>
                <w:p>
                  <w:pPr>
                    <w:adjustRightInd w:val="0"/>
                    <w:snapToGrid w:val="0"/>
                    <w:jc w:val="center"/>
                    <w:rPr>
                      <w:color w:val="auto"/>
                      <w:kern w:val="0"/>
                      <w:szCs w:val="21"/>
                    </w:rPr>
                  </w:pPr>
                  <w:r>
                    <w:rPr>
                      <w:color w:val="auto"/>
                      <w:kern w:val="0"/>
                      <w:szCs w:val="21"/>
                    </w:rPr>
                    <w:t>声</w:t>
                  </w:r>
                  <w:r>
                    <w:rPr>
                      <w:rFonts w:hint="eastAsia"/>
                      <w:color w:val="auto"/>
                      <w:kern w:val="0"/>
                      <w:szCs w:val="21"/>
                    </w:rPr>
                    <w:t>压级/dB（A）</w:t>
                  </w:r>
                </w:p>
              </w:tc>
              <w:tc>
                <w:tcPr>
                  <w:tcW w:w="767" w:type="dxa"/>
                  <w:vAlign w:val="center"/>
                </w:tcPr>
                <w:p>
                  <w:pPr>
                    <w:adjustRightInd w:val="0"/>
                    <w:snapToGrid w:val="0"/>
                    <w:jc w:val="center"/>
                    <w:rPr>
                      <w:color w:val="auto"/>
                      <w:kern w:val="0"/>
                      <w:szCs w:val="21"/>
                    </w:rPr>
                  </w:pPr>
                  <w:r>
                    <w:rPr>
                      <w:rFonts w:hint="eastAsia"/>
                      <w:color w:val="auto"/>
                      <w:kern w:val="0"/>
                      <w:szCs w:val="21"/>
                    </w:rPr>
                    <w:t>等效</w:t>
                  </w:r>
                  <w:r>
                    <w:rPr>
                      <w:color w:val="auto"/>
                      <w:kern w:val="0"/>
                      <w:szCs w:val="21"/>
                    </w:rPr>
                    <w:t>声</w:t>
                  </w:r>
                  <w:r>
                    <w:rPr>
                      <w:rFonts w:hint="eastAsia"/>
                      <w:color w:val="auto"/>
                      <w:kern w:val="0"/>
                      <w:szCs w:val="21"/>
                    </w:rPr>
                    <w:t>压级/dB（A）</w:t>
                  </w:r>
                </w:p>
              </w:tc>
              <w:tc>
                <w:tcPr>
                  <w:tcW w:w="867" w:type="dxa"/>
                  <w:vMerge w:val="continue"/>
                  <w:vAlign w:val="center"/>
                </w:tcPr>
                <w:p>
                  <w:pPr>
                    <w:adjustRightInd w:val="0"/>
                    <w:snapToGrid w:val="0"/>
                    <w:jc w:val="center"/>
                    <w:rPr>
                      <w:color w:val="auto"/>
                      <w:kern w:val="0"/>
                      <w:szCs w:val="21"/>
                    </w:rPr>
                  </w:pPr>
                </w:p>
              </w:tc>
              <w:tc>
                <w:tcPr>
                  <w:tcW w:w="803" w:type="dxa"/>
                  <w:vAlign w:val="center"/>
                </w:tcPr>
                <w:p>
                  <w:pPr>
                    <w:adjustRightInd w:val="0"/>
                    <w:snapToGrid w:val="0"/>
                    <w:jc w:val="center"/>
                    <w:rPr>
                      <w:color w:val="auto"/>
                      <w:kern w:val="0"/>
                      <w:szCs w:val="21"/>
                    </w:rPr>
                  </w:pPr>
                  <w:r>
                    <w:rPr>
                      <w:color w:val="auto"/>
                      <w:kern w:val="0"/>
                      <w:szCs w:val="21"/>
                    </w:rPr>
                    <w:t>声功率级</w:t>
                  </w:r>
                  <w:r>
                    <w:rPr>
                      <w:rFonts w:hint="eastAsia"/>
                      <w:color w:val="auto"/>
                      <w:kern w:val="0"/>
                      <w:szCs w:val="21"/>
                    </w:rPr>
                    <w:t>/dB（A）</w:t>
                  </w:r>
                </w:p>
              </w:tc>
              <w:tc>
                <w:tcPr>
                  <w:tcW w:w="593" w:type="dxa"/>
                  <w:vAlign w:val="center"/>
                </w:tcPr>
                <w:p>
                  <w:pPr>
                    <w:adjustRightInd w:val="0"/>
                    <w:snapToGrid w:val="0"/>
                    <w:jc w:val="center"/>
                    <w:rPr>
                      <w:color w:val="auto"/>
                      <w:kern w:val="0"/>
                      <w:szCs w:val="21"/>
                    </w:rPr>
                  </w:pPr>
                  <w:r>
                    <w:rPr>
                      <w:color w:val="auto"/>
                      <w:kern w:val="0"/>
                      <w:szCs w:val="21"/>
                    </w:rPr>
                    <w:t>X</w:t>
                  </w:r>
                </w:p>
              </w:tc>
              <w:tc>
                <w:tcPr>
                  <w:tcW w:w="793" w:type="dxa"/>
                  <w:vAlign w:val="center"/>
                </w:tcPr>
                <w:p>
                  <w:pPr>
                    <w:adjustRightInd w:val="0"/>
                    <w:snapToGrid w:val="0"/>
                    <w:jc w:val="center"/>
                    <w:rPr>
                      <w:color w:val="auto"/>
                      <w:kern w:val="0"/>
                      <w:szCs w:val="21"/>
                    </w:rPr>
                  </w:pPr>
                  <w:r>
                    <w:rPr>
                      <w:rFonts w:hint="eastAsia"/>
                      <w:color w:val="auto"/>
                      <w:kern w:val="0"/>
                      <w:szCs w:val="21"/>
                    </w:rPr>
                    <w:t>Y</w:t>
                  </w:r>
                </w:p>
              </w:tc>
              <w:tc>
                <w:tcPr>
                  <w:tcW w:w="703" w:type="dxa"/>
                  <w:vAlign w:val="center"/>
                </w:tcPr>
                <w:p>
                  <w:pPr>
                    <w:adjustRightInd w:val="0"/>
                    <w:snapToGrid w:val="0"/>
                    <w:jc w:val="center"/>
                    <w:rPr>
                      <w:color w:val="auto"/>
                      <w:kern w:val="0"/>
                      <w:szCs w:val="21"/>
                    </w:rPr>
                  </w:pPr>
                  <w:r>
                    <w:rPr>
                      <w:rFonts w:hint="eastAsia"/>
                      <w:color w:val="auto"/>
                      <w:kern w:val="0"/>
                      <w:szCs w:val="21"/>
                    </w:rPr>
                    <w:t>Z</w:t>
                  </w:r>
                </w:p>
              </w:tc>
              <w:tc>
                <w:tcPr>
                  <w:tcW w:w="524" w:type="dxa"/>
                  <w:vAlign w:val="center"/>
                </w:tcPr>
                <w:p>
                  <w:pPr>
                    <w:adjustRightInd w:val="0"/>
                    <w:snapToGrid w:val="0"/>
                    <w:jc w:val="center"/>
                    <w:rPr>
                      <w:color w:val="auto"/>
                      <w:kern w:val="0"/>
                      <w:szCs w:val="21"/>
                    </w:rPr>
                  </w:pPr>
                  <w:r>
                    <w:rPr>
                      <w:color w:val="auto"/>
                      <w:kern w:val="0"/>
                      <w:szCs w:val="21"/>
                    </w:rPr>
                    <w:t>东</w:t>
                  </w:r>
                  <w:r>
                    <w:rPr>
                      <w:rFonts w:hint="eastAsia"/>
                      <w:color w:val="auto"/>
                      <w:kern w:val="0"/>
                      <w:szCs w:val="21"/>
                    </w:rPr>
                    <w:t>北侧</w:t>
                  </w:r>
                </w:p>
              </w:tc>
              <w:tc>
                <w:tcPr>
                  <w:tcW w:w="461" w:type="dxa"/>
                  <w:vAlign w:val="center"/>
                </w:tcPr>
                <w:p>
                  <w:pPr>
                    <w:adjustRightInd w:val="0"/>
                    <w:snapToGrid w:val="0"/>
                    <w:jc w:val="center"/>
                    <w:rPr>
                      <w:color w:val="auto"/>
                      <w:kern w:val="0"/>
                      <w:szCs w:val="21"/>
                    </w:rPr>
                  </w:pPr>
                  <w:r>
                    <w:rPr>
                      <w:rFonts w:hint="eastAsia"/>
                      <w:color w:val="auto"/>
                      <w:kern w:val="0"/>
                      <w:szCs w:val="21"/>
                    </w:rPr>
                    <w:t>东</w:t>
                  </w:r>
                  <w:r>
                    <w:rPr>
                      <w:color w:val="auto"/>
                      <w:kern w:val="0"/>
                      <w:szCs w:val="21"/>
                    </w:rPr>
                    <w:t>南</w:t>
                  </w:r>
                  <w:r>
                    <w:rPr>
                      <w:rFonts w:hint="eastAsia"/>
                      <w:color w:val="auto"/>
                      <w:kern w:val="0"/>
                      <w:szCs w:val="21"/>
                    </w:rPr>
                    <w:t>侧</w:t>
                  </w:r>
                </w:p>
              </w:tc>
              <w:tc>
                <w:tcPr>
                  <w:tcW w:w="480" w:type="dxa"/>
                  <w:vAlign w:val="center"/>
                </w:tcPr>
                <w:p>
                  <w:pPr>
                    <w:adjustRightInd w:val="0"/>
                    <w:snapToGrid w:val="0"/>
                    <w:jc w:val="center"/>
                    <w:rPr>
                      <w:color w:val="auto"/>
                      <w:kern w:val="0"/>
                      <w:szCs w:val="21"/>
                    </w:rPr>
                  </w:pPr>
                  <w:r>
                    <w:rPr>
                      <w:color w:val="auto"/>
                      <w:kern w:val="0"/>
                      <w:szCs w:val="21"/>
                    </w:rPr>
                    <w:t>西</w:t>
                  </w:r>
                  <w:r>
                    <w:rPr>
                      <w:rFonts w:hint="eastAsia"/>
                      <w:color w:val="auto"/>
                      <w:kern w:val="0"/>
                      <w:szCs w:val="21"/>
                    </w:rPr>
                    <w:t>南侧</w:t>
                  </w:r>
                </w:p>
              </w:tc>
              <w:tc>
                <w:tcPr>
                  <w:tcW w:w="536" w:type="dxa"/>
                  <w:vAlign w:val="center"/>
                </w:tcPr>
                <w:p>
                  <w:pPr>
                    <w:adjustRightInd w:val="0"/>
                    <w:snapToGrid w:val="0"/>
                    <w:jc w:val="center"/>
                    <w:rPr>
                      <w:color w:val="auto"/>
                      <w:kern w:val="0"/>
                      <w:szCs w:val="21"/>
                    </w:rPr>
                  </w:pPr>
                  <w:r>
                    <w:rPr>
                      <w:rFonts w:hint="eastAsia"/>
                      <w:color w:val="auto"/>
                      <w:kern w:val="0"/>
                      <w:szCs w:val="21"/>
                    </w:rPr>
                    <w:t>西</w:t>
                  </w:r>
                  <w:r>
                    <w:rPr>
                      <w:color w:val="auto"/>
                      <w:kern w:val="0"/>
                      <w:szCs w:val="21"/>
                    </w:rPr>
                    <w:t>北</w:t>
                  </w:r>
                  <w:r>
                    <w:rPr>
                      <w:rFonts w:hint="eastAsia"/>
                      <w:color w:val="auto"/>
                      <w:kern w:val="0"/>
                      <w:szCs w:val="21"/>
                    </w:rPr>
                    <w:t>侧</w:t>
                  </w:r>
                </w:p>
              </w:tc>
              <w:tc>
                <w:tcPr>
                  <w:tcW w:w="784" w:type="dxa"/>
                  <w:vAlign w:val="center"/>
                </w:tcPr>
                <w:p>
                  <w:pPr>
                    <w:adjustRightInd w:val="0"/>
                    <w:snapToGrid w:val="0"/>
                    <w:jc w:val="center"/>
                    <w:rPr>
                      <w:color w:val="auto"/>
                      <w:kern w:val="0"/>
                      <w:szCs w:val="21"/>
                    </w:rPr>
                  </w:pPr>
                  <w:r>
                    <w:rPr>
                      <w:color w:val="auto"/>
                      <w:kern w:val="0"/>
                      <w:szCs w:val="21"/>
                    </w:rPr>
                    <w:t>东</w:t>
                  </w:r>
                  <w:r>
                    <w:rPr>
                      <w:rFonts w:hint="eastAsia"/>
                      <w:color w:val="auto"/>
                      <w:kern w:val="0"/>
                      <w:szCs w:val="21"/>
                    </w:rPr>
                    <w:t>北侧</w:t>
                  </w:r>
                </w:p>
              </w:tc>
              <w:tc>
                <w:tcPr>
                  <w:tcW w:w="693" w:type="dxa"/>
                  <w:vAlign w:val="center"/>
                </w:tcPr>
                <w:p>
                  <w:pPr>
                    <w:adjustRightInd w:val="0"/>
                    <w:snapToGrid w:val="0"/>
                    <w:jc w:val="center"/>
                    <w:rPr>
                      <w:color w:val="auto"/>
                      <w:kern w:val="0"/>
                      <w:szCs w:val="21"/>
                    </w:rPr>
                  </w:pPr>
                  <w:r>
                    <w:rPr>
                      <w:rFonts w:hint="eastAsia"/>
                      <w:color w:val="auto"/>
                      <w:kern w:val="0"/>
                      <w:szCs w:val="21"/>
                    </w:rPr>
                    <w:t>东</w:t>
                  </w:r>
                  <w:r>
                    <w:rPr>
                      <w:color w:val="auto"/>
                      <w:kern w:val="0"/>
                      <w:szCs w:val="21"/>
                    </w:rPr>
                    <w:t>南</w:t>
                  </w:r>
                  <w:r>
                    <w:rPr>
                      <w:rFonts w:hint="eastAsia"/>
                      <w:color w:val="auto"/>
                      <w:kern w:val="0"/>
                      <w:szCs w:val="21"/>
                    </w:rPr>
                    <w:t>侧</w:t>
                  </w:r>
                </w:p>
              </w:tc>
              <w:tc>
                <w:tcPr>
                  <w:tcW w:w="710" w:type="dxa"/>
                  <w:vAlign w:val="center"/>
                </w:tcPr>
                <w:p>
                  <w:pPr>
                    <w:adjustRightInd w:val="0"/>
                    <w:snapToGrid w:val="0"/>
                    <w:jc w:val="center"/>
                    <w:rPr>
                      <w:color w:val="auto"/>
                      <w:kern w:val="0"/>
                      <w:szCs w:val="21"/>
                    </w:rPr>
                  </w:pPr>
                  <w:r>
                    <w:rPr>
                      <w:color w:val="auto"/>
                      <w:kern w:val="0"/>
                      <w:szCs w:val="21"/>
                    </w:rPr>
                    <w:t>西</w:t>
                  </w:r>
                  <w:r>
                    <w:rPr>
                      <w:rFonts w:hint="eastAsia"/>
                      <w:color w:val="auto"/>
                      <w:kern w:val="0"/>
                      <w:szCs w:val="21"/>
                    </w:rPr>
                    <w:t>南侧</w:t>
                  </w:r>
                </w:p>
              </w:tc>
              <w:tc>
                <w:tcPr>
                  <w:tcW w:w="739" w:type="dxa"/>
                  <w:vAlign w:val="center"/>
                </w:tcPr>
                <w:p>
                  <w:pPr>
                    <w:adjustRightInd w:val="0"/>
                    <w:snapToGrid w:val="0"/>
                    <w:jc w:val="center"/>
                    <w:rPr>
                      <w:color w:val="auto"/>
                      <w:kern w:val="0"/>
                      <w:szCs w:val="21"/>
                    </w:rPr>
                  </w:pPr>
                  <w:r>
                    <w:rPr>
                      <w:rFonts w:hint="eastAsia"/>
                      <w:color w:val="auto"/>
                      <w:kern w:val="0"/>
                      <w:szCs w:val="21"/>
                    </w:rPr>
                    <w:t>西</w:t>
                  </w:r>
                  <w:r>
                    <w:rPr>
                      <w:color w:val="auto"/>
                      <w:kern w:val="0"/>
                      <w:szCs w:val="21"/>
                    </w:rPr>
                    <w:t>北</w:t>
                  </w:r>
                  <w:r>
                    <w:rPr>
                      <w:rFonts w:hint="eastAsia"/>
                      <w:color w:val="auto"/>
                      <w:kern w:val="0"/>
                      <w:szCs w:val="21"/>
                    </w:rPr>
                    <w:t>侧</w:t>
                  </w:r>
                </w:p>
              </w:tc>
              <w:tc>
                <w:tcPr>
                  <w:tcW w:w="517" w:type="dxa"/>
                  <w:vMerge w:val="continue"/>
                  <w:vAlign w:val="center"/>
                </w:tcPr>
                <w:p>
                  <w:pPr>
                    <w:adjustRightInd w:val="0"/>
                    <w:snapToGrid w:val="0"/>
                    <w:jc w:val="center"/>
                    <w:rPr>
                      <w:color w:val="auto"/>
                      <w:kern w:val="0"/>
                      <w:szCs w:val="21"/>
                    </w:rPr>
                  </w:pPr>
                </w:p>
              </w:tc>
              <w:tc>
                <w:tcPr>
                  <w:tcW w:w="544" w:type="dxa"/>
                  <w:vAlign w:val="center"/>
                </w:tcPr>
                <w:p>
                  <w:pPr>
                    <w:adjustRightInd w:val="0"/>
                    <w:snapToGrid w:val="0"/>
                    <w:jc w:val="center"/>
                    <w:rPr>
                      <w:color w:val="auto"/>
                      <w:kern w:val="0"/>
                      <w:szCs w:val="21"/>
                    </w:rPr>
                  </w:pPr>
                  <w:r>
                    <w:rPr>
                      <w:color w:val="auto"/>
                      <w:kern w:val="0"/>
                      <w:szCs w:val="21"/>
                    </w:rPr>
                    <w:t>东</w:t>
                  </w:r>
                  <w:r>
                    <w:rPr>
                      <w:rFonts w:hint="eastAsia"/>
                      <w:color w:val="auto"/>
                      <w:kern w:val="0"/>
                      <w:szCs w:val="21"/>
                    </w:rPr>
                    <w:t>北侧</w:t>
                  </w:r>
                </w:p>
              </w:tc>
              <w:tc>
                <w:tcPr>
                  <w:tcW w:w="480" w:type="dxa"/>
                  <w:vAlign w:val="center"/>
                </w:tcPr>
                <w:p>
                  <w:pPr>
                    <w:adjustRightInd w:val="0"/>
                    <w:snapToGrid w:val="0"/>
                    <w:jc w:val="center"/>
                    <w:rPr>
                      <w:color w:val="auto"/>
                      <w:kern w:val="0"/>
                      <w:szCs w:val="21"/>
                    </w:rPr>
                  </w:pPr>
                  <w:r>
                    <w:rPr>
                      <w:rFonts w:hint="eastAsia"/>
                      <w:color w:val="auto"/>
                      <w:kern w:val="0"/>
                      <w:szCs w:val="21"/>
                    </w:rPr>
                    <w:t>东</w:t>
                  </w:r>
                  <w:r>
                    <w:rPr>
                      <w:color w:val="auto"/>
                      <w:kern w:val="0"/>
                      <w:szCs w:val="21"/>
                    </w:rPr>
                    <w:t>南</w:t>
                  </w:r>
                  <w:r>
                    <w:rPr>
                      <w:rFonts w:hint="eastAsia"/>
                      <w:color w:val="auto"/>
                      <w:kern w:val="0"/>
                      <w:szCs w:val="21"/>
                    </w:rPr>
                    <w:t>侧</w:t>
                  </w:r>
                </w:p>
              </w:tc>
              <w:tc>
                <w:tcPr>
                  <w:tcW w:w="517" w:type="dxa"/>
                  <w:vAlign w:val="center"/>
                </w:tcPr>
                <w:p>
                  <w:pPr>
                    <w:adjustRightInd w:val="0"/>
                    <w:snapToGrid w:val="0"/>
                    <w:jc w:val="center"/>
                    <w:rPr>
                      <w:color w:val="auto"/>
                      <w:kern w:val="0"/>
                      <w:szCs w:val="21"/>
                    </w:rPr>
                  </w:pPr>
                  <w:r>
                    <w:rPr>
                      <w:color w:val="auto"/>
                      <w:kern w:val="0"/>
                      <w:szCs w:val="21"/>
                    </w:rPr>
                    <w:t>西</w:t>
                  </w:r>
                  <w:r>
                    <w:rPr>
                      <w:rFonts w:hint="eastAsia"/>
                      <w:color w:val="auto"/>
                      <w:kern w:val="0"/>
                      <w:szCs w:val="21"/>
                    </w:rPr>
                    <w:t>南侧</w:t>
                  </w:r>
                </w:p>
              </w:tc>
              <w:tc>
                <w:tcPr>
                  <w:tcW w:w="517" w:type="dxa"/>
                  <w:vAlign w:val="center"/>
                </w:tcPr>
                <w:p>
                  <w:pPr>
                    <w:adjustRightInd w:val="0"/>
                    <w:snapToGrid w:val="0"/>
                    <w:jc w:val="center"/>
                    <w:rPr>
                      <w:color w:val="auto"/>
                      <w:kern w:val="0"/>
                      <w:szCs w:val="21"/>
                    </w:rPr>
                  </w:pPr>
                  <w:r>
                    <w:rPr>
                      <w:rFonts w:hint="eastAsia"/>
                      <w:color w:val="auto"/>
                      <w:kern w:val="0"/>
                      <w:szCs w:val="21"/>
                    </w:rPr>
                    <w:t>西</w:t>
                  </w:r>
                  <w:r>
                    <w:rPr>
                      <w:color w:val="auto"/>
                      <w:kern w:val="0"/>
                      <w:szCs w:val="21"/>
                    </w:rPr>
                    <w:t>北</w:t>
                  </w:r>
                  <w:r>
                    <w:rPr>
                      <w:rFonts w:hint="eastAsia"/>
                      <w:color w:val="auto"/>
                      <w:kern w:val="0"/>
                      <w:szCs w:val="21"/>
                    </w:rPr>
                    <w:t>侧</w:t>
                  </w:r>
                </w:p>
              </w:tc>
              <w:tc>
                <w:tcPr>
                  <w:tcW w:w="840" w:type="dxa"/>
                  <w:vAlign w:val="center"/>
                </w:tcPr>
                <w:p>
                  <w:pPr>
                    <w:adjustRightInd w:val="0"/>
                    <w:snapToGrid w:val="0"/>
                    <w:jc w:val="center"/>
                    <w:rPr>
                      <w:color w:val="auto"/>
                      <w:kern w:val="0"/>
                      <w:szCs w:val="21"/>
                    </w:rPr>
                  </w:pPr>
                  <w:r>
                    <w:rPr>
                      <w:color w:val="auto"/>
                      <w:kern w:val="0"/>
                      <w:szCs w:val="21"/>
                    </w:rPr>
                    <w:t>东</w:t>
                  </w:r>
                  <w:r>
                    <w:rPr>
                      <w:rFonts w:hint="eastAsia"/>
                      <w:color w:val="auto"/>
                      <w:kern w:val="0"/>
                      <w:szCs w:val="21"/>
                    </w:rPr>
                    <w:t>北侧</w:t>
                  </w:r>
                </w:p>
              </w:tc>
              <w:tc>
                <w:tcPr>
                  <w:tcW w:w="757" w:type="dxa"/>
                  <w:vAlign w:val="center"/>
                </w:tcPr>
                <w:p>
                  <w:pPr>
                    <w:adjustRightInd w:val="0"/>
                    <w:snapToGrid w:val="0"/>
                    <w:jc w:val="center"/>
                    <w:rPr>
                      <w:color w:val="auto"/>
                      <w:kern w:val="0"/>
                      <w:szCs w:val="21"/>
                    </w:rPr>
                  </w:pPr>
                  <w:r>
                    <w:rPr>
                      <w:rFonts w:hint="eastAsia"/>
                      <w:color w:val="auto"/>
                      <w:kern w:val="0"/>
                      <w:szCs w:val="21"/>
                    </w:rPr>
                    <w:t>东</w:t>
                  </w:r>
                  <w:r>
                    <w:rPr>
                      <w:color w:val="auto"/>
                      <w:kern w:val="0"/>
                      <w:szCs w:val="21"/>
                    </w:rPr>
                    <w:t>南</w:t>
                  </w:r>
                  <w:r>
                    <w:rPr>
                      <w:rFonts w:hint="eastAsia"/>
                      <w:color w:val="auto"/>
                      <w:kern w:val="0"/>
                      <w:szCs w:val="21"/>
                    </w:rPr>
                    <w:t>侧</w:t>
                  </w:r>
                </w:p>
              </w:tc>
              <w:tc>
                <w:tcPr>
                  <w:tcW w:w="720" w:type="dxa"/>
                  <w:vAlign w:val="center"/>
                </w:tcPr>
                <w:p>
                  <w:pPr>
                    <w:adjustRightInd w:val="0"/>
                    <w:snapToGrid w:val="0"/>
                    <w:jc w:val="center"/>
                    <w:rPr>
                      <w:color w:val="auto"/>
                      <w:kern w:val="0"/>
                      <w:szCs w:val="21"/>
                    </w:rPr>
                  </w:pPr>
                  <w:r>
                    <w:rPr>
                      <w:color w:val="auto"/>
                      <w:kern w:val="0"/>
                      <w:szCs w:val="21"/>
                    </w:rPr>
                    <w:t>西</w:t>
                  </w:r>
                  <w:r>
                    <w:rPr>
                      <w:rFonts w:hint="eastAsia"/>
                      <w:color w:val="auto"/>
                      <w:kern w:val="0"/>
                      <w:szCs w:val="21"/>
                    </w:rPr>
                    <w:t>南侧</w:t>
                  </w:r>
                </w:p>
              </w:tc>
              <w:tc>
                <w:tcPr>
                  <w:tcW w:w="736" w:type="dxa"/>
                  <w:vAlign w:val="center"/>
                </w:tcPr>
                <w:p>
                  <w:pPr>
                    <w:adjustRightInd w:val="0"/>
                    <w:snapToGrid w:val="0"/>
                    <w:jc w:val="center"/>
                    <w:rPr>
                      <w:color w:val="auto"/>
                      <w:kern w:val="0"/>
                      <w:szCs w:val="21"/>
                    </w:rPr>
                  </w:pPr>
                  <w:r>
                    <w:rPr>
                      <w:rFonts w:hint="eastAsia"/>
                      <w:color w:val="auto"/>
                      <w:kern w:val="0"/>
                      <w:szCs w:val="21"/>
                    </w:rPr>
                    <w:t>西</w:t>
                  </w:r>
                  <w:r>
                    <w:rPr>
                      <w:color w:val="auto"/>
                      <w:kern w:val="0"/>
                      <w:szCs w:val="21"/>
                    </w:rPr>
                    <w:t>北</w:t>
                  </w:r>
                  <w:r>
                    <w:rPr>
                      <w:rFonts w:hint="eastAsia"/>
                      <w:color w:val="auto"/>
                      <w:kern w:val="0"/>
                      <w:szCs w:val="21"/>
                    </w:rPr>
                    <w:t>侧</w:t>
                  </w:r>
                </w:p>
              </w:tc>
              <w:tc>
                <w:tcPr>
                  <w:tcW w:w="729" w:type="dxa"/>
                  <w:vAlign w:val="center"/>
                </w:tcPr>
                <w:p>
                  <w:pPr>
                    <w:adjustRightInd w:val="0"/>
                    <w:snapToGrid w:val="0"/>
                    <w:jc w:val="center"/>
                    <w:rPr>
                      <w:color w:val="auto"/>
                      <w:kern w:val="0"/>
                      <w:szCs w:val="21"/>
                    </w:rPr>
                  </w:pPr>
                  <w:r>
                    <w:rPr>
                      <w:color w:val="auto"/>
                      <w:kern w:val="0"/>
                      <w:szCs w:val="21"/>
                    </w:rPr>
                    <w:t>建筑物外距离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0" w:type="dxa"/>
                  <w:vAlign w:val="center"/>
                </w:tcPr>
                <w:p>
                  <w:pPr>
                    <w:adjustRightInd w:val="0"/>
                    <w:snapToGrid w:val="0"/>
                    <w:jc w:val="center"/>
                    <w:rPr>
                      <w:color w:val="auto"/>
                      <w:kern w:val="0"/>
                      <w:szCs w:val="21"/>
                    </w:rPr>
                  </w:pPr>
                  <w:r>
                    <w:rPr>
                      <w:rFonts w:hint="eastAsia"/>
                      <w:color w:val="auto"/>
                      <w:kern w:val="0"/>
                      <w:szCs w:val="21"/>
                    </w:rPr>
                    <w:t>1</w:t>
                  </w:r>
                </w:p>
              </w:tc>
              <w:tc>
                <w:tcPr>
                  <w:tcW w:w="646" w:type="dxa"/>
                  <w:vMerge w:val="restart"/>
                  <w:vAlign w:val="center"/>
                </w:tcPr>
                <w:p>
                  <w:pPr>
                    <w:adjustRightInd w:val="0"/>
                    <w:snapToGrid w:val="0"/>
                    <w:jc w:val="center"/>
                    <w:rPr>
                      <w:color w:val="auto"/>
                      <w:kern w:val="0"/>
                      <w:szCs w:val="21"/>
                    </w:rPr>
                  </w:pPr>
                  <w:r>
                    <w:rPr>
                      <w:color w:val="auto"/>
                      <w:kern w:val="0"/>
                      <w:szCs w:val="21"/>
                    </w:rPr>
                    <w:t>生产</w:t>
                  </w:r>
                </w:p>
                <w:p>
                  <w:pPr>
                    <w:adjustRightInd w:val="0"/>
                    <w:snapToGrid w:val="0"/>
                    <w:jc w:val="center"/>
                    <w:rPr>
                      <w:color w:val="auto"/>
                      <w:kern w:val="0"/>
                      <w:szCs w:val="21"/>
                    </w:rPr>
                  </w:pPr>
                  <w:r>
                    <w:rPr>
                      <w:color w:val="auto"/>
                      <w:kern w:val="0"/>
                      <w:szCs w:val="21"/>
                    </w:rPr>
                    <w:t>车间</w:t>
                  </w:r>
                </w:p>
              </w:tc>
              <w:tc>
                <w:tcPr>
                  <w:tcW w:w="1534" w:type="dxa"/>
                  <w:vAlign w:val="center"/>
                </w:tcPr>
                <w:p>
                  <w:pPr>
                    <w:adjustRightInd w:val="0"/>
                    <w:snapToGrid w:val="0"/>
                    <w:jc w:val="center"/>
                    <w:rPr>
                      <w:color w:val="auto"/>
                      <w:kern w:val="0"/>
                      <w:szCs w:val="21"/>
                    </w:rPr>
                  </w:pPr>
                  <w:r>
                    <w:rPr>
                      <w:rFonts w:hint="eastAsia"/>
                      <w:color w:val="auto"/>
                      <w:kern w:val="0"/>
                      <w:szCs w:val="21"/>
                    </w:rPr>
                    <w:t>高速凹版彩印机</w:t>
                  </w:r>
                </w:p>
              </w:tc>
              <w:tc>
                <w:tcPr>
                  <w:tcW w:w="379" w:type="dxa"/>
                  <w:vAlign w:val="center"/>
                </w:tcPr>
                <w:p>
                  <w:pPr>
                    <w:adjustRightInd w:val="0"/>
                    <w:snapToGrid w:val="0"/>
                    <w:jc w:val="center"/>
                    <w:rPr>
                      <w:color w:val="auto"/>
                      <w:kern w:val="0"/>
                      <w:szCs w:val="21"/>
                    </w:rPr>
                  </w:pPr>
                  <w:r>
                    <w:rPr>
                      <w:rFonts w:hint="eastAsia"/>
                      <w:color w:val="auto"/>
                      <w:kern w:val="0"/>
                      <w:szCs w:val="21"/>
                    </w:rPr>
                    <w:t>2</w:t>
                  </w:r>
                </w:p>
              </w:tc>
              <w:tc>
                <w:tcPr>
                  <w:tcW w:w="840" w:type="dxa"/>
                  <w:vAlign w:val="center"/>
                </w:tcPr>
                <w:p>
                  <w:pPr>
                    <w:adjustRightInd w:val="0"/>
                    <w:snapToGrid w:val="0"/>
                    <w:jc w:val="center"/>
                    <w:rPr>
                      <w:color w:val="auto"/>
                      <w:kern w:val="0"/>
                      <w:szCs w:val="21"/>
                    </w:rPr>
                  </w:pPr>
                  <w:r>
                    <w:rPr>
                      <w:rFonts w:hint="eastAsia"/>
                      <w:color w:val="auto"/>
                      <w:kern w:val="0"/>
                      <w:szCs w:val="21"/>
                    </w:rPr>
                    <w:t>80</w:t>
                  </w:r>
                </w:p>
              </w:tc>
              <w:tc>
                <w:tcPr>
                  <w:tcW w:w="767" w:type="dxa"/>
                  <w:vAlign w:val="center"/>
                </w:tcPr>
                <w:p>
                  <w:pPr>
                    <w:adjustRightInd w:val="0"/>
                    <w:snapToGrid w:val="0"/>
                    <w:jc w:val="center"/>
                    <w:rPr>
                      <w:color w:val="auto"/>
                      <w:kern w:val="0"/>
                      <w:szCs w:val="21"/>
                    </w:rPr>
                  </w:pPr>
                  <w:r>
                    <w:rPr>
                      <w:rFonts w:hint="eastAsia"/>
                      <w:color w:val="auto"/>
                      <w:kern w:val="0"/>
                      <w:szCs w:val="21"/>
                    </w:rPr>
                    <w:t>83</w:t>
                  </w:r>
                </w:p>
              </w:tc>
              <w:tc>
                <w:tcPr>
                  <w:tcW w:w="867" w:type="dxa"/>
                  <w:vMerge w:val="restart"/>
                  <w:vAlign w:val="center"/>
                </w:tcPr>
                <w:p>
                  <w:pPr>
                    <w:adjustRightInd w:val="0"/>
                    <w:snapToGrid w:val="0"/>
                    <w:jc w:val="center"/>
                    <w:rPr>
                      <w:rFonts w:eastAsia="仿宋"/>
                      <w:color w:val="auto"/>
                      <w:szCs w:val="21"/>
                    </w:rPr>
                  </w:pPr>
                  <w:r>
                    <w:rPr>
                      <w:rFonts w:hint="eastAsia"/>
                      <w:color w:val="auto"/>
                      <w:kern w:val="0"/>
                      <w:szCs w:val="21"/>
                    </w:rPr>
                    <w:t>减振、消声-</w:t>
                  </w:r>
                  <w:r>
                    <w:rPr>
                      <w:rFonts w:hint="eastAsia" w:eastAsia="仿宋"/>
                      <w:color w:val="auto"/>
                      <w:szCs w:val="21"/>
                    </w:rPr>
                    <w:t>15</w:t>
                  </w:r>
                  <w:r>
                    <w:rPr>
                      <w:rFonts w:eastAsia="仿宋"/>
                      <w:color w:val="auto"/>
                      <w:szCs w:val="21"/>
                    </w:rPr>
                    <w:t>dB</w:t>
                  </w:r>
                </w:p>
                <w:p>
                  <w:pPr>
                    <w:adjustRightInd w:val="0"/>
                    <w:snapToGrid w:val="0"/>
                    <w:jc w:val="center"/>
                    <w:rPr>
                      <w:color w:val="auto"/>
                      <w:kern w:val="0"/>
                      <w:szCs w:val="21"/>
                    </w:rPr>
                  </w:pPr>
                  <w:r>
                    <w:rPr>
                      <w:rFonts w:eastAsia="仿宋"/>
                      <w:color w:val="auto"/>
                      <w:szCs w:val="21"/>
                    </w:rPr>
                    <w:t>(A)</w:t>
                  </w:r>
                </w:p>
              </w:tc>
              <w:tc>
                <w:tcPr>
                  <w:tcW w:w="803" w:type="dxa"/>
                  <w:vAlign w:val="center"/>
                </w:tcPr>
                <w:p>
                  <w:pPr>
                    <w:adjustRightInd w:val="0"/>
                    <w:snapToGrid w:val="0"/>
                    <w:jc w:val="center"/>
                    <w:rPr>
                      <w:color w:val="auto"/>
                      <w:kern w:val="0"/>
                      <w:szCs w:val="21"/>
                    </w:rPr>
                  </w:pPr>
                  <w:r>
                    <w:rPr>
                      <w:rFonts w:hint="eastAsia"/>
                      <w:color w:val="auto"/>
                      <w:kern w:val="0"/>
                      <w:szCs w:val="21"/>
                    </w:rPr>
                    <w:t>68</w:t>
                  </w:r>
                </w:p>
              </w:tc>
              <w:tc>
                <w:tcPr>
                  <w:tcW w:w="593" w:type="dxa"/>
                  <w:vAlign w:val="center"/>
                </w:tcPr>
                <w:p>
                  <w:pPr>
                    <w:adjustRightInd w:val="0"/>
                    <w:snapToGrid w:val="0"/>
                    <w:jc w:val="center"/>
                    <w:rPr>
                      <w:color w:val="auto"/>
                      <w:kern w:val="0"/>
                      <w:szCs w:val="21"/>
                    </w:rPr>
                  </w:pPr>
                  <w:r>
                    <w:rPr>
                      <w:rFonts w:hint="eastAsia"/>
                      <w:color w:val="auto"/>
                      <w:kern w:val="0"/>
                      <w:szCs w:val="21"/>
                    </w:rPr>
                    <w:t>30</w:t>
                  </w:r>
                </w:p>
              </w:tc>
              <w:tc>
                <w:tcPr>
                  <w:tcW w:w="793" w:type="dxa"/>
                  <w:vAlign w:val="center"/>
                </w:tcPr>
                <w:p>
                  <w:pPr>
                    <w:adjustRightInd w:val="0"/>
                    <w:snapToGrid w:val="0"/>
                    <w:jc w:val="center"/>
                    <w:rPr>
                      <w:color w:val="auto"/>
                      <w:kern w:val="0"/>
                      <w:szCs w:val="21"/>
                    </w:rPr>
                  </w:pPr>
                  <w:r>
                    <w:rPr>
                      <w:rFonts w:hint="eastAsia"/>
                      <w:color w:val="auto"/>
                      <w:kern w:val="0"/>
                      <w:szCs w:val="21"/>
                    </w:rPr>
                    <w:t>7</w:t>
                  </w:r>
                </w:p>
              </w:tc>
              <w:tc>
                <w:tcPr>
                  <w:tcW w:w="703" w:type="dxa"/>
                  <w:vAlign w:val="center"/>
                </w:tcPr>
                <w:p>
                  <w:pPr>
                    <w:adjustRightInd w:val="0"/>
                    <w:snapToGrid w:val="0"/>
                    <w:jc w:val="center"/>
                    <w:rPr>
                      <w:color w:val="auto"/>
                      <w:kern w:val="0"/>
                      <w:szCs w:val="21"/>
                    </w:rPr>
                  </w:pPr>
                  <w:r>
                    <w:rPr>
                      <w:rFonts w:hint="eastAsia"/>
                      <w:color w:val="auto"/>
                      <w:kern w:val="0"/>
                      <w:szCs w:val="21"/>
                    </w:rPr>
                    <w:t>1.1</w:t>
                  </w:r>
                </w:p>
              </w:tc>
              <w:tc>
                <w:tcPr>
                  <w:tcW w:w="524" w:type="dxa"/>
                  <w:vAlign w:val="center"/>
                </w:tcPr>
                <w:p>
                  <w:pPr>
                    <w:adjustRightInd w:val="0"/>
                    <w:snapToGrid w:val="0"/>
                    <w:jc w:val="center"/>
                    <w:rPr>
                      <w:color w:val="auto"/>
                      <w:kern w:val="0"/>
                      <w:szCs w:val="21"/>
                    </w:rPr>
                  </w:pPr>
                  <w:r>
                    <w:rPr>
                      <w:rFonts w:hint="eastAsia"/>
                      <w:color w:val="auto"/>
                      <w:kern w:val="0"/>
                      <w:szCs w:val="21"/>
                    </w:rPr>
                    <w:t>48</w:t>
                  </w:r>
                </w:p>
              </w:tc>
              <w:tc>
                <w:tcPr>
                  <w:tcW w:w="461" w:type="dxa"/>
                  <w:vAlign w:val="center"/>
                </w:tcPr>
                <w:p>
                  <w:pPr>
                    <w:adjustRightInd w:val="0"/>
                    <w:snapToGrid w:val="0"/>
                    <w:jc w:val="center"/>
                    <w:rPr>
                      <w:color w:val="auto"/>
                      <w:kern w:val="0"/>
                      <w:szCs w:val="21"/>
                    </w:rPr>
                  </w:pPr>
                  <w:r>
                    <w:rPr>
                      <w:rFonts w:hint="eastAsia"/>
                      <w:color w:val="auto"/>
                      <w:kern w:val="0"/>
                      <w:szCs w:val="21"/>
                    </w:rPr>
                    <w:t>23</w:t>
                  </w:r>
                </w:p>
              </w:tc>
              <w:tc>
                <w:tcPr>
                  <w:tcW w:w="480" w:type="dxa"/>
                  <w:vAlign w:val="center"/>
                </w:tcPr>
                <w:p>
                  <w:pPr>
                    <w:adjustRightInd w:val="0"/>
                    <w:snapToGrid w:val="0"/>
                    <w:jc w:val="center"/>
                    <w:rPr>
                      <w:color w:val="auto"/>
                      <w:kern w:val="0"/>
                      <w:szCs w:val="21"/>
                    </w:rPr>
                  </w:pPr>
                  <w:r>
                    <w:rPr>
                      <w:rFonts w:hint="eastAsia"/>
                      <w:color w:val="auto"/>
                      <w:kern w:val="0"/>
                      <w:szCs w:val="21"/>
                    </w:rPr>
                    <w:t>21</w:t>
                  </w:r>
                </w:p>
              </w:tc>
              <w:tc>
                <w:tcPr>
                  <w:tcW w:w="536" w:type="dxa"/>
                  <w:vAlign w:val="center"/>
                </w:tcPr>
                <w:p>
                  <w:pPr>
                    <w:adjustRightInd w:val="0"/>
                    <w:snapToGrid w:val="0"/>
                    <w:jc w:val="center"/>
                    <w:rPr>
                      <w:color w:val="auto"/>
                      <w:kern w:val="0"/>
                      <w:szCs w:val="21"/>
                    </w:rPr>
                  </w:pPr>
                  <w:r>
                    <w:rPr>
                      <w:rFonts w:hint="eastAsia"/>
                      <w:color w:val="auto"/>
                      <w:kern w:val="0"/>
                      <w:szCs w:val="21"/>
                    </w:rPr>
                    <w:t>24</w:t>
                  </w:r>
                </w:p>
              </w:tc>
              <w:tc>
                <w:tcPr>
                  <w:tcW w:w="784" w:type="dxa"/>
                  <w:vAlign w:val="center"/>
                </w:tcPr>
                <w:p>
                  <w:pPr>
                    <w:adjustRightInd w:val="0"/>
                    <w:snapToGrid w:val="0"/>
                    <w:jc w:val="center"/>
                    <w:rPr>
                      <w:color w:val="auto"/>
                      <w:kern w:val="0"/>
                      <w:szCs w:val="21"/>
                    </w:rPr>
                  </w:pPr>
                  <w:r>
                    <w:rPr>
                      <w:rFonts w:hint="eastAsia"/>
                      <w:color w:val="auto"/>
                      <w:kern w:val="0"/>
                      <w:szCs w:val="21"/>
                    </w:rPr>
                    <w:t>46.97</w:t>
                  </w:r>
                </w:p>
              </w:tc>
              <w:tc>
                <w:tcPr>
                  <w:tcW w:w="693" w:type="dxa"/>
                  <w:vAlign w:val="center"/>
                </w:tcPr>
                <w:p>
                  <w:pPr>
                    <w:adjustRightInd w:val="0"/>
                    <w:snapToGrid w:val="0"/>
                    <w:jc w:val="center"/>
                    <w:rPr>
                      <w:color w:val="auto"/>
                      <w:kern w:val="0"/>
                      <w:szCs w:val="21"/>
                    </w:rPr>
                  </w:pPr>
                  <w:r>
                    <w:rPr>
                      <w:rFonts w:hint="eastAsia"/>
                      <w:color w:val="auto"/>
                      <w:kern w:val="0"/>
                      <w:szCs w:val="21"/>
                    </w:rPr>
                    <w:t>47.04</w:t>
                  </w:r>
                </w:p>
              </w:tc>
              <w:tc>
                <w:tcPr>
                  <w:tcW w:w="710" w:type="dxa"/>
                  <w:vAlign w:val="center"/>
                </w:tcPr>
                <w:p>
                  <w:pPr>
                    <w:adjustRightInd w:val="0"/>
                    <w:snapToGrid w:val="0"/>
                    <w:jc w:val="center"/>
                    <w:rPr>
                      <w:color w:val="auto"/>
                      <w:kern w:val="0"/>
                      <w:szCs w:val="21"/>
                    </w:rPr>
                  </w:pPr>
                  <w:r>
                    <w:rPr>
                      <w:rFonts w:hint="eastAsia"/>
                      <w:color w:val="auto"/>
                      <w:kern w:val="0"/>
                      <w:szCs w:val="21"/>
                    </w:rPr>
                    <w:t>47.05</w:t>
                  </w:r>
                </w:p>
              </w:tc>
              <w:tc>
                <w:tcPr>
                  <w:tcW w:w="739" w:type="dxa"/>
                  <w:vAlign w:val="center"/>
                </w:tcPr>
                <w:p>
                  <w:pPr>
                    <w:adjustRightInd w:val="0"/>
                    <w:snapToGrid w:val="0"/>
                    <w:jc w:val="center"/>
                    <w:rPr>
                      <w:color w:val="auto"/>
                      <w:kern w:val="0"/>
                      <w:szCs w:val="21"/>
                    </w:rPr>
                  </w:pPr>
                  <w:r>
                    <w:rPr>
                      <w:rFonts w:hint="eastAsia"/>
                      <w:color w:val="auto"/>
                      <w:kern w:val="0"/>
                      <w:szCs w:val="21"/>
                    </w:rPr>
                    <w:t>47.03</w:t>
                  </w:r>
                </w:p>
              </w:tc>
              <w:tc>
                <w:tcPr>
                  <w:tcW w:w="517" w:type="dxa"/>
                  <w:vMerge w:val="restart"/>
                  <w:vAlign w:val="center"/>
                </w:tcPr>
                <w:p>
                  <w:pPr>
                    <w:adjustRightInd w:val="0"/>
                    <w:snapToGrid w:val="0"/>
                    <w:jc w:val="center"/>
                    <w:rPr>
                      <w:color w:val="auto"/>
                      <w:kern w:val="0"/>
                      <w:szCs w:val="21"/>
                    </w:rPr>
                  </w:pPr>
                  <w:r>
                    <w:rPr>
                      <w:rFonts w:hint="eastAsia"/>
                      <w:color w:val="auto"/>
                      <w:kern w:val="0"/>
                      <w:szCs w:val="21"/>
                    </w:rPr>
                    <w:t>昼间</w:t>
                  </w:r>
                </w:p>
              </w:tc>
              <w:tc>
                <w:tcPr>
                  <w:tcW w:w="544" w:type="dxa"/>
                  <w:vAlign w:val="center"/>
                </w:tcPr>
                <w:p>
                  <w:pPr>
                    <w:adjustRightInd w:val="0"/>
                    <w:snapToGrid w:val="0"/>
                    <w:jc w:val="center"/>
                    <w:rPr>
                      <w:color w:val="auto"/>
                      <w:kern w:val="0"/>
                      <w:szCs w:val="21"/>
                    </w:rPr>
                  </w:pPr>
                  <w:r>
                    <w:rPr>
                      <w:rFonts w:hint="eastAsia"/>
                      <w:color w:val="auto"/>
                      <w:kern w:val="0"/>
                      <w:szCs w:val="21"/>
                    </w:rPr>
                    <w:t>10</w:t>
                  </w:r>
                </w:p>
              </w:tc>
              <w:tc>
                <w:tcPr>
                  <w:tcW w:w="480"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840" w:type="dxa"/>
                  <w:vAlign w:val="center"/>
                </w:tcPr>
                <w:p>
                  <w:pPr>
                    <w:adjustRightInd w:val="0"/>
                    <w:snapToGrid w:val="0"/>
                    <w:jc w:val="center"/>
                    <w:rPr>
                      <w:color w:val="auto"/>
                      <w:kern w:val="0"/>
                      <w:szCs w:val="21"/>
                    </w:rPr>
                  </w:pPr>
                  <w:r>
                    <w:rPr>
                      <w:rFonts w:hint="eastAsia"/>
                      <w:color w:val="auto"/>
                      <w:kern w:val="0"/>
                      <w:szCs w:val="21"/>
                    </w:rPr>
                    <w:t>36.97</w:t>
                  </w:r>
                </w:p>
              </w:tc>
              <w:tc>
                <w:tcPr>
                  <w:tcW w:w="757" w:type="dxa"/>
                  <w:vAlign w:val="center"/>
                </w:tcPr>
                <w:p>
                  <w:pPr>
                    <w:adjustRightInd w:val="0"/>
                    <w:snapToGrid w:val="0"/>
                    <w:jc w:val="center"/>
                    <w:rPr>
                      <w:color w:val="auto"/>
                      <w:kern w:val="0"/>
                      <w:szCs w:val="21"/>
                    </w:rPr>
                  </w:pPr>
                  <w:r>
                    <w:rPr>
                      <w:rFonts w:hint="eastAsia"/>
                      <w:color w:val="auto"/>
                      <w:kern w:val="0"/>
                      <w:szCs w:val="21"/>
                    </w:rPr>
                    <w:t>37.04</w:t>
                  </w:r>
                </w:p>
              </w:tc>
              <w:tc>
                <w:tcPr>
                  <w:tcW w:w="720" w:type="dxa"/>
                  <w:vAlign w:val="center"/>
                </w:tcPr>
                <w:p>
                  <w:pPr>
                    <w:adjustRightInd w:val="0"/>
                    <w:snapToGrid w:val="0"/>
                    <w:jc w:val="center"/>
                    <w:rPr>
                      <w:color w:val="auto"/>
                      <w:kern w:val="0"/>
                      <w:szCs w:val="21"/>
                    </w:rPr>
                  </w:pPr>
                  <w:r>
                    <w:rPr>
                      <w:rFonts w:hint="eastAsia"/>
                      <w:color w:val="auto"/>
                      <w:kern w:val="0"/>
                      <w:szCs w:val="21"/>
                    </w:rPr>
                    <w:t>37.05</w:t>
                  </w:r>
                </w:p>
              </w:tc>
              <w:tc>
                <w:tcPr>
                  <w:tcW w:w="736" w:type="dxa"/>
                  <w:vAlign w:val="center"/>
                </w:tcPr>
                <w:p>
                  <w:pPr>
                    <w:adjustRightInd w:val="0"/>
                    <w:snapToGrid w:val="0"/>
                    <w:jc w:val="center"/>
                    <w:rPr>
                      <w:color w:val="auto"/>
                      <w:kern w:val="0"/>
                      <w:szCs w:val="21"/>
                    </w:rPr>
                  </w:pPr>
                  <w:r>
                    <w:rPr>
                      <w:rFonts w:hint="eastAsia"/>
                      <w:color w:val="auto"/>
                      <w:kern w:val="0"/>
                      <w:szCs w:val="21"/>
                    </w:rPr>
                    <w:t>37.03</w:t>
                  </w:r>
                </w:p>
              </w:tc>
              <w:tc>
                <w:tcPr>
                  <w:tcW w:w="729" w:type="dxa"/>
                  <w:vAlign w:val="center"/>
                </w:tcPr>
                <w:p>
                  <w:pPr>
                    <w:adjustRightInd w:val="0"/>
                    <w:snapToGrid w:val="0"/>
                    <w:jc w:val="center"/>
                    <w:rPr>
                      <w:color w:val="auto"/>
                      <w:kern w:val="0"/>
                      <w:szCs w:val="21"/>
                    </w:rPr>
                  </w:pPr>
                  <w:r>
                    <w:rPr>
                      <w:rFonts w:hint="eastAsia"/>
                      <w:color w:val="auto"/>
                      <w:kern w:val="0"/>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0" w:type="dxa"/>
                  <w:vAlign w:val="center"/>
                </w:tcPr>
                <w:p>
                  <w:pPr>
                    <w:adjustRightInd w:val="0"/>
                    <w:snapToGrid w:val="0"/>
                    <w:jc w:val="center"/>
                    <w:rPr>
                      <w:color w:val="auto"/>
                      <w:kern w:val="0"/>
                      <w:szCs w:val="21"/>
                    </w:rPr>
                  </w:pPr>
                  <w:r>
                    <w:rPr>
                      <w:rFonts w:hint="eastAsia"/>
                      <w:color w:val="auto"/>
                      <w:kern w:val="0"/>
                      <w:szCs w:val="21"/>
                    </w:rPr>
                    <w:t>2</w:t>
                  </w:r>
                </w:p>
              </w:tc>
              <w:tc>
                <w:tcPr>
                  <w:tcW w:w="646" w:type="dxa"/>
                  <w:vMerge w:val="continue"/>
                  <w:vAlign w:val="center"/>
                </w:tcPr>
                <w:p>
                  <w:pPr>
                    <w:adjustRightInd w:val="0"/>
                    <w:snapToGrid w:val="0"/>
                    <w:jc w:val="center"/>
                    <w:rPr>
                      <w:color w:val="auto"/>
                      <w:kern w:val="0"/>
                      <w:szCs w:val="21"/>
                    </w:rPr>
                  </w:pPr>
                </w:p>
              </w:tc>
              <w:tc>
                <w:tcPr>
                  <w:tcW w:w="1534" w:type="dxa"/>
                  <w:vAlign w:val="center"/>
                </w:tcPr>
                <w:p>
                  <w:pPr>
                    <w:adjustRightInd w:val="0"/>
                    <w:snapToGrid w:val="0"/>
                    <w:jc w:val="center"/>
                    <w:rPr>
                      <w:color w:val="auto"/>
                      <w:kern w:val="0"/>
                      <w:szCs w:val="21"/>
                    </w:rPr>
                  </w:pPr>
                  <w:r>
                    <w:rPr>
                      <w:rFonts w:hint="eastAsia" w:hAnsi="宋体"/>
                      <w:color w:val="auto"/>
                      <w:szCs w:val="21"/>
                    </w:rPr>
                    <w:t>干式复合机</w:t>
                  </w:r>
                </w:p>
              </w:tc>
              <w:tc>
                <w:tcPr>
                  <w:tcW w:w="379" w:type="dxa"/>
                  <w:vAlign w:val="center"/>
                </w:tcPr>
                <w:p>
                  <w:pPr>
                    <w:adjustRightInd w:val="0"/>
                    <w:snapToGrid w:val="0"/>
                    <w:jc w:val="center"/>
                    <w:rPr>
                      <w:color w:val="auto"/>
                      <w:szCs w:val="21"/>
                    </w:rPr>
                  </w:pPr>
                  <w:r>
                    <w:rPr>
                      <w:rFonts w:hint="eastAsia"/>
                      <w:color w:val="auto"/>
                      <w:szCs w:val="21"/>
                    </w:rPr>
                    <w:t>1</w:t>
                  </w:r>
                </w:p>
              </w:tc>
              <w:tc>
                <w:tcPr>
                  <w:tcW w:w="840" w:type="dxa"/>
                  <w:vAlign w:val="center"/>
                </w:tcPr>
                <w:p>
                  <w:pPr>
                    <w:adjustRightInd w:val="0"/>
                    <w:snapToGrid w:val="0"/>
                    <w:jc w:val="center"/>
                    <w:rPr>
                      <w:color w:val="auto"/>
                      <w:kern w:val="0"/>
                      <w:szCs w:val="21"/>
                    </w:rPr>
                  </w:pPr>
                  <w:r>
                    <w:rPr>
                      <w:rFonts w:hint="eastAsia"/>
                      <w:color w:val="auto"/>
                      <w:kern w:val="0"/>
                      <w:szCs w:val="21"/>
                    </w:rPr>
                    <w:t>80</w:t>
                  </w:r>
                </w:p>
              </w:tc>
              <w:tc>
                <w:tcPr>
                  <w:tcW w:w="767" w:type="dxa"/>
                  <w:vAlign w:val="center"/>
                </w:tcPr>
                <w:p>
                  <w:pPr>
                    <w:adjustRightInd w:val="0"/>
                    <w:snapToGrid w:val="0"/>
                    <w:jc w:val="center"/>
                    <w:rPr>
                      <w:color w:val="auto"/>
                      <w:kern w:val="0"/>
                      <w:szCs w:val="21"/>
                    </w:rPr>
                  </w:pPr>
                  <w:r>
                    <w:rPr>
                      <w:rFonts w:hint="eastAsia"/>
                      <w:color w:val="auto"/>
                      <w:kern w:val="0"/>
                      <w:szCs w:val="21"/>
                    </w:rPr>
                    <w:t>/</w:t>
                  </w:r>
                </w:p>
              </w:tc>
              <w:tc>
                <w:tcPr>
                  <w:tcW w:w="867" w:type="dxa"/>
                  <w:vMerge w:val="continue"/>
                  <w:vAlign w:val="center"/>
                </w:tcPr>
                <w:p>
                  <w:pPr>
                    <w:adjustRightInd w:val="0"/>
                    <w:snapToGrid w:val="0"/>
                    <w:jc w:val="center"/>
                    <w:rPr>
                      <w:color w:val="auto"/>
                      <w:kern w:val="0"/>
                      <w:szCs w:val="21"/>
                    </w:rPr>
                  </w:pPr>
                </w:p>
              </w:tc>
              <w:tc>
                <w:tcPr>
                  <w:tcW w:w="803" w:type="dxa"/>
                  <w:vAlign w:val="center"/>
                </w:tcPr>
                <w:p>
                  <w:pPr>
                    <w:adjustRightInd w:val="0"/>
                    <w:snapToGrid w:val="0"/>
                    <w:jc w:val="center"/>
                    <w:rPr>
                      <w:color w:val="auto"/>
                      <w:kern w:val="0"/>
                      <w:szCs w:val="21"/>
                    </w:rPr>
                  </w:pPr>
                  <w:r>
                    <w:rPr>
                      <w:rFonts w:hint="eastAsia"/>
                      <w:color w:val="auto"/>
                      <w:kern w:val="0"/>
                      <w:szCs w:val="21"/>
                    </w:rPr>
                    <w:t>65</w:t>
                  </w:r>
                </w:p>
              </w:tc>
              <w:tc>
                <w:tcPr>
                  <w:tcW w:w="593" w:type="dxa"/>
                  <w:vAlign w:val="center"/>
                </w:tcPr>
                <w:p>
                  <w:pPr>
                    <w:adjustRightInd w:val="0"/>
                    <w:snapToGrid w:val="0"/>
                    <w:jc w:val="center"/>
                    <w:rPr>
                      <w:color w:val="auto"/>
                      <w:kern w:val="0"/>
                      <w:szCs w:val="21"/>
                    </w:rPr>
                  </w:pPr>
                  <w:r>
                    <w:rPr>
                      <w:rFonts w:hint="eastAsia"/>
                      <w:color w:val="auto"/>
                      <w:kern w:val="0"/>
                      <w:szCs w:val="21"/>
                    </w:rPr>
                    <w:t>40</w:t>
                  </w:r>
                </w:p>
              </w:tc>
              <w:tc>
                <w:tcPr>
                  <w:tcW w:w="793" w:type="dxa"/>
                  <w:vAlign w:val="center"/>
                </w:tcPr>
                <w:p>
                  <w:pPr>
                    <w:adjustRightInd w:val="0"/>
                    <w:snapToGrid w:val="0"/>
                    <w:jc w:val="center"/>
                    <w:rPr>
                      <w:color w:val="auto"/>
                      <w:kern w:val="0"/>
                      <w:szCs w:val="21"/>
                    </w:rPr>
                  </w:pPr>
                  <w:r>
                    <w:rPr>
                      <w:rFonts w:hint="eastAsia"/>
                      <w:color w:val="auto"/>
                      <w:kern w:val="0"/>
                      <w:szCs w:val="21"/>
                    </w:rPr>
                    <w:t>23</w:t>
                  </w:r>
                </w:p>
              </w:tc>
              <w:tc>
                <w:tcPr>
                  <w:tcW w:w="703" w:type="dxa"/>
                  <w:vAlign w:val="center"/>
                </w:tcPr>
                <w:p>
                  <w:pPr>
                    <w:adjustRightInd w:val="0"/>
                    <w:snapToGrid w:val="0"/>
                    <w:jc w:val="center"/>
                    <w:rPr>
                      <w:color w:val="auto"/>
                      <w:kern w:val="0"/>
                      <w:szCs w:val="21"/>
                    </w:rPr>
                  </w:pPr>
                  <w:r>
                    <w:rPr>
                      <w:rFonts w:hint="eastAsia"/>
                      <w:color w:val="auto"/>
                      <w:kern w:val="0"/>
                      <w:szCs w:val="21"/>
                    </w:rPr>
                    <w:t>1.1</w:t>
                  </w:r>
                </w:p>
              </w:tc>
              <w:tc>
                <w:tcPr>
                  <w:tcW w:w="524" w:type="dxa"/>
                  <w:vAlign w:val="center"/>
                </w:tcPr>
                <w:p>
                  <w:pPr>
                    <w:adjustRightInd w:val="0"/>
                    <w:snapToGrid w:val="0"/>
                    <w:jc w:val="center"/>
                    <w:rPr>
                      <w:color w:val="auto"/>
                      <w:kern w:val="0"/>
                      <w:szCs w:val="21"/>
                    </w:rPr>
                  </w:pPr>
                  <w:r>
                    <w:rPr>
                      <w:rFonts w:hint="eastAsia"/>
                      <w:color w:val="auto"/>
                      <w:kern w:val="0"/>
                      <w:szCs w:val="21"/>
                    </w:rPr>
                    <w:t>10</w:t>
                  </w:r>
                </w:p>
              </w:tc>
              <w:tc>
                <w:tcPr>
                  <w:tcW w:w="461" w:type="dxa"/>
                  <w:vAlign w:val="center"/>
                </w:tcPr>
                <w:p>
                  <w:pPr>
                    <w:adjustRightInd w:val="0"/>
                    <w:snapToGrid w:val="0"/>
                    <w:jc w:val="center"/>
                    <w:rPr>
                      <w:color w:val="auto"/>
                      <w:kern w:val="0"/>
                      <w:szCs w:val="21"/>
                    </w:rPr>
                  </w:pPr>
                  <w:r>
                    <w:rPr>
                      <w:rFonts w:hint="eastAsia"/>
                      <w:color w:val="auto"/>
                      <w:kern w:val="0"/>
                      <w:szCs w:val="21"/>
                    </w:rPr>
                    <w:t>40</w:t>
                  </w:r>
                </w:p>
              </w:tc>
              <w:tc>
                <w:tcPr>
                  <w:tcW w:w="480" w:type="dxa"/>
                  <w:vAlign w:val="center"/>
                </w:tcPr>
                <w:p>
                  <w:pPr>
                    <w:adjustRightInd w:val="0"/>
                    <w:snapToGrid w:val="0"/>
                    <w:jc w:val="center"/>
                    <w:rPr>
                      <w:color w:val="auto"/>
                      <w:kern w:val="0"/>
                      <w:szCs w:val="21"/>
                    </w:rPr>
                  </w:pPr>
                  <w:r>
                    <w:rPr>
                      <w:rFonts w:hint="eastAsia"/>
                      <w:color w:val="auto"/>
                      <w:kern w:val="0"/>
                      <w:szCs w:val="21"/>
                    </w:rPr>
                    <w:t>65</w:t>
                  </w:r>
                </w:p>
              </w:tc>
              <w:tc>
                <w:tcPr>
                  <w:tcW w:w="536" w:type="dxa"/>
                  <w:vAlign w:val="center"/>
                </w:tcPr>
                <w:p>
                  <w:pPr>
                    <w:adjustRightInd w:val="0"/>
                    <w:snapToGrid w:val="0"/>
                    <w:jc w:val="center"/>
                    <w:rPr>
                      <w:color w:val="auto"/>
                      <w:kern w:val="0"/>
                      <w:szCs w:val="21"/>
                    </w:rPr>
                  </w:pPr>
                  <w:r>
                    <w:rPr>
                      <w:rFonts w:hint="eastAsia"/>
                      <w:color w:val="auto"/>
                      <w:kern w:val="0"/>
                      <w:szCs w:val="21"/>
                    </w:rPr>
                    <w:t>29</w:t>
                  </w:r>
                </w:p>
              </w:tc>
              <w:tc>
                <w:tcPr>
                  <w:tcW w:w="784" w:type="dxa"/>
                  <w:vAlign w:val="center"/>
                </w:tcPr>
                <w:p>
                  <w:pPr>
                    <w:adjustRightInd w:val="0"/>
                    <w:snapToGrid w:val="0"/>
                    <w:jc w:val="center"/>
                    <w:rPr>
                      <w:color w:val="auto"/>
                      <w:kern w:val="0"/>
                      <w:szCs w:val="21"/>
                    </w:rPr>
                  </w:pPr>
                  <w:r>
                    <w:rPr>
                      <w:rFonts w:hint="eastAsia"/>
                      <w:color w:val="auto"/>
                      <w:kern w:val="0"/>
                      <w:szCs w:val="21"/>
                    </w:rPr>
                    <w:t>44.38</w:t>
                  </w:r>
                </w:p>
              </w:tc>
              <w:tc>
                <w:tcPr>
                  <w:tcW w:w="693" w:type="dxa"/>
                  <w:vAlign w:val="center"/>
                </w:tcPr>
                <w:p>
                  <w:pPr>
                    <w:adjustRightInd w:val="0"/>
                    <w:snapToGrid w:val="0"/>
                    <w:jc w:val="center"/>
                    <w:rPr>
                      <w:color w:val="auto"/>
                      <w:kern w:val="0"/>
                      <w:szCs w:val="21"/>
                    </w:rPr>
                  </w:pPr>
                  <w:r>
                    <w:rPr>
                      <w:rFonts w:hint="eastAsia"/>
                      <w:color w:val="auto"/>
                      <w:kern w:val="0"/>
                      <w:szCs w:val="21"/>
                    </w:rPr>
                    <w:t>43.98</w:t>
                  </w:r>
                </w:p>
              </w:tc>
              <w:tc>
                <w:tcPr>
                  <w:tcW w:w="710" w:type="dxa"/>
                  <w:vAlign w:val="center"/>
                </w:tcPr>
                <w:p>
                  <w:pPr>
                    <w:adjustRightInd w:val="0"/>
                    <w:snapToGrid w:val="0"/>
                    <w:jc w:val="center"/>
                    <w:rPr>
                      <w:color w:val="auto"/>
                      <w:kern w:val="0"/>
                      <w:szCs w:val="21"/>
                    </w:rPr>
                  </w:pPr>
                  <w:r>
                    <w:rPr>
                      <w:rFonts w:hint="eastAsia"/>
                      <w:color w:val="auto"/>
                      <w:kern w:val="0"/>
                      <w:szCs w:val="21"/>
                    </w:rPr>
                    <w:t>43.96</w:t>
                  </w:r>
                </w:p>
              </w:tc>
              <w:tc>
                <w:tcPr>
                  <w:tcW w:w="739" w:type="dxa"/>
                  <w:vAlign w:val="center"/>
                </w:tcPr>
                <w:p>
                  <w:pPr>
                    <w:adjustRightInd w:val="0"/>
                    <w:snapToGrid w:val="0"/>
                    <w:jc w:val="center"/>
                    <w:rPr>
                      <w:color w:val="auto"/>
                      <w:kern w:val="0"/>
                      <w:szCs w:val="21"/>
                    </w:rPr>
                  </w:pPr>
                  <w:r>
                    <w:rPr>
                      <w:rFonts w:hint="eastAsia"/>
                      <w:color w:val="auto"/>
                      <w:kern w:val="0"/>
                      <w:szCs w:val="21"/>
                    </w:rPr>
                    <w:t>44.01</w:t>
                  </w:r>
                </w:p>
              </w:tc>
              <w:tc>
                <w:tcPr>
                  <w:tcW w:w="517" w:type="dxa"/>
                  <w:vMerge w:val="continue"/>
                  <w:vAlign w:val="center"/>
                </w:tcPr>
                <w:p>
                  <w:pPr>
                    <w:adjustRightInd w:val="0"/>
                    <w:snapToGrid w:val="0"/>
                    <w:jc w:val="center"/>
                    <w:rPr>
                      <w:color w:val="auto"/>
                      <w:kern w:val="0"/>
                      <w:szCs w:val="21"/>
                    </w:rPr>
                  </w:pPr>
                </w:p>
              </w:tc>
              <w:tc>
                <w:tcPr>
                  <w:tcW w:w="544" w:type="dxa"/>
                  <w:vAlign w:val="center"/>
                </w:tcPr>
                <w:p>
                  <w:pPr>
                    <w:adjustRightInd w:val="0"/>
                    <w:snapToGrid w:val="0"/>
                    <w:jc w:val="center"/>
                    <w:rPr>
                      <w:color w:val="auto"/>
                      <w:kern w:val="0"/>
                      <w:szCs w:val="21"/>
                    </w:rPr>
                  </w:pPr>
                  <w:r>
                    <w:rPr>
                      <w:rFonts w:hint="eastAsia"/>
                      <w:color w:val="auto"/>
                      <w:kern w:val="0"/>
                      <w:szCs w:val="21"/>
                    </w:rPr>
                    <w:t>10</w:t>
                  </w:r>
                </w:p>
              </w:tc>
              <w:tc>
                <w:tcPr>
                  <w:tcW w:w="480"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840" w:type="dxa"/>
                  <w:vAlign w:val="center"/>
                </w:tcPr>
                <w:p>
                  <w:pPr>
                    <w:adjustRightInd w:val="0"/>
                    <w:snapToGrid w:val="0"/>
                    <w:jc w:val="center"/>
                    <w:rPr>
                      <w:color w:val="auto"/>
                      <w:kern w:val="0"/>
                      <w:szCs w:val="21"/>
                    </w:rPr>
                  </w:pPr>
                  <w:r>
                    <w:rPr>
                      <w:rFonts w:hint="eastAsia"/>
                      <w:color w:val="auto"/>
                      <w:kern w:val="0"/>
                      <w:szCs w:val="21"/>
                    </w:rPr>
                    <w:t>34.38</w:t>
                  </w:r>
                </w:p>
              </w:tc>
              <w:tc>
                <w:tcPr>
                  <w:tcW w:w="757" w:type="dxa"/>
                  <w:vAlign w:val="center"/>
                </w:tcPr>
                <w:p>
                  <w:pPr>
                    <w:adjustRightInd w:val="0"/>
                    <w:snapToGrid w:val="0"/>
                    <w:jc w:val="center"/>
                    <w:rPr>
                      <w:color w:val="auto"/>
                      <w:kern w:val="0"/>
                      <w:szCs w:val="21"/>
                    </w:rPr>
                  </w:pPr>
                  <w:r>
                    <w:rPr>
                      <w:rFonts w:hint="eastAsia"/>
                      <w:color w:val="auto"/>
                      <w:kern w:val="0"/>
                      <w:szCs w:val="21"/>
                    </w:rPr>
                    <w:t>33.98</w:t>
                  </w:r>
                </w:p>
              </w:tc>
              <w:tc>
                <w:tcPr>
                  <w:tcW w:w="720" w:type="dxa"/>
                  <w:vAlign w:val="center"/>
                </w:tcPr>
                <w:p>
                  <w:pPr>
                    <w:adjustRightInd w:val="0"/>
                    <w:snapToGrid w:val="0"/>
                    <w:jc w:val="center"/>
                    <w:rPr>
                      <w:color w:val="auto"/>
                      <w:kern w:val="0"/>
                      <w:szCs w:val="21"/>
                    </w:rPr>
                  </w:pPr>
                  <w:r>
                    <w:rPr>
                      <w:rFonts w:hint="eastAsia"/>
                      <w:color w:val="auto"/>
                      <w:kern w:val="0"/>
                      <w:szCs w:val="21"/>
                    </w:rPr>
                    <w:t>33.96</w:t>
                  </w:r>
                </w:p>
              </w:tc>
              <w:tc>
                <w:tcPr>
                  <w:tcW w:w="736" w:type="dxa"/>
                  <w:vAlign w:val="center"/>
                </w:tcPr>
                <w:p>
                  <w:pPr>
                    <w:adjustRightInd w:val="0"/>
                    <w:snapToGrid w:val="0"/>
                    <w:jc w:val="center"/>
                    <w:rPr>
                      <w:color w:val="auto"/>
                      <w:kern w:val="0"/>
                      <w:szCs w:val="21"/>
                    </w:rPr>
                  </w:pPr>
                  <w:r>
                    <w:rPr>
                      <w:rFonts w:hint="eastAsia"/>
                      <w:color w:val="auto"/>
                      <w:kern w:val="0"/>
                      <w:szCs w:val="21"/>
                    </w:rPr>
                    <w:t>34.01</w:t>
                  </w:r>
                </w:p>
              </w:tc>
              <w:tc>
                <w:tcPr>
                  <w:tcW w:w="729" w:type="dxa"/>
                  <w:vAlign w:val="center"/>
                </w:tcPr>
                <w:p>
                  <w:pPr>
                    <w:adjustRightInd w:val="0"/>
                    <w:snapToGrid w:val="0"/>
                    <w:jc w:val="center"/>
                    <w:rPr>
                      <w:color w:val="auto"/>
                      <w:kern w:val="0"/>
                      <w:szCs w:val="21"/>
                    </w:rPr>
                  </w:pPr>
                  <w:r>
                    <w:rPr>
                      <w:rFonts w:hint="eastAsia"/>
                      <w:color w:val="auto"/>
                      <w:kern w:val="0"/>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0" w:type="dxa"/>
                  <w:vAlign w:val="center"/>
                </w:tcPr>
                <w:p>
                  <w:pPr>
                    <w:adjustRightInd w:val="0"/>
                    <w:snapToGrid w:val="0"/>
                    <w:jc w:val="center"/>
                    <w:rPr>
                      <w:color w:val="auto"/>
                      <w:kern w:val="0"/>
                      <w:szCs w:val="21"/>
                    </w:rPr>
                  </w:pPr>
                  <w:r>
                    <w:rPr>
                      <w:rFonts w:hint="eastAsia"/>
                      <w:color w:val="auto"/>
                      <w:kern w:val="0"/>
                      <w:szCs w:val="21"/>
                    </w:rPr>
                    <w:t>3</w:t>
                  </w:r>
                </w:p>
              </w:tc>
              <w:tc>
                <w:tcPr>
                  <w:tcW w:w="646" w:type="dxa"/>
                  <w:vMerge w:val="continue"/>
                  <w:vAlign w:val="center"/>
                </w:tcPr>
                <w:p>
                  <w:pPr>
                    <w:adjustRightInd w:val="0"/>
                    <w:snapToGrid w:val="0"/>
                    <w:jc w:val="center"/>
                    <w:rPr>
                      <w:color w:val="auto"/>
                      <w:kern w:val="0"/>
                      <w:szCs w:val="21"/>
                    </w:rPr>
                  </w:pPr>
                </w:p>
              </w:tc>
              <w:tc>
                <w:tcPr>
                  <w:tcW w:w="1534" w:type="dxa"/>
                  <w:vAlign w:val="center"/>
                </w:tcPr>
                <w:p>
                  <w:pPr>
                    <w:adjustRightInd w:val="0"/>
                    <w:snapToGrid w:val="0"/>
                    <w:jc w:val="center"/>
                    <w:rPr>
                      <w:color w:val="auto"/>
                      <w:kern w:val="0"/>
                      <w:szCs w:val="21"/>
                    </w:rPr>
                  </w:pPr>
                  <w:r>
                    <w:rPr>
                      <w:rFonts w:hint="eastAsia"/>
                      <w:color w:val="auto"/>
                      <w:kern w:val="0"/>
                      <w:szCs w:val="21"/>
                    </w:rPr>
                    <w:t>无溶剂复合机</w:t>
                  </w:r>
                </w:p>
              </w:tc>
              <w:tc>
                <w:tcPr>
                  <w:tcW w:w="379" w:type="dxa"/>
                  <w:vAlign w:val="center"/>
                </w:tcPr>
                <w:p>
                  <w:pPr>
                    <w:adjustRightInd w:val="0"/>
                    <w:snapToGrid w:val="0"/>
                    <w:jc w:val="center"/>
                    <w:rPr>
                      <w:color w:val="auto"/>
                      <w:szCs w:val="21"/>
                    </w:rPr>
                  </w:pPr>
                  <w:r>
                    <w:rPr>
                      <w:rFonts w:hint="eastAsia"/>
                      <w:color w:val="auto"/>
                      <w:szCs w:val="21"/>
                    </w:rPr>
                    <w:t>3</w:t>
                  </w:r>
                </w:p>
              </w:tc>
              <w:tc>
                <w:tcPr>
                  <w:tcW w:w="840" w:type="dxa"/>
                  <w:vAlign w:val="center"/>
                </w:tcPr>
                <w:p>
                  <w:pPr>
                    <w:adjustRightInd w:val="0"/>
                    <w:snapToGrid w:val="0"/>
                    <w:jc w:val="center"/>
                    <w:rPr>
                      <w:color w:val="auto"/>
                      <w:kern w:val="0"/>
                      <w:szCs w:val="21"/>
                    </w:rPr>
                  </w:pPr>
                  <w:r>
                    <w:rPr>
                      <w:rFonts w:hint="eastAsia"/>
                      <w:color w:val="auto"/>
                      <w:kern w:val="0"/>
                      <w:szCs w:val="21"/>
                    </w:rPr>
                    <w:t>80</w:t>
                  </w:r>
                </w:p>
              </w:tc>
              <w:tc>
                <w:tcPr>
                  <w:tcW w:w="767" w:type="dxa"/>
                  <w:vAlign w:val="center"/>
                </w:tcPr>
                <w:p>
                  <w:pPr>
                    <w:adjustRightInd w:val="0"/>
                    <w:snapToGrid w:val="0"/>
                    <w:jc w:val="center"/>
                    <w:rPr>
                      <w:color w:val="auto"/>
                      <w:kern w:val="0"/>
                      <w:szCs w:val="21"/>
                    </w:rPr>
                  </w:pPr>
                  <w:r>
                    <w:rPr>
                      <w:rFonts w:hint="eastAsia"/>
                      <w:color w:val="auto"/>
                      <w:kern w:val="0"/>
                      <w:szCs w:val="21"/>
                    </w:rPr>
                    <w:t>84.8</w:t>
                  </w:r>
                </w:p>
              </w:tc>
              <w:tc>
                <w:tcPr>
                  <w:tcW w:w="867" w:type="dxa"/>
                  <w:vMerge w:val="continue"/>
                  <w:vAlign w:val="center"/>
                </w:tcPr>
                <w:p>
                  <w:pPr>
                    <w:adjustRightInd w:val="0"/>
                    <w:snapToGrid w:val="0"/>
                    <w:jc w:val="center"/>
                    <w:rPr>
                      <w:color w:val="auto"/>
                      <w:kern w:val="0"/>
                      <w:szCs w:val="21"/>
                    </w:rPr>
                  </w:pPr>
                </w:p>
              </w:tc>
              <w:tc>
                <w:tcPr>
                  <w:tcW w:w="803" w:type="dxa"/>
                  <w:vAlign w:val="center"/>
                </w:tcPr>
                <w:p>
                  <w:pPr>
                    <w:adjustRightInd w:val="0"/>
                    <w:snapToGrid w:val="0"/>
                    <w:jc w:val="center"/>
                    <w:rPr>
                      <w:color w:val="auto"/>
                      <w:kern w:val="0"/>
                      <w:szCs w:val="21"/>
                    </w:rPr>
                  </w:pPr>
                  <w:r>
                    <w:rPr>
                      <w:rFonts w:hint="eastAsia"/>
                      <w:color w:val="auto"/>
                      <w:kern w:val="0"/>
                      <w:szCs w:val="21"/>
                    </w:rPr>
                    <w:t>69.5</w:t>
                  </w:r>
                </w:p>
              </w:tc>
              <w:tc>
                <w:tcPr>
                  <w:tcW w:w="593" w:type="dxa"/>
                  <w:vAlign w:val="center"/>
                </w:tcPr>
                <w:p>
                  <w:pPr>
                    <w:adjustRightInd w:val="0"/>
                    <w:snapToGrid w:val="0"/>
                    <w:jc w:val="center"/>
                    <w:rPr>
                      <w:color w:val="auto"/>
                      <w:kern w:val="0"/>
                      <w:szCs w:val="21"/>
                    </w:rPr>
                  </w:pPr>
                  <w:r>
                    <w:rPr>
                      <w:rFonts w:hint="eastAsia"/>
                      <w:color w:val="auto"/>
                      <w:kern w:val="0"/>
                      <w:szCs w:val="21"/>
                    </w:rPr>
                    <w:t>34</w:t>
                  </w:r>
                </w:p>
              </w:tc>
              <w:tc>
                <w:tcPr>
                  <w:tcW w:w="793" w:type="dxa"/>
                  <w:vAlign w:val="center"/>
                </w:tcPr>
                <w:p>
                  <w:pPr>
                    <w:adjustRightInd w:val="0"/>
                    <w:snapToGrid w:val="0"/>
                    <w:jc w:val="center"/>
                    <w:rPr>
                      <w:color w:val="auto"/>
                      <w:kern w:val="0"/>
                      <w:szCs w:val="21"/>
                    </w:rPr>
                  </w:pPr>
                  <w:r>
                    <w:rPr>
                      <w:rFonts w:hint="eastAsia"/>
                      <w:color w:val="auto"/>
                      <w:kern w:val="0"/>
                      <w:szCs w:val="21"/>
                    </w:rPr>
                    <w:t>9</w:t>
                  </w:r>
                </w:p>
              </w:tc>
              <w:tc>
                <w:tcPr>
                  <w:tcW w:w="703" w:type="dxa"/>
                  <w:vAlign w:val="center"/>
                </w:tcPr>
                <w:p>
                  <w:pPr>
                    <w:adjustRightInd w:val="0"/>
                    <w:snapToGrid w:val="0"/>
                    <w:jc w:val="center"/>
                    <w:rPr>
                      <w:color w:val="auto"/>
                      <w:kern w:val="0"/>
                      <w:szCs w:val="21"/>
                    </w:rPr>
                  </w:pPr>
                  <w:r>
                    <w:rPr>
                      <w:rFonts w:hint="eastAsia"/>
                      <w:color w:val="auto"/>
                      <w:kern w:val="0"/>
                      <w:szCs w:val="21"/>
                    </w:rPr>
                    <w:t>1.1</w:t>
                  </w:r>
                </w:p>
              </w:tc>
              <w:tc>
                <w:tcPr>
                  <w:tcW w:w="524" w:type="dxa"/>
                  <w:vAlign w:val="center"/>
                </w:tcPr>
                <w:p>
                  <w:pPr>
                    <w:adjustRightInd w:val="0"/>
                    <w:snapToGrid w:val="0"/>
                    <w:jc w:val="center"/>
                    <w:rPr>
                      <w:color w:val="auto"/>
                      <w:kern w:val="0"/>
                      <w:szCs w:val="21"/>
                    </w:rPr>
                  </w:pPr>
                  <w:r>
                    <w:rPr>
                      <w:rFonts w:hint="eastAsia"/>
                      <w:color w:val="auto"/>
                      <w:kern w:val="0"/>
                      <w:szCs w:val="21"/>
                    </w:rPr>
                    <w:t>24</w:t>
                  </w:r>
                </w:p>
              </w:tc>
              <w:tc>
                <w:tcPr>
                  <w:tcW w:w="461" w:type="dxa"/>
                  <w:vAlign w:val="center"/>
                </w:tcPr>
                <w:p>
                  <w:pPr>
                    <w:adjustRightInd w:val="0"/>
                    <w:snapToGrid w:val="0"/>
                    <w:jc w:val="center"/>
                    <w:rPr>
                      <w:color w:val="auto"/>
                      <w:kern w:val="0"/>
                      <w:szCs w:val="21"/>
                    </w:rPr>
                  </w:pPr>
                  <w:r>
                    <w:rPr>
                      <w:rFonts w:hint="eastAsia"/>
                      <w:color w:val="auto"/>
                      <w:kern w:val="0"/>
                      <w:szCs w:val="21"/>
                    </w:rPr>
                    <w:t>24</w:t>
                  </w:r>
                </w:p>
              </w:tc>
              <w:tc>
                <w:tcPr>
                  <w:tcW w:w="480" w:type="dxa"/>
                  <w:vAlign w:val="center"/>
                </w:tcPr>
                <w:p>
                  <w:pPr>
                    <w:adjustRightInd w:val="0"/>
                    <w:snapToGrid w:val="0"/>
                    <w:jc w:val="center"/>
                    <w:rPr>
                      <w:color w:val="auto"/>
                      <w:kern w:val="0"/>
                      <w:szCs w:val="21"/>
                    </w:rPr>
                  </w:pPr>
                  <w:r>
                    <w:rPr>
                      <w:rFonts w:hint="eastAsia"/>
                      <w:color w:val="auto"/>
                      <w:kern w:val="0"/>
                      <w:szCs w:val="21"/>
                    </w:rPr>
                    <w:t>46</w:t>
                  </w:r>
                </w:p>
              </w:tc>
              <w:tc>
                <w:tcPr>
                  <w:tcW w:w="536" w:type="dxa"/>
                  <w:vAlign w:val="center"/>
                </w:tcPr>
                <w:p>
                  <w:pPr>
                    <w:adjustRightInd w:val="0"/>
                    <w:snapToGrid w:val="0"/>
                    <w:jc w:val="center"/>
                    <w:rPr>
                      <w:color w:val="auto"/>
                      <w:kern w:val="0"/>
                      <w:szCs w:val="21"/>
                    </w:rPr>
                  </w:pPr>
                  <w:r>
                    <w:rPr>
                      <w:rFonts w:hint="eastAsia"/>
                      <w:color w:val="auto"/>
                      <w:kern w:val="0"/>
                      <w:szCs w:val="21"/>
                    </w:rPr>
                    <w:t>17</w:t>
                  </w:r>
                </w:p>
              </w:tc>
              <w:tc>
                <w:tcPr>
                  <w:tcW w:w="784" w:type="dxa"/>
                  <w:vAlign w:val="center"/>
                </w:tcPr>
                <w:p>
                  <w:pPr>
                    <w:adjustRightInd w:val="0"/>
                    <w:snapToGrid w:val="0"/>
                    <w:jc w:val="center"/>
                    <w:rPr>
                      <w:color w:val="auto"/>
                      <w:kern w:val="0"/>
                      <w:szCs w:val="21"/>
                    </w:rPr>
                  </w:pPr>
                  <w:r>
                    <w:rPr>
                      <w:rFonts w:hint="eastAsia"/>
                      <w:color w:val="auto"/>
                      <w:kern w:val="0"/>
                      <w:szCs w:val="21"/>
                    </w:rPr>
                    <w:t>48.53</w:t>
                  </w:r>
                </w:p>
              </w:tc>
              <w:tc>
                <w:tcPr>
                  <w:tcW w:w="693" w:type="dxa"/>
                  <w:vAlign w:val="center"/>
                </w:tcPr>
                <w:p>
                  <w:pPr>
                    <w:adjustRightInd w:val="0"/>
                    <w:snapToGrid w:val="0"/>
                    <w:jc w:val="center"/>
                    <w:rPr>
                      <w:color w:val="auto"/>
                      <w:kern w:val="0"/>
                      <w:szCs w:val="21"/>
                    </w:rPr>
                  </w:pPr>
                  <w:r>
                    <w:rPr>
                      <w:rFonts w:hint="eastAsia"/>
                      <w:color w:val="auto"/>
                      <w:kern w:val="0"/>
                      <w:szCs w:val="21"/>
                    </w:rPr>
                    <w:t>48.53</w:t>
                  </w:r>
                </w:p>
              </w:tc>
              <w:tc>
                <w:tcPr>
                  <w:tcW w:w="710" w:type="dxa"/>
                  <w:vAlign w:val="center"/>
                </w:tcPr>
                <w:p>
                  <w:pPr>
                    <w:adjustRightInd w:val="0"/>
                    <w:snapToGrid w:val="0"/>
                    <w:jc w:val="center"/>
                    <w:rPr>
                      <w:color w:val="auto"/>
                      <w:kern w:val="0"/>
                      <w:szCs w:val="21"/>
                    </w:rPr>
                  </w:pPr>
                  <w:r>
                    <w:rPr>
                      <w:rFonts w:hint="eastAsia"/>
                      <w:color w:val="auto"/>
                      <w:kern w:val="0"/>
                      <w:szCs w:val="21"/>
                    </w:rPr>
                    <w:t>48.47</w:t>
                  </w:r>
                </w:p>
              </w:tc>
              <w:tc>
                <w:tcPr>
                  <w:tcW w:w="739" w:type="dxa"/>
                  <w:vAlign w:val="center"/>
                </w:tcPr>
                <w:p>
                  <w:pPr>
                    <w:adjustRightInd w:val="0"/>
                    <w:snapToGrid w:val="0"/>
                    <w:jc w:val="center"/>
                    <w:rPr>
                      <w:color w:val="auto"/>
                      <w:kern w:val="0"/>
                      <w:szCs w:val="21"/>
                    </w:rPr>
                  </w:pPr>
                  <w:r>
                    <w:rPr>
                      <w:rFonts w:hint="eastAsia"/>
                      <w:color w:val="auto"/>
                      <w:kern w:val="0"/>
                      <w:szCs w:val="21"/>
                    </w:rPr>
                    <w:t>48.61</w:t>
                  </w:r>
                </w:p>
              </w:tc>
              <w:tc>
                <w:tcPr>
                  <w:tcW w:w="517" w:type="dxa"/>
                  <w:vMerge w:val="continue"/>
                  <w:vAlign w:val="center"/>
                </w:tcPr>
                <w:p>
                  <w:pPr>
                    <w:adjustRightInd w:val="0"/>
                    <w:snapToGrid w:val="0"/>
                    <w:jc w:val="center"/>
                    <w:rPr>
                      <w:color w:val="auto"/>
                      <w:kern w:val="0"/>
                      <w:szCs w:val="21"/>
                    </w:rPr>
                  </w:pPr>
                </w:p>
              </w:tc>
              <w:tc>
                <w:tcPr>
                  <w:tcW w:w="544" w:type="dxa"/>
                  <w:vAlign w:val="center"/>
                </w:tcPr>
                <w:p>
                  <w:pPr>
                    <w:adjustRightInd w:val="0"/>
                    <w:snapToGrid w:val="0"/>
                    <w:jc w:val="center"/>
                    <w:rPr>
                      <w:color w:val="auto"/>
                      <w:kern w:val="0"/>
                      <w:szCs w:val="21"/>
                    </w:rPr>
                  </w:pPr>
                  <w:r>
                    <w:rPr>
                      <w:rFonts w:hint="eastAsia"/>
                      <w:color w:val="auto"/>
                      <w:kern w:val="0"/>
                      <w:szCs w:val="21"/>
                    </w:rPr>
                    <w:t>10</w:t>
                  </w:r>
                </w:p>
              </w:tc>
              <w:tc>
                <w:tcPr>
                  <w:tcW w:w="480"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840" w:type="dxa"/>
                  <w:vAlign w:val="center"/>
                </w:tcPr>
                <w:p>
                  <w:pPr>
                    <w:adjustRightInd w:val="0"/>
                    <w:snapToGrid w:val="0"/>
                    <w:jc w:val="center"/>
                    <w:rPr>
                      <w:color w:val="auto"/>
                      <w:kern w:val="0"/>
                      <w:szCs w:val="21"/>
                    </w:rPr>
                  </w:pPr>
                  <w:r>
                    <w:rPr>
                      <w:rFonts w:hint="eastAsia"/>
                      <w:color w:val="auto"/>
                      <w:kern w:val="0"/>
                      <w:szCs w:val="21"/>
                    </w:rPr>
                    <w:t>38.53</w:t>
                  </w:r>
                </w:p>
              </w:tc>
              <w:tc>
                <w:tcPr>
                  <w:tcW w:w="757" w:type="dxa"/>
                  <w:vAlign w:val="center"/>
                </w:tcPr>
                <w:p>
                  <w:pPr>
                    <w:adjustRightInd w:val="0"/>
                    <w:snapToGrid w:val="0"/>
                    <w:jc w:val="center"/>
                    <w:rPr>
                      <w:color w:val="auto"/>
                      <w:kern w:val="0"/>
                      <w:szCs w:val="21"/>
                    </w:rPr>
                  </w:pPr>
                  <w:r>
                    <w:rPr>
                      <w:rFonts w:hint="eastAsia"/>
                      <w:color w:val="auto"/>
                      <w:kern w:val="0"/>
                      <w:szCs w:val="21"/>
                    </w:rPr>
                    <w:t>38.53</w:t>
                  </w:r>
                </w:p>
              </w:tc>
              <w:tc>
                <w:tcPr>
                  <w:tcW w:w="720" w:type="dxa"/>
                  <w:vAlign w:val="center"/>
                </w:tcPr>
                <w:p>
                  <w:pPr>
                    <w:adjustRightInd w:val="0"/>
                    <w:snapToGrid w:val="0"/>
                    <w:jc w:val="center"/>
                    <w:rPr>
                      <w:color w:val="auto"/>
                      <w:kern w:val="0"/>
                      <w:szCs w:val="21"/>
                    </w:rPr>
                  </w:pPr>
                  <w:r>
                    <w:rPr>
                      <w:rFonts w:hint="eastAsia"/>
                      <w:color w:val="auto"/>
                      <w:kern w:val="0"/>
                      <w:szCs w:val="21"/>
                    </w:rPr>
                    <w:t>38.47</w:t>
                  </w:r>
                </w:p>
              </w:tc>
              <w:tc>
                <w:tcPr>
                  <w:tcW w:w="736" w:type="dxa"/>
                  <w:vAlign w:val="center"/>
                </w:tcPr>
                <w:p>
                  <w:pPr>
                    <w:adjustRightInd w:val="0"/>
                    <w:snapToGrid w:val="0"/>
                    <w:jc w:val="center"/>
                    <w:rPr>
                      <w:color w:val="auto"/>
                      <w:kern w:val="0"/>
                      <w:szCs w:val="21"/>
                    </w:rPr>
                  </w:pPr>
                  <w:r>
                    <w:rPr>
                      <w:rFonts w:hint="eastAsia"/>
                      <w:color w:val="auto"/>
                      <w:kern w:val="0"/>
                      <w:szCs w:val="21"/>
                    </w:rPr>
                    <w:t>38.61</w:t>
                  </w:r>
                </w:p>
              </w:tc>
              <w:tc>
                <w:tcPr>
                  <w:tcW w:w="729" w:type="dxa"/>
                  <w:vAlign w:val="center"/>
                </w:tcPr>
                <w:p>
                  <w:pPr>
                    <w:adjustRightInd w:val="0"/>
                    <w:snapToGrid w:val="0"/>
                    <w:jc w:val="center"/>
                    <w:rPr>
                      <w:color w:val="auto"/>
                      <w:kern w:val="0"/>
                      <w:szCs w:val="21"/>
                    </w:rPr>
                  </w:pPr>
                  <w:r>
                    <w:rPr>
                      <w:rFonts w:hint="eastAsia"/>
                      <w:color w:val="auto"/>
                      <w:kern w:val="0"/>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0" w:type="dxa"/>
                  <w:vAlign w:val="center"/>
                </w:tcPr>
                <w:p>
                  <w:pPr>
                    <w:adjustRightInd w:val="0"/>
                    <w:snapToGrid w:val="0"/>
                    <w:jc w:val="center"/>
                    <w:rPr>
                      <w:color w:val="auto"/>
                      <w:kern w:val="0"/>
                      <w:szCs w:val="21"/>
                    </w:rPr>
                  </w:pPr>
                  <w:r>
                    <w:rPr>
                      <w:rFonts w:hint="eastAsia"/>
                      <w:color w:val="auto"/>
                      <w:kern w:val="0"/>
                      <w:szCs w:val="21"/>
                    </w:rPr>
                    <w:t>4</w:t>
                  </w:r>
                </w:p>
              </w:tc>
              <w:tc>
                <w:tcPr>
                  <w:tcW w:w="646" w:type="dxa"/>
                  <w:vMerge w:val="continue"/>
                  <w:vAlign w:val="center"/>
                </w:tcPr>
                <w:p>
                  <w:pPr>
                    <w:adjustRightInd w:val="0"/>
                    <w:snapToGrid w:val="0"/>
                    <w:jc w:val="center"/>
                    <w:rPr>
                      <w:color w:val="auto"/>
                      <w:kern w:val="0"/>
                      <w:szCs w:val="21"/>
                    </w:rPr>
                  </w:pPr>
                </w:p>
              </w:tc>
              <w:tc>
                <w:tcPr>
                  <w:tcW w:w="1534" w:type="dxa"/>
                  <w:vAlign w:val="center"/>
                </w:tcPr>
                <w:p>
                  <w:pPr>
                    <w:adjustRightInd w:val="0"/>
                    <w:snapToGrid w:val="0"/>
                    <w:jc w:val="center"/>
                    <w:rPr>
                      <w:color w:val="auto"/>
                      <w:kern w:val="0"/>
                      <w:szCs w:val="21"/>
                    </w:rPr>
                  </w:pPr>
                  <w:r>
                    <w:rPr>
                      <w:rFonts w:hint="eastAsia"/>
                      <w:color w:val="auto"/>
                      <w:kern w:val="0"/>
                      <w:szCs w:val="21"/>
                    </w:rPr>
                    <w:t>高速分切机</w:t>
                  </w:r>
                </w:p>
              </w:tc>
              <w:tc>
                <w:tcPr>
                  <w:tcW w:w="379" w:type="dxa"/>
                  <w:vAlign w:val="center"/>
                </w:tcPr>
                <w:p>
                  <w:pPr>
                    <w:adjustRightInd w:val="0"/>
                    <w:snapToGrid w:val="0"/>
                    <w:jc w:val="center"/>
                    <w:rPr>
                      <w:color w:val="auto"/>
                      <w:kern w:val="0"/>
                      <w:szCs w:val="21"/>
                    </w:rPr>
                  </w:pPr>
                  <w:r>
                    <w:rPr>
                      <w:rFonts w:hint="eastAsia"/>
                      <w:color w:val="auto"/>
                      <w:kern w:val="0"/>
                      <w:szCs w:val="21"/>
                    </w:rPr>
                    <w:t>2</w:t>
                  </w:r>
                </w:p>
              </w:tc>
              <w:tc>
                <w:tcPr>
                  <w:tcW w:w="840" w:type="dxa"/>
                  <w:vAlign w:val="center"/>
                </w:tcPr>
                <w:p>
                  <w:pPr>
                    <w:adjustRightInd w:val="0"/>
                    <w:snapToGrid w:val="0"/>
                    <w:jc w:val="center"/>
                    <w:rPr>
                      <w:color w:val="auto"/>
                      <w:kern w:val="0"/>
                      <w:szCs w:val="21"/>
                    </w:rPr>
                  </w:pPr>
                  <w:r>
                    <w:rPr>
                      <w:rFonts w:hint="eastAsia"/>
                      <w:color w:val="auto"/>
                      <w:kern w:val="0"/>
                      <w:szCs w:val="21"/>
                    </w:rPr>
                    <w:t>85</w:t>
                  </w:r>
                </w:p>
              </w:tc>
              <w:tc>
                <w:tcPr>
                  <w:tcW w:w="767" w:type="dxa"/>
                  <w:vAlign w:val="center"/>
                </w:tcPr>
                <w:p>
                  <w:pPr>
                    <w:adjustRightInd w:val="0"/>
                    <w:snapToGrid w:val="0"/>
                    <w:jc w:val="center"/>
                    <w:rPr>
                      <w:color w:val="auto"/>
                      <w:kern w:val="0"/>
                      <w:szCs w:val="21"/>
                    </w:rPr>
                  </w:pPr>
                  <w:r>
                    <w:rPr>
                      <w:rFonts w:hint="eastAsia"/>
                      <w:color w:val="auto"/>
                      <w:kern w:val="0"/>
                      <w:szCs w:val="21"/>
                    </w:rPr>
                    <w:t>88</w:t>
                  </w:r>
                </w:p>
              </w:tc>
              <w:tc>
                <w:tcPr>
                  <w:tcW w:w="867" w:type="dxa"/>
                  <w:vMerge w:val="continue"/>
                  <w:vAlign w:val="center"/>
                </w:tcPr>
                <w:p>
                  <w:pPr>
                    <w:adjustRightInd w:val="0"/>
                    <w:snapToGrid w:val="0"/>
                    <w:jc w:val="center"/>
                    <w:rPr>
                      <w:color w:val="auto"/>
                      <w:kern w:val="0"/>
                      <w:szCs w:val="21"/>
                    </w:rPr>
                  </w:pPr>
                </w:p>
              </w:tc>
              <w:tc>
                <w:tcPr>
                  <w:tcW w:w="803" w:type="dxa"/>
                  <w:vAlign w:val="center"/>
                </w:tcPr>
                <w:p>
                  <w:pPr>
                    <w:adjustRightInd w:val="0"/>
                    <w:snapToGrid w:val="0"/>
                    <w:jc w:val="center"/>
                    <w:rPr>
                      <w:color w:val="auto"/>
                      <w:kern w:val="0"/>
                      <w:szCs w:val="21"/>
                    </w:rPr>
                  </w:pPr>
                  <w:r>
                    <w:rPr>
                      <w:rFonts w:hint="eastAsia"/>
                      <w:color w:val="auto"/>
                      <w:kern w:val="0"/>
                      <w:szCs w:val="21"/>
                    </w:rPr>
                    <w:t>73</w:t>
                  </w:r>
                </w:p>
              </w:tc>
              <w:tc>
                <w:tcPr>
                  <w:tcW w:w="593" w:type="dxa"/>
                  <w:vAlign w:val="center"/>
                </w:tcPr>
                <w:p>
                  <w:pPr>
                    <w:adjustRightInd w:val="0"/>
                    <w:snapToGrid w:val="0"/>
                    <w:jc w:val="center"/>
                    <w:rPr>
                      <w:color w:val="auto"/>
                      <w:kern w:val="0"/>
                      <w:szCs w:val="21"/>
                    </w:rPr>
                  </w:pPr>
                  <w:r>
                    <w:rPr>
                      <w:rFonts w:hint="eastAsia"/>
                      <w:color w:val="auto"/>
                      <w:kern w:val="0"/>
                      <w:szCs w:val="21"/>
                    </w:rPr>
                    <w:t>58</w:t>
                  </w:r>
                </w:p>
              </w:tc>
              <w:tc>
                <w:tcPr>
                  <w:tcW w:w="793" w:type="dxa"/>
                  <w:vAlign w:val="center"/>
                </w:tcPr>
                <w:p>
                  <w:pPr>
                    <w:adjustRightInd w:val="0"/>
                    <w:snapToGrid w:val="0"/>
                    <w:jc w:val="center"/>
                    <w:rPr>
                      <w:color w:val="auto"/>
                      <w:kern w:val="0"/>
                      <w:szCs w:val="21"/>
                    </w:rPr>
                  </w:pPr>
                  <w:r>
                    <w:rPr>
                      <w:rFonts w:hint="eastAsia"/>
                      <w:color w:val="auto"/>
                      <w:kern w:val="0"/>
                      <w:szCs w:val="21"/>
                    </w:rPr>
                    <w:t>9</w:t>
                  </w:r>
                </w:p>
              </w:tc>
              <w:tc>
                <w:tcPr>
                  <w:tcW w:w="703" w:type="dxa"/>
                  <w:vAlign w:val="center"/>
                </w:tcPr>
                <w:p>
                  <w:pPr>
                    <w:adjustRightInd w:val="0"/>
                    <w:snapToGrid w:val="0"/>
                    <w:jc w:val="center"/>
                    <w:rPr>
                      <w:color w:val="auto"/>
                      <w:kern w:val="0"/>
                      <w:szCs w:val="21"/>
                    </w:rPr>
                  </w:pPr>
                  <w:r>
                    <w:rPr>
                      <w:rFonts w:hint="eastAsia"/>
                      <w:color w:val="auto"/>
                      <w:kern w:val="0"/>
                      <w:szCs w:val="21"/>
                    </w:rPr>
                    <w:t>1.1</w:t>
                  </w:r>
                </w:p>
              </w:tc>
              <w:tc>
                <w:tcPr>
                  <w:tcW w:w="524" w:type="dxa"/>
                  <w:vAlign w:val="center"/>
                </w:tcPr>
                <w:p>
                  <w:pPr>
                    <w:adjustRightInd w:val="0"/>
                    <w:snapToGrid w:val="0"/>
                    <w:jc w:val="center"/>
                    <w:rPr>
                      <w:color w:val="auto"/>
                      <w:kern w:val="0"/>
                      <w:szCs w:val="21"/>
                    </w:rPr>
                  </w:pPr>
                  <w:r>
                    <w:rPr>
                      <w:rFonts w:hint="eastAsia"/>
                      <w:color w:val="auto"/>
                      <w:kern w:val="0"/>
                      <w:szCs w:val="21"/>
                    </w:rPr>
                    <w:t>64</w:t>
                  </w:r>
                </w:p>
              </w:tc>
              <w:tc>
                <w:tcPr>
                  <w:tcW w:w="461" w:type="dxa"/>
                  <w:vAlign w:val="center"/>
                </w:tcPr>
                <w:p>
                  <w:pPr>
                    <w:adjustRightInd w:val="0"/>
                    <w:snapToGrid w:val="0"/>
                    <w:jc w:val="center"/>
                    <w:rPr>
                      <w:color w:val="auto"/>
                      <w:kern w:val="0"/>
                      <w:szCs w:val="21"/>
                    </w:rPr>
                  </w:pPr>
                  <w:r>
                    <w:rPr>
                      <w:rFonts w:hint="eastAsia"/>
                      <w:color w:val="auto"/>
                      <w:kern w:val="0"/>
                      <w:szCs w:val="21"/>
                    </w:rPr>
                    <w:t>39</w:t>
                  </w:r>
                </w:p>
              </w:tc>
              <w:tc>
                <w:tcPr>
                  <w:tcW w:w="480" w:type="dxa"/>
                  <w:vAlign w:val="center"/>
                </w:tcPr>
                <w:p>
                  <w:pPr>
                    <w:adjustRightInd w:val="0"/>
                    <w:snapToGrid w:val="0"/>
                    <w:jc w:val="center"/>
                    <w:rPr>
                      <w:color w:val="auto"/>
                      <w:kern w:val="0"/>
                      <w:szCs w:val="21"/>
                    </w:rPr>
                  </w:pPr>
                  <w:r>
                    <w:rPr>
                      <w:rFonts w:hint="eastAsia"/>
                      <w:color w:val="auto"/>
                      <w:kern w:val="0"/>
                      <w:szCs w:val="21"/>
                    </w:rPr>
                    <w:t>8</w:t>
                  </w:r>
                </w:p>
              </w:tc>
              <w:tc>
                <w:tcPr>
                  <w:tcW w:w="536" w:type="dxa"/>
                  <w:vAlign w:val="center"/>
                </w:tcPr>
                <w:p>
                  <w:pPr>
                    <w:adjustRightInd w:val="0"/>
                    <w:snapToGrid w:val="0"/>
                    <w:jc w:val="center"/>
                    <w:rPr>
                      <w:color w:val="auto"/>
                      <w:kern w:val="0"/>
                      <w:szCs w:val="21"/>
                    </w:rPr>
                  </w:pPr>
                  <w:r>
                    <w:rPr>
                      <w:rFonts w:hint="eastAsia"/>
                      <w:color w:val="auto"/>
                      <w:kern w:val="0"/>
                      <w:szCs w:val="21"/>
                    </w:rPr>
                    <w:t>34</w:t>
                  </w:r>
                </w:p>
              </w:tc>
              <w:tc>
                <w:tcPr>
                  <w:tcW w:w="784" w:type="dxa"/>
                  <w:vAlign w:val="center"/>
                </w:tcPr>
                <w:p>
                  <w:pPr>
                    <w:adjustRightInd w:val="0"/>
                    <w:snapToGrid w:val="0"/>
                    <w:jc w:val="center"/>
                    <w:rPr>
                      <w:color w:val="auto"/>
                      <w:kern w:val="0"/>
                      <w:szCs w:val="21"/>
                    </w:rPr>
                  </w:pPr>
                  <w:r>
                    <w:rPr>
                      <w:rFonts w:hint="eastAsia"/>
                      <w:color w:val="auto"/>
                      <w:kern w:val="0"/>
                      <w:szCs w:val="21"/>
                    </w:rPr>
                    <w:t>51.96</w:t>
                  </w:r>
                </w:p>
              </w:tc>
              <w:tc>
                <w:tcPr>
                  <w:tcW w:w="693" w:type="dxa"/>
                  <w:vAlign w:val="center"/>
                </w:tcPr>
                <w:p>
                  <w:pPr>
                    <w:adjustRightInd w:val="0"/>
                    <w:snapToGrid w:val="0"/>
                    <w:jc w:val="center"/>
                    <w:rPr>
                      <w:color w:val="auto"/>
                      <w:kern w:val="0"/>
                      <w:szCs w:val="21"/>
                    </w:rPr>
                  </w:pPr>
                  <w:r>
                    <w:rPr>
                      <w:rFonts w:hint="eastAsia"/>
                      <w:color w:val="auto"/>
                      <w:kern w:val="0"/>
                      <w:szCs w:val="21"/>
                    </w:rPr>
                    <w:t>51.98</w:t>
                  </w:r>
                </w:p>
              </w:tc>
              <w:tc>
                <w:tcPr>
                  <w:tcW w:w="710" w:type="dxa"/>
                  <w:vAlign w:val="center"/>
                </w:tcPr>
                <w:p>
                  <w:pPr>
                    <w:adjustRightInd w:val="0"/>
                    <w:snapToGrid w:val="0"/>
                    <w:jc w:val="center"/>
                    <w:rPr>
                      <w:color w:val="auto"/>
                      <w:kern w:val="0"/>
                      <w:szCs w:val="21"/>
                    </w:rPr>
                  </w:pPr>
                  <w:r>
                    <w:rPr>
                      <w:rFonts w:hint="eastAsia"/>
                      <w:color w:val="auto"/>
                      <w:kern w:val="0"/>
                      <w:szCs w:val="21"/>
                    </w:rPr>
                    <w:t>52.61</w:t>
                  </w:r>
                </w:p>
              </w:tc>
              <w:tc>
                <w:tcPr>
                  <w:tcW w:w="739" w:type="dxa"/>
                  <w:vAlign w:val="center"/>
                </w:tcPr>
                <w:p>
                  <w:pPr>
                    <w:adjustRightInd w:val="0"/>
                    <w:snapToGrid w:val="0"/>
                    <w:jc w:val="center"/>
                    <w:rPr>
                      <w:color w:val="auto"/>
                      <w:kern w:val="0"/>
                      <w:szCs w:val="21"/>
                    </w:rPr>
                  </w:pPr>
                  <w:r>
                    <w:rPr>
                      <w:rFonts w:hint="eastAsia"/>
                      <w:color w:val="auto"/>
                      <w:kern w:val="0"/>
                      <w:szCs w:val="21"/>
                    </w:rPr>
                    <w:t>51.99</w:t>
                  </w:r>
                </w:p>
              </w:tc>
              <w:tc>
                <w:tcPr>
                  <w:tcW w:w="517" w:type="dxa"/>
                  <w:vMerge w:val="continue"/>
                  <w:vAlign w:val="center"/>
                </w:tcPr>
                <w:p>
                  <w:pPr>
                    <w:adjustRightInd w:val="0"/>
                    <w:snapToGrid w:val="0"/>
                    <w:jc w:val="center"/>
                    <w:rPr>
                      <w:color w:val="auto"/>
                      <w:kern w:val="0"/>
                      <w:szCs w:val="21"/>
                    </w:rPr>
                  </w:pPr>
                </w:p>
              </w:tc>
              <w:tc>
                <w:tcPr>
                  <w:tcW w:w="544" w:type="dxa"/>
                  <w:vAlign w:val="center"/>
                </w:tcPr>
                <w:p>
                  <w:pPr>
                    <w:adjustRightInd w:val="0"/>
                    <w:snapToGrid w:val="0"/>
                    <w:jc w:val="center"/>
                    <w:rPr>
                      <w:color w:val="auto"/>
                      <w:kern w:val="0"/>
                      <w:szCs w:val="21"/>
                    </w:rPr>
                  </w:pPr>
                  <w:r>
                    <w:rPr>
                      <w:rFonts w:hint="eastAsia"/>
                      <w:color w:val="auto"/>
                      <w:kern w:val="0"/>
                      <w:szCs w:val="21"/>
                    </w:rPr>
                    <w:t>10</w:t>
                  </w:r>
                </w:p>
              </w:tc>
              <w:tc>
                <w:tcPr>
                  <w:tcW w:w="480"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840" w:type="dxa"/>
                  <w:vAlign w:val="center"/>
                </w:tcPr>
                <w:p>
                  <w:pPr>
                    <w:adjustRightInd w:val="0"/>
                    <w:snapToGrid w:val="0"/>
                    <w:jc w:val="center"/>
                    <w:rPr>
                      <w:color w:val="auto"/>
                      <w:kern w:val="0"/>
                      <w:szCs w:val="21"/>
                    </w:rPr>
                  </w:pPr>
                  <w:r>
                    <w:rPr>
                      <w:rFonts w:hint="eastAsia"/>
                      <w:color w:val="auto"/>
                      <w:kern w:val="0"/>
                      <w:szCs w:val="21"/>
                    </w:rPr>
                    <w:t>41.96</w:t>
                  </w:r>
                </w:p>
              </w:tc>
              <w:tc>
                <w:tcPr>
                  <w:tcW w:w="757" w:type="dxa"/>
                  <w:vAlign w:val="center"/>
                </w:tcPr>
                <w:p>
                  <w:pPr>
                    <w:adjustRightInd w:val="0"/>
                    <w:snapToGrid w:val="0"/>
                    <w:jc w:val="center"/>
                    <w:rPr>
                      <w:color w:val="auto"/>
                      <w:kern w:val="0"/>
                      <w:szCs w:val="21"/>
                    </w:rPr>
                  </w:pPr>
                  <w:r>
                    <w:rPr>
                      <w:rFonts w:hint="eastAsia"/>
                      <w:color w:val="auto"/>
                      <w:kern w:val="0"/>
                      <w:szCs w:val="21"/>
                    </w:rPr>
                    <w:t>41.98</w:t>
                  </w:r>
                </w:p>
              </w:tc>
              <w:tc>
                <w:tcPr>
                  <w:tcW w:w="720" w:type="dxa"/>
                  <w:vAlign w:val="center"/>
                </w:tcPr>
                <w:p>
                  <w:pPr>
                    <w:adjustRightInd w:val="0"/>
                    <w:snapToGrid w:val="0"/>
                    <w:jc w:val="center"/>
                    <w:rPr>
                      <w:color w:val="auto"/>
                      <w:kern w:val="0"/>
                      <w:szCs w:val="21"/>
                    </w:rPr>
                  </w:pPr>
                  <w:r>
                    <w:rPr>
                      <w:rFonts w:hint="eastAsia"/>
                      <w:color w:val="auto"/>
                      <w:kern w:val="0"/>
                      <w:szCs w:val="21"/>
                    </w:rPr>
                    <w:t>42.61</w:t>
                  </w:r>
                </w:p>
              </w:tc>
              <w:tc>
                <w:tcPr>
                  <w:tcW w:w="736" w:type="dxa"/>
                  <w:vAlign w:val="center"/>
                </w:tcPr>
                <w:p>
                  <w:pPr>
                    <w:adjustRightInd w:val="0"/>
                    <w:snapToGrid w:val="0"/>
                    <w:jc w:val="center"/>
                    <w:rPr>
                      <w:color w:val="auto"/>
                      <w:kern w:val="0"/>
                      <w:szCs w:val="21"/>
                    </w:rPr>
                  </w:pPr>
                  <w:r>
                    <w:rPr>
                      <w:rFonts w:hint="eastAsia"/>
                      <w:color w:val="auto"/>
                      <w:kern w:val="0"/>
                      <w:szCs w:val="21"/>
                    </w:rPr>
                    <w:t>41.99</w:t>
                  </w:r>
                </w:p>
              </w:tc>
              <w:tc>
                <w:tcPr>
                  <w:tcW w:w="729" w:type="dxa"/>
                  <w:vAlign w:val="center"/>
                </w:tcPr>
                <w:p>
                  <w:pPr>
                    <w:adjustRightInd w:val="0"/>
                    <w:snapToGrid w:val="0"/>
                    <w:jc w:val="center"/>
                    <w:rPr>
                      <w:color w:val="auto"/>
                      <w:kern w:val="0"/>
                      <w:szCs w:val="21"/>
                    </w:rPr>
                  </w:pPr>
                  <w:r>
                    <w:rPr>
                      <w:rFonts w:hint="eastAsia"/>
                      <w:color w:val="auto"/>
                      <w:kern w:val="0"/>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70" w:type="dxa"/>
                  <w:vAlign w:val="center"/>
                </w:tcPr>
                <w:p>
                  <w:pPr>
                    <w:adjustRightInd w:val="0"/>
                    <w:snapToGrid w:val="0"/>
                    <w:jc w:val="center"/>
                    <w:rPr>
                      <w:color w:val="auto"/>
                      <w:kern w:val="0"/>
                      <w:szCs w:val="21"/>
                    </w:rPr>
                  </w:pPr>
                  <w:r>
                    <w:rPr>
                      <w:rFonts w:hint="eastAsia"/>
                      <w:color w:val="auto"/>
                      <w:kern w:val="0"/>
                      <w:szCs w:val="21"/>
                    </w:rPr>
                    <w:t>5</w:t>
                  </w:r>
                </w:p>
              </w:tc>
              <w:tc>
                <w:tcPr>
                  <w:tcW w:w="646" w:type="dxa"/>
                  <w:vMerge w:val="continue"/>
                  <w:vAlign w:val="center"/>
                </w:tcPr>
                <w:p>
                  <w:pPr>
                    <w:adjustRightInd w:val="0"/>
                    <w:snapToGrid w:val="0"/>
                    <w:jc w:val="center"/>
                    <w:rPr>
                      <w:color w:val="auto"/>
                      <w:kern w:val="0"/>
                      <w:szCs w:val="21"/>
                    </w:rPr>
                  </w:pPr>
                </w:p>
              </w:tc>
              <w:tc>
                <w:tcPr>
                  <w:tcW w:w="1534" w:type="dxa"/>
                  <w:vAlign w:val="center"/>
                </w:tcPr>
                <w:p>
                  <w:pPr>
                    <w:adjustRightInd w:val="0"/>
                    <w:snapToGrid w:val="0"/>
                    <w:jc w:val="center"/>
                    <w:rPr>
                      <w:color w:val="auto"/>
                      <w:kern w:val="0"/>
                      <w:szCs w:val="21"/>
                    </w:rPr>
                  </w:pPr>
                  <w:r>
                    <w:rPr>
                      <w:rFonts w:hint="eastAsia"/>
                      <w:color w:val="auto"/>
                      <w:kern w:val="0"/>
                      <w:szCs w:val="21"/>
                    </w:rPr>
                    <w:t>高速制袋机</w:t>
                  </w:r>
                </w:p>
              </w:tc>
              <w:tc>
                <w:tcPr>
                  <w:tcW w:w="379" w:type="dxa"/>
                  <w:vAlign w:val="center"/>
                </w:tcPr>
                <w:p>
                  <w:pPr>
                    <w:adjustRightInd w:val="0"/>
                    <w:snapToGrid w:val="0"/>
                    <w:jc w:val="center"/>
                    <w:rPr>
                      <w:color w:val="auto"/>
                      <w:kern w:val="0"/>
                      <w:szCs w:val="21"/>
                    </w:rPr>
                  </w:pPr>
                  <w:r>
                    <w:rPr>
                      <w:rFonts w:hint="eastAsia"/>
                      <w:color w:val="auto"/>
                      <w:kern w:val="0"/>
                      <w:szCs w:val="21"/>
                    </w:rPr>
                    <w:t>15</w:t>
                  </w:r>
                </w:p>
              </w:tc>
              <w:tc>
                <w:tcPr>
                  <w:tcW w:w="840" w:type="dxa"/>
                  <w:vAlign w:val="center"/>
                </w:tcPr>
                <w:p>
                  <w:pPr>
                    <w:adjustRightInd w:val="0"/>
                    <w:snapToGrid w:val="0"/>
                    <w:jc w:val="center"/>
                    <w:rPr>
                      <w:color w:val="auto"/>
                      <w:kern w:val="0"/>
                      <w:szCs w:val="21"/>
                    </w:rPr>
                  </w:pPr>
                  <w:r>
                    <w:rPr>
                      <w:rFonts w:hint="eastAsia"/>
                      <w:color w:val="auto"/>
                      <w:kern w:val="0"/>
                      <w:szCs w:val="21"/>
                    </w:rPr>
                    <w:t>85</w:t>
                  </w:r>
                </w:p>
              </w:tc>
              <w:tc>
                <w:tcPr>
                  <w:tcW w:w="767" w:type="dxa"/>
                  <w:vAlign w:val="center"/>
                </w:tcPr>
                <w:p>
                  <w:pPr>
                    <w:adjustRightInd w:val="0"/>
                    <w:snapToGrid w:val="0"/>
                    <w:jc w:val="center"/>
                    <w:rPr>
                      <w:color w:val="auto"/>
                      <w:kern w:val="0"/>
                      <w:szCs w:val="21"/>
                    </w:rPr>
                  </w:pPr>
                  <w:r>
                    <w:rPr>
                      <w:rFonts w:hint="eastAsia"/>
                      <w:color w:val="auto"/>
                      <w:kern w:val="0"/>
                      <w:szCs w:val="21"/>
                    </w:rPr>
                    <w:t>96.8</w:t>
                  </w:r>
                </w:p>
              </w:tc>
              <w:tc>
                <w:tcPr>
                  <w:tcW w:w="867" w:type="dxa"/>
                  <w:vMerge w:val="continue"/>
                  <w:vAlign w:val="center"/>
                </w:tcPr>
                <w:p>
                  <w:pPr>
                    <w:adjustRightInd w:val="0"/>
                    <w:snapToGrid w:val="0"/>
                    <w:jc w:val="center"/>
                    <w:rPr>
                      <w:color w:val="auto"/>
                      <w:kern w:val="0"/>
                      <w:szCs w:val="21"/>
                    </w:rPr>
                  </w:pPr>
                </w:p>
              </w:tc>
              <w:tc>
                <w:tcPr>
                  <w:tcW w:w="803" w:type="dxa"/>
                  <w:vAlign w:val="center"/>
                </w:tcPr>
                <w:p>
                  <w:pPr>
                    <w:adjustRightInd w:val="0"/>
                    <w:snapToGrid w:val="0"/>
                    <w:jc w:val="center"/>
                    <w:rPr>
                      <w:color w:val="auto"/>
                      <w:kern w:val="0"/>
                      <w:szCs w:val="21"/>
                    </w:rPr>
                  </w:pPr>
                  <w:r>
                    <w:rPr>
                      <w:rFonts w:hint="eastAsia"/>
                      <w:color w:val="auto"/>
                      <w:kern w:val="0"/>
                      <w:szCs w:val="21"/>
                    </w:rPr>
                    <w:t>81.8</w:t>
                  </w:r>
                </w:p>
              </w:tc>
              <w:tc>
                <w:tcPr>
                  <w:tcW w:w="593" w:type="dxa"/>
                  <w:vAlign w:val="center"/>
                </w:tcPr>
                <w:p>
                  <w:pPr>
                    <w:adjustRightInd w:val="0"/>
                    <w:snapToGrid w:val="0"/>
                    <w:jc w:val="center"/>
                    <w:rPr>
                      <w:color w:val="auto"/>
                      <w:kern w:val="0"/>
                      <w:szCs w:val="21"/>
                    </w:rPr>
                  </w:pPr>
                  <w:r>
                    <w:rPr>
                      <w:rFonts w:hint="eastAsia"/>
                      <w:color w:val="auto"/>
                      <w:kern w:val="0"/>
                      <w:szCs w:val="21"/>
                    </w:rPr>
                    <w:t>33</w:t>
                  </w:r>
                </w:p>
              </w:tc>
              <w:tc>
                <w:tcPr>
                  <w:tcW w:w="793" w:type="dxa"/>
                  <w:vAlign w:val="center"/>
                </w:tcPr>
                <w:p>
                  <w:pPr>
                    <w:adjustRightInd w:val="0"/>
                    <w:snapToGrid w:val="0"/>
                    <w:jc w:val="center"/>
                    <w:rPr>
                      <w:color w:val="auto"/>
                      <w:kern w:val="0"/>
                      <w:szCs w:val="21"/>
                    </w:rPr>
                  </w:pPr>
                  <w:r>
                    <w:rPr>
                      <w:rFonts w:hint="eastAsia"/>
                      <w:color w:val="auto"/>
                      <w:kern w:val="0"/>
                      <w:szCs w:val="21"/>
                    </w:rPr>
                    <w:t>1</w:t>
                  </w:r>
                </w:p>
              </w:tc>
              <w:tc>
                <w:tcPr>
                  <w:tcW w:w="703" w:type="dxa"/>
                  <w:vAlign w:val="center"/>
                </w:tcPr>
                <w:p>
                  <w:pPr>
                    <w:adjustRightInd w:val="0"/>
                    <w:snapToGrid w:val="0"/>
                    <w:jc w:val="center"/>
                    <w:rPr>
                      <w:color w:val="auto"/>
                      <w:kern w:val="0"/>
                      <w:szCs w:val="21"/>
                    </w:rPr>
                  </w:pPr>
                  <w:r>
                    <w:rPr>
                      <w:rFonts w:hint="eastAsia"/>
                      <w:color w:val="auto"/>
                      <w:kern w:val="0"/>
                      <w:szCs w:val="21"/>
                    </w:rPr>
                    <w:t>8.1</w:t>
                  </w:r>
                </w:p>
              </w:tc>
              <w:tc>
                <w:tcPr>
                  <w:tcW w:w="524" w:type="dxa"/>
                  <w:vAlign w:val="center"/>
                </w:tcPr>
                <w:p>
                  <w:pPr>
                    <w:adjustRightInd w:val="0"/>
                    <w:snapToGrid w:val="0"/>
                    <w:jc w:val="center"/>
                    <w:rPr>
                      <w:color w:val="auto"/>
                      <w:kern w:val="0"/>
                      <w:szCs w:val="21"/>
                    </w:rPr>
                  </w:pPr>
                  <w:r>
                    <w:rPr>
                      <w:rFonts w:hint="eastAsia"/>
                      <w:color w:val="auto"/>
                      <w:kern w:val="0"/>
                      <w:szCs w:val="21"/>
                    </w:rPr>
                    <w:t>34</w:t>
                  </w:r>
                </w:p>
              </w:tc>
              <w:tc>
                <w:tcPr>
                  <w:tcW w:w="461" w:type="dxa"/>
                  <w:vAlign w:val="center"/>
                </w:tcPr>
                <w:p>
                  <w:pPr>
                    <w:adjustRightInd w:val="0"/>
                    <w:snapToGrid w:val="0"/>
                    <w:jc w:val="center"/>
                    <w:rPr>
                      <w:color w:val="auto"/>
                      <w:kern w:val="0"/>
                      <w:szCs w:val="21"/>
                    </w:rPr>
                  </w:pPr>
                  <w:r>
                    <w:rPr>
                      <w:rFonts w:hint="eastAsia"/>
                      <w:color w:val="auto"/>
                      <w:kern w:val="0"/>
                      <w:szCs w:val="21"/>
                    </w:rPr>
                    <w:t>18</w:t>
                  </w:r>
                </w:p>
              </w:tc>
              <w:tc>
                <w:tcPr>
                  <w:tcW w:w="480" w:type="dxa"/>
                  <w:vAlign w:val="center"/>
                </w:tcPr>
                <w:p>
                  <w:pPr>
                    <w:adjustRightInd w:val="0"/>
                    <w:snapToGrid w:val="0"/>
                    <w:jc w:val="center"/>
                    <w:rPr>
                      <w:color w:val="auto"/>
                      <w:kern w:val="0"/>
                      <w:szCs w:val="21"/>
                    </w:rPr>
                  </w:pPr>
                  <w:r>
                    <w:rPr>
                      <w:rFonts w:hint="eastAsia"/>
                      <w:color w:val="auto"/>
                      <w:kern w:val="0"/>
                      <w:szCs w:val="21"/>
                    </w:rPr>
                    <w:t>35</w:t>
                  </w:r>
                </w:p>
              </w:tc>
              <w:tc>
                <w:tcPr>
                  <w:tcW w:w="536" w:type="dxa"/>
                  <w:vAlign w:val="center"/>
                </w:tcPr>
                <w:p>
                  <w:pPr>
                    <w:adjustRightInd w:val="0"/>
                    <w:snapToGrid w:val="0"/>
                    <w:jc w:val="center"/>
                    <w:rPr>
                      <w:color w:val="auto"/>
                      <w:kern w:val="0"/>
                      <w:szCs w:val="21"/>
                    </w:rPr>
                  </w:pPr>
                  <w:r>
                    <w:rPr>
                      <w:rFonts w:hint="eastAsia"/>
                      <w:color w:val="auto"/>
                      <w:kern w:val="0"/>
                      <w:szCs w:val="21"/>
                    </w:rPr>
                    <w:t>18</w:t>
                  </w:r>
                </w:p>
              </w:tc>
              <w:tc>
                <w:tcPr>
                  <w:tcW w:w="784" w:type="dxa"/>
                  <w:vAlign w:val="center"/>
                </w:tcPr>
                <w:p>
                  <w:pPr>
                    <w:adjustRightInd w:val="0"/>
                    <w:snapToGrid w:val="0"/>
                    <w:jc w:val="center"/>
                    <w:rPr>
                      <w:color w:val="auto"/>
                      <w:kern w:val="0"/>
                      <w:szCs w:val="21"/>
                    </w:rPr>
                  </w:pPr>
                  <w:r>
                    <w:rPr>
                      <w:rFonts w:hint="eastAsia"/>
                      <w:color w:val="auto"/>
                      <w:kern w:val="0"/>
                      <w:szCs w:val="21"/>
                    </w:rPr>
                    <w:t>60.79</w:t>
                  </w:r>
                </w:p>
              </w:tc>
              <w:tc>
                <w:tcPr>
                  <w:tcW w:w="693" w:type="dxa"/>
                  <w:vAlign w:val="center"/>
                </w:tcPr>
                <w:p>
                  <w:pPr>
                    <w:adjustRightInd w:val="0"/>
                    <w:snapToGrid w:val="0"/>
                    <w:jc w:val="center"/>
                    <w:rPr>
                      <w:color w:val="auto"/>
                      <w:kern w:val="0"/>
                      <w:szCs w:val="21"/>
                    </w:rPr>
                  </w:pPr>
                  <w:r>
                    <w:rPr>
                      <w:rFonts w:hint="eastAsia"/>
                      <w:color w:val="auto"/>
                      <w:kern w:val="0"/>
                      <w:szCs w:val="21"/>
                    </w:rPr>
                    <w:t>60.89</w:t>
                  </w:r>
                </w:p>
              </w:tc>
              <w:tc>
                <w:tcPr>
                  <w:tcW w:w="710" w:type="dxa"/>
                  <w:vAlign w:val="center"/>
                </w:tcPr>
                <w:p>
                  <w:pPr>
                    <w:adjustRightInd w:val="0"/>
                    <w:snapToGrid w:val="0"/>
                    <w:jc w:val="center"/>
                    <w:rPr>
                      <w:color w:val="auto"/>
                      <w:kern w:val="0"/>
                      <w:szCs w:val="21"/>
                    </w:rPr>
                  </w:pPr>
                  <w:r>
                    <w:rPr>
                      <w:rFonts w:hint="eastAsia"/>
                      <w:color w:val="auto"/>
                      <w:kern w:val="0"/>
                      <w:szCs w:val="21"/>
                    </w:rPr>
                    <w:t>60.79</w:t>
                  </w:r>
                </w:p>
              </w:tc>
              <w:tc>
                <w:tcPr>
                  <w:tcW w:w="739" w:type="dxa"/>
                  <w:vAlign w:val="center"/>
                </w:tcPr>
                <w:p>
                  <w:pPr>
                    <w:adjustRightInd w:val="0"/>
                    <w:snapToGrid w:val="0"/>
                    <w:jc w:val="center"/>
                    <w:rPr>
                      <w:color w:val="auto"/>
                      <w:kern w:val="0"/>
                      <w:szCs w:val="21"/>
                    </w:rPr>
                  </w:pPr>
                  <w:r>
                    <w:rPr>
                      <w:rFonts w:hint="eastAsia"/>
                      <w:color w:val="auto"/>
                      <w:kern w:val="0"/>
                      <w:szCs w:val="21"/>
                    </w:rPr>
                    <w:t>60.89</w:t>
                  </w:r>
                </w:p>
              </w:tc>
              <w:tc>
                <w:tcPr>
                  <w:tcW w:w="517" w:type="dxa"/>
                  <w:vMerge w:val="continue"/>
                  <w:vAlign w:val="center"/>
                </w:tcPr>
                <w:p>
                  <w:pPr>
                    <w:adjustRightInd w:val="0"/>
                    <w:snapToGrid w:val="0"/>
                    <w:jc w:val="center"/>
                    <w:rPr>
                      <w:color w:val="auto"/>
                      <w:kern w:val="0"/>
                      <w:szCs w:val="21"/>
                    </w:rPr>
                  </w:pPr>
                </w:p>
              </w:tc>
              <w:tc>
                <w:tcPr>
                  <w:tcW w:w="544" w:type="dxa"/>
                  <w:vAlign w:val="center"/>
                </w:tcPr>
                <w:p>
                  <w:pPr>
                    <w:adjustRightInd w:val="0"/>
                    <w:snapToGrid w:val="0"/>
                    <w:jc w:val="center"/>
                    <w:rPr>
                      <w:color w:val="auto"/>
                      <w:kern w:val="0"/>
                      <w:szCs w:val="21"/>
                    </w:rPr>
                  </w:pPr>
                  <w:r>
                    <w:rPr>
                      <w:rFonts w:hint="eastAsia"/>
                      <w:color w:val="auto"/>
                      <w:kern w:val="0"/>
                      <w:szCs w:val="21"/>
                    </w:rPr>
                    <w:t>10</w:t>
                  </w:r>
                </w:p>
              </w:tc>
              <w:tc>
                <w:tcPr>
                  <w:tcW w:w="480"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517" w:type="dxa"/>
                  <w:vAlign w:val="center"/>
                </w:tcPr>
                <w:p>
                  <w:pPr>
                    <w:adjustRightInd w:val="0"/>
                    <w:snapToGrid w:val="0"/>
                    <w:jc w:val="center"/>
                    <w:rPr>
                      <w:color w:val="auto"/>
                      <w:kern w:val="0"/>
                      <w:szCs w:val="21"/>
                    </w:rPr>
                  </w:pPr>
                  <w:r>
                    <w:rPr>
                      <w:rFonts w:hint="eastAsia"/>
                      <w:color w:val="auto"/>
                      <w:kern w:val="0"/>
                      <w:szCs w:val="21"/>
                    </w:rPr>
                    <w:t>10</w:t>
                  </w:r>
                </w:p>
              </w:tc>
              <w:tc>
                <w:tcPr>
                  <w:tcW w:w="840" w:type="dxa"/>
                  <w:vAlign w:val="center"/>
                </w:tcPr>
                <w:p>
                  <w:pPr>
                    <w:adjustRightInd w:val="0"/>
                    <w:snapToGrid w:val="0"/>
                    <w:jc w:val="center"/>
                    <w:rPr>
                      <w:color w:val="auto"/>
                      <w:kern w:val="0"/>
                      <w:szCs w:val="21"/>
                    </w:rPr>
                  </w:pPr>
                  <w:r>
                    <w:rPr>
                      <w:rFonts w:hint="eastAsia"/>
                      <w:color w:val="auto"/>
                      <w:kern w:val="0"/>
                      <w:szCs w:val="21"/>
                    </w:rPr>
                    <w:t>50.79</w:t>
                  </w:r>
                </w:p>
              </w:tc>
              <w:tc>
                <w:tcPr>
                  <w:tcW w:w="757" w:type="dxa"/>
                  <w:vAlign w:val="center"/>
                </w:tcPr>
                <w:p>
                  <w:pPr>
                    <w:adjustRightInd w:val="0"/>
                    <w:snapToGrid w:val="0"/>
                    <w:jc w:val="center"/>
                    <w:rPr>
                      <w:color w:val="auto"/>
                      <w:kern w:val="0"/>
                      <w:szCs w:val="21"/>
                    </w:rPr>
                  </w:pPr>
                  <w:r>
                    <w:rPr>
                      <w:rFonts w:hint="eastAsia"/>
                      <w:color w:val="auto"/>
                      <w:kern w:val="0"/>
                      <w:szCs w:val="21"/>
                    </w:rPr>
                    <w:t>50.89</w:t>
                  </w:r>
                </w:p>
              </w:tc>
              <w:tc>
                <w:tcPr>
                  <w:tcW w:w="720" w:type="dxa"/>
                  <w:vAlign w:val="center"/>
                </w:tcPr>
                <w:p>
                  <w:pPr>
                    <w:adjustRightInd w:val="0"/>
                    <w:snapToGrid w:val="0"/>
                    <w:jc w:val="center"/>
                    <w:rPr>
                      <w:color w:val="auto"/>
                      <w:kern w:val="0"/>
                      <w:szCs w:val="21"/>
                    </w:rPr>
                  </w:pPr>
                  <w:r>
                    <w:rPr>
                      <w:rFonts w:hint="eastAsia"/>
                      <w:color w:val="auto"/>
                      <w:kern w:val="0"/>
                      <w:szCs w:val="21"/>
                    </w:rPr>
                    <w:t>50.79</w:t>
                  </w:r>
                </w:p>
              </w:tc>
              <w:tc>
                <w:tcPr>
                  <w:tcW w:w="736" w:type="dxa"/>
                  <w:vAlign w:val="center"/>
                </w:tcPr>
                <w:p>
                  <w:pPr>
                    <w:adjustRightInd w:val="0"/>
                    <w:snapToGrid w:val="0"/>
                    <w:jc w:val="center"/>
                    <w:rPr>
                      <w:color w:val="auto"/>
                      <w:kern w:val="0"/>
                      <w:szCs w:val="21"/>
                    </w:rPr>
                  </w:pPr>
                  <w:r>
                    <w:rPr>
                      <w:rFonts w:hint="eastAsia"/>
                      <w:color w:val="auto"/>
                      <w:kern w:val="0"/>
                      <w:szCs w:val="21"/>
                    </w:rPr>
                    <w:t>50.89</w:t>
                  </w:r>
                </w:p>
              </w:tc>
              <w:tc>
                <w:tcPr>
                  <w:tcW w:w="729" w:type="dxa"/>
                  <w:vAlign w:val="center"/>
                </w:tcPr>
                <w:p>
                  <w:pPr>
                    <w:adjustRightInd w:val="0"/>
                    <w:snapToGrid w:val="0"/>
                    <w:jc w:val="center"/>
                    <w:rPr>
                      <w:color w:val="auto"/>
                      <w:kern w:val="0"/>
                      <w:szCs w:val="21"/>
                    </w:rPr>
                  </w:pPr>
                  <w:r>
                    <w:rPr>
                      <w:rFonts w:hint="eastAsia"/>
                      <w:color w:val="auto"/>
                      <w:kern w:val="0"/>
                      <w:szCs w:val="21"/>
                    </w:rPr>
                    <w:t>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679" w:type="dxa"/>
                  <w:gridSpan w:val="29"/>
                  <w:vAlign w:val="center"/>
                </w:tcPr>
                <w:p>
                  <w:pPr>
                    <w:adjustRightInd w:val="0"/>
                    <w:snapToGrid w:val="0"/>
                    <w:spacing w:line="360" w:lineRule="auto"/>
                    <w:rPr>
                      <w:color w:val="auto"/>
                      <w:kern w:val="0"/>
                      <w:szCs w:val="21"/>
                    </w:rPr>
                  </w:pPr>
                  <w:r>
                    <w:rPr>
                      <w:rFonts w:hint="eastAsia"/>
                      <w:color w:val="auto"/>
                      <w:kern w:val="0"/>
                      <w:szCs w:val="21"/>
                    </w:rPr>
                    <w:t>注：表中坐标以厂房中心为坐标原点（0,0,0），正东向为X轴正方向，正北向为Y轴正方向。</w:t>
                  </w:r>
                  <w:r>
                    <w:rPr>
                      <w:color w:val="auto"/>
                      <w:kern w:val="0"/>
                      <w:szCs w:val="21"/>
                    </w:rPr>
                    <w:t>厂</w:t>
                  </w:r>
                  <w:r>
                    <w:rPr>
                      <w:rFonts w:hint="eastAsia"/>
                      <w:color w:val="auto"/>
                      <w:kern w:val="0"/>
                      <w:szCs w:val="21"/>
                    </w:rPr>
                    <w:t>房</w:t>
                  </w:r>
                  <w:r>
                    <w:rPr>
                      <w:color w:val="auto"/>
                      <w:kern w:val="0"/>
                      <w:szCs w:val="21"/>
                    </w:rPr>
                    <w:t>中心坐标（</w:t>
                  </w:r>
                  <w:r>
                    <w:rPr>
                      <w:rFonts w:hint="eastAsia"/>
                      <w:color w:val="auto"/>
                      <w:kern w:val="0"/>
                      <w:szCs w:val="21"/>
                    </w:rPr>
                    <w:t>E119.598516</w:t>
                  </w:r>
                  <w:r>
                    <w:rPr>
                      <w:color w:val="auto"/>
                      <w:kern w:val="0"/>
                      <w:szCs w:val="21"/>
                    </w:rPr>
                    <w:t> 、</w:t>
                  </w:r>
                  <w:r>
                    <w:rPr>
                      <w:rFonts w:hint="eastAsia"/>
                      <w:color w:val="auto"/>
                      <w:kern w:val="0"/>
                      <w:szCs w:val="21"/>
                    </w:rPr>
                    <w:t>N25.956382</w:t>
                  </w:r>
                  <w:r>
                    <w:rPr>
                      <w:color w:val="auto"/>
                      <w:kern w:val="0"/>
                      <w:szCs w:val="21"/>
                    </w:rPr>
                    <w:t> ）</w:t>
                  </w:r>
                  <w:r>
                    <w:rPr>
                      <w:rFonts w:hint="eastAsia"/>
                      <w:color w:val="auto"/>
                      <w:kern w:val="0"/>
                      <w:sz w:val="18"/>
                      <w:szCs w:val="18"/>
                    </w:rPr>
                    <w:t>。</w:t>
                  </w:r>
                </w:p>
              </w:tc>
            </w:tr>
          </w:tbl>
          <w:p>
            <w:pPr>
              <w:tabs>
                <w:tab w:val="left" w:pos="482"/>
              </w:tabs>
              <w:adjustRightInd w:val="0"/>
              <w:snapToGrid w:val="0"/>
              <w:jc w:val="center"/>
              <w:rPr>
                <w:b/>
                <w:color w:val="auto"/>
                <w:kern w:val="0"/>
                <w:sz w:val="24"/>
              </w:rPr>
            </w:pPr>
            <w:r>
              <w:rPr>
                <w:rFonts w:hint="eastAsia"/>
                <w:b/>
                <w:color w:val="auto"/>
                <w:kern w:val="0"/>
                <w:sz w:val="24"/>
              </w:rPr>
              <w:t>表4.3-2  室外声源调查清单</w:t>
            </w:r>
          </w:p>
          <w:tbl>
            <w:tblPr>
              <w:tblStyle w:val="36"/>
              <w:tblW w:w="196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1"/>
              <w:gridCol w:w="2169"/>
              <w:gridCol w:w="1597"/>
              <w:gridCol w:w="1800"/>
              <w:gridCol w:w="1421"/>
              <w:gridCol w:w="1661"/>
              <w:gridCol w:w="2434"/>
              <w:gridCol w:w="1459"/>
              <w:gridCol w:w="1572"/>
              <w:gridCol w:w="1155"/>
              <w:gridCol w:w="1975"/>
              <w:gridCol w:w="19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dxa"/>
                  <w:vMerge w:val="restart"/>
                  <w:vAlign w:val="center"/>
                </w:tcPr>
                <w:p>
                  <w:pPr>
                    <w:adjustRightInd w:val="0"/>
                    <w:snapToGrid w:val="0"/>
                    <w:jc w:val="center"/>
                    <w:rPr>
                      <w:color w:val="auto"/>
                      <w:kern w:val="0"/>
                      <w:szCs w:val="21"/>
                    </w:rPr>
                  </w:pPr>
                  <w:r>
                    <w:rPr>
                      <w:color w:val="auto"/>
                      <w:kern w:val="0"/>
                      <w:szCs w:val="21"/>
                    </w:rPr>
                    <w:t>序号</w:t>
                  </w:r>
                </w:p>
              </w:tc>
              <w:tc>
                <w:tcPr>
                  <w:tcW w:w="2169" w:type="dxa"/>
                  <w:vMerge w:val="restart"/>
                  <w:vAlign w:val="center"/>
                </w:tcPr>
                <w:p>
                  <w:pPr>
                    <w:adjustRightInd w:val="0"/>
                    <w:snapToGrid w:val="0"/>
                    <w:jc w:val="center"/>
                    <w:rPr>
                      <w:color w:val="auto"/>
                      <w:kern w:val="0"/>
                      <w:szCs w:val="21"/>
                    </w:rPr>
                  </w:pPr>
                  <w:r>
                    <w:rPr>
                      <w:color w:val="auto"/>
                      <w:kern w:val="0"/>
                      <w:szCs w:val="21"/>
                    </w:rPr>
                    <w:t>声源名称</w:t>
                  </w:r>
                </w:p>
              </w:tc>
              <w:tc>
                <w:tcPr>
                  <w:tcW w:w="1597" w:type="dxa"/>
                  <w:vMerge w:val="restart"/>
                  <w:vAlign w:val="center"/>
                </w:tcPr>
                <w:p>
                  <w:pPr>
                    <w:adjustRightInd w:val="0"/>
                    <w:snapToGrid w:val="0"/>
                    <w:jc w:val="center"/>
                    <w:rPr>
                      <w:color w:val="auto"/>
                      <w:kern w:val="0"/>
                      <w:szCs w:val="21"/>
                    </w:rPr>
                  </w:pPr>
                  <w:r>
                    <w:rPr>
                      <w:rFonts w:hint="eastAsia"/>
                      <w:color w:val="auto"/>
                      <w:kern w:val="0"/>
                      <w:szCs w:val="21"/>
                    </w:rPr>
                    <w:t>型号</w:t>
                  </w:r>
                </w:p>
              </w:tc>
              <w:tc>
                <w:tcPr>
                  <w:tcW w:w="4882" w:type="dxa"/>
                  <w:gridSpan w:val="3"/>
                  <w:vAlign w:val="center"/>
                </w:tcPr>
                <w:p>
                  <w:pPr>
                    <w:adjustRightInd w:val="0"/>
                    <w:snapToGrid w:val="0"/>
                    <w:jc w:val="center"/>
                    <w:rPr>
                      <w:color w:val="auto"/>
                      <w:kern w:val="0"/>
                      <w:szCs w:val="21"/>
                    </w:rPr>
                  </w:pPr>
                  <w:r>
                    <w:rPr>
                      <w:color w:val="auto"/>
                      <w:kern w:val="0"/>
                      <w:szCs w:val="21"/>
                    </w:rPr>
                    <w:t>空间相对位置</w:t>
                  </w:r>
                  <w:r>
                    <w:rPr>
                      <w:rFonts w:hint="eastAsia"/>
                      <w:color w:val="auto"/>
                      <w:kern w:val="0"/>
                      <w:szCs w:val="21"/>
                    </w:rPr>
                    <w:t>/m</w:t>
                  </w:r>
                </w:p>
              </w:tc>
              <w:tc>
                <w:tcPr>
                  <w:tcW w:w="3893" w:type="dxa"/>
                  <w:gridSpan w:val="2"/>
                  <w:vAlign w:val="center"/>
                </w:tcPr>
                <w:p>
                  <w:pPr>
                    <w:adjustRightInd w:val="0"/>
                    <w:snapToGrid w:val="0"/>
                    <w:jc w:val="center"/>
                    <w:rPr>
                      <w:color w:val="auto"/>
                      <w:kern w:val="0"/>
                      <w:szCs w:val="21"/>
                    </w:rPr>
                  </w:pPr>
                  <w:r>
                    <w:rPr>
                      <w:color w:val="auto"/>
                      <w:kern w:val="0"/>
                      <w:szCs w:val="21"/>
                    </w:rPr>
                    <w:t>声源源强</w:t>
                  </w:r>
                </w:p>
              </w:tc>
              <w:tc>
                <w:tcPr>
                  <w:tcW w:w="1572" w:type="dxa"/>
                  <w:vMerge w:val="restart"/>
                  <w:vAlign w:val="center"/>
                </w:tcPr>
                <w:p>
                  <w:pPr>
                    <w:adjustRightInd w:val="0"/>
                    <w:snapToGrid w:val="0"/>
                    <w:jc w:val="center"/>
                    <w:rPr>
                      <w:color w:val="auto"/>
                      <w:kern w:val="0"/>
                      <w:szCs w:val="21"/>
                    </w:rPr>
                  </w:pPr>
                  <w:r>
                    <w:rPr>
                      <w:color w:val="auto"/>
                      <w:kern w:val="0"/>
                      <w:szCs w:val="21"/>
                    </w:rPr>
                    <w:t>声源控制措施</w:t>
                  </w:r>
                </w:p>
              </w:tc>
              <w:tc>
                <w:tcPr>
                  <w:tcW w:w="1155" w:type="dxa"/>
                  <w:vMerge w:val="restart"/>
                  <w:vAlign w:val="center"/>
                </w:tcPr>
                <w:p>
                  <w:pPr>
                    <w:adjustRightInd w:val="0"/>
                    <w:snapToGrid w:val="0"/>
                    <w:jc w:val="center"/>
                    <w:rPr>
                      <w:color w:val="auto"/>
                      <w:kern w:val="0"/>
                      <w:szCs w:val="21"/>
                    </w:rPr>
                  </w:pPr>
                  <w:r>
                    <w:rPr>
                      <w:rFonts w:hint="eastAsia"/>
                      <w:color w:val="auto"/>
                      <w:kern w:val="0"/>
                      <w:szCs w:val="21"/>
                    </w:rPr>
                    <w:t>降噪效果</w:t>
                  </w:r>
                </w:p>
              </w:tc>
              <w:tc>
                <w:tcPr>
                  <w:tcW w:w="1975" w:type="dxa"/>
                  <w:vMerge w:val="restart"/>
                  <w:vAlign w:val="center"/>
                </w:tcPr>
                <w:p>
                  <w:pPr>
                    <w:adjustRightInd w:val="0"/>
                    <w:snapToGrid w:val="0"/>
                    <w:jc w:val="center"/>
                    <w:rPr>
                      <w:color w:val="auto"/>
                      <w:kern w:val="0"/>
                      <w:szCs w:val="21"/>
                    </w:rPr>
                  </w:pPr>
                  <w:r>
                    <w:rPr>
                      <w:rFonts w:hint="eastAsia"/>
                      <w:color w:val="auto"/>
                      <w:kern w:val="0"/>
                      <w:szCs w:val="21"/>
                    </w:rPr>
                    <w:t>降噪后声源源强</w:t>
                  </w:r>
                </w:p>
              </w:tc>
              <w:tc>
                <w:tcPr>
                  <w:tcW w:w="1953" w:type="dxa"/>
                  <w:vMerge w:val="restart"/>
                  <w:vAlign w:val="center"/>
                </w:tcPr>
                <w:p>
                  <w:pPr>
                    <w:adjustRightInd w:val="0"/>
                    <w:snapToGrid w:val="0"/>
                    <w:jc w:val="center"/>
                    <w:rPr>
                      <w:color w:val="auto"/>
                      <w:kern w:val="0"/>
                      <w:szCs w:val="21"/>
                    </w:rPr>
                  </w:pPr>
                  <w:r>
                    <w:rPr>
                      <w:color w:val="auto"/>
                      <w:kern w:val="0"/>
                      <w:szCs w:val="21"/>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441" w:type="dxa"/>
                  <w:vMerge w:val="continue"/>
                  <w:vAlign w:val="center"/>
                </w:tcPr>
                <w:p>
                  <w:pPr>
                    <w:adjustRightInd w:val="0"/>
                    <w:snapToGrid w:val="0"/>
                    <w:jc w:val="center"/>
                    <w:rPr>
                      <w:color w:val="auto"/>
                      <w:kern w:val="0"/>
                      <w:szCs w:val="21"/>
                    </w:rPr>
                  </w:pPr>
                </w:p>
              </w:tc>
              <w:tc>
                <w:tcPr>
                  <w:tcW w:w="2169" w:type="dxa"/>
                  <w:vMerge w:val="continue"/>
                  <w:vAlign w:val="center"/>
                </w:tcPr>
                <w:p>
                  <w:pPr>
                    <w:adjustRightInd w:val="0"/>
                    <w:snapToGrid w:val="0"/>
                    <w:jc w:val="center"/>
                    <w:rPr>
                      <w:color w:val="auto"/>
                      <w:kern w:val="0"/>
                      <w:szCs w:val="21"/>
                    </w:rPr>
                  </w:pPr>
                </w:p>
              </w:tc>
              <w:tc>
                <w:tcPr>
                  <w:tcW w:w="1597" w:type="dxa"/>
                  <w:vMerge w:val="continue"/>
                  <w:vAlign w:val="center"/>
                </w:tcPr>
                <w:p>
                  <w:pPr>
                    <w:adjustRightInd w:val="0"/>
                    <w:snapToGrid w:val="0"/>
                    <w:jc w:val="center"/>
                    <w:rPr>
                      <w:color w:val="auto"/>
                      <w:kern w:val="0"/>
                      <w:szCs w:val="21"/>
                    </w:rPr>
                  </w:pPr>
                </w:p>
              </w:tc>
              <w:tc>
                <w:tcPr>
                  <w:tcW w:w="1800" w:type="dxa"/>
                  <w:vAlign w:val="center"/>
                </w:tcPr>
                <w:p>
                  <w:pPr>
                    <w:adjustRightInd w:val="0"/>
                    <w:snapToGrid w:val="0"/>
                    <w:jc w:val="center"/>
                    <w:rPr>
                      <w:color w:val="auto"/>
                      <w:kern w:val="0"/>
                      <w:szCs w:val="21"/>
                    </w:rPr>
                  </w:pPr>
                  <w:r>
                    <w:rPr>
                      <w:color w:val="auto"/>
                      <w:kern w:val="0"/>
                      <w:szCs w:val="21"/>
                    </w:rPr>
                    <w:t>X</w:t>
                  </w:r>
                </w:p>
              </w:tc>
              <w:tc>
                <w:tcPr>
                  <w:tcW w:w="1421" w:type="dxa"/>
                  <w:vAlign w:val="center"/>
                </w:tcPr>
                <w:p>
                  <w:pPr>
                    <w:adjustRightInd w:val="0"/>
                    <w:snapToGrid w:val="0"/>
                    <w:jc w:val="center"/>
                    <w:rPr>
                      <w:color w:val="auto"/>
                      <w:kern w:val="0"/>
                      <w:szCs w:val="21"/>
                    </w:rPr>
                  </w:pPr>
                  <w:r>
                    <w:rPr>
                      <w:color w:val="auto"/>
                      <w:kern w:val="0"/>
                      <w:szCs w:val="21"/>
                    </w:rPr>
                    <w:t>Y</w:t>
                  </w:r>
                </w:p>
              </w:tc>
              <w:tc>
                <w:tcPr>
                  <w:tcW w:w="1661" w:type="dxa"/>
                  <w:vAlign w:val="center"/>
                </w:tcPr>
                <w:p>
                  <w:pPr>
                    <w:adjustRightInd w:val="0"/>
                    <w:snapToGrid w:val="0"/>
                    <w:jc w:val="center"/>
                    <w:rPr>
                      <w:color w:val="auto"/>
                      <w:kern w:val="0"/>
                      <w:szCs w:val="21"/>
                    </w:rPr>
                  </w:pPr>
                  <w:r>
                    <w:rPr>
                      <w:color w:val="auto"/>
                      <w:kern w:val="0"/>
                      <w:szCs w:val="21"/>
                    </w:rPr>
                    <w:t>Z</w:t>
                  </w:r>
                </w:p>
              </w:tc>
              <w:tc>
                <w:tcPr>
                  <w:tcW w:w="2434" w:type="dxa"/>
                  <w:vAlign w:val="center"/>
                </w:tcPr>
                <w:p>
                  <w:pPr>
                    <w:adjustRightInd w:val="0"/>
                    <w:snapToGrid w:val="0"/>
                    <w:jc w:val="center"/>
                    <w:rPr>
                      <w:color w:val="auto"/>
                      <w:kern w:val="0"/>
                      <w:szCs w:val="21"/>
                    </w:rPr>
                  </w:pPr>
                  <w:r>
                    <w:rPr>
                      <w:rFonts w:hint="eastAsia"/>
                      <w:color w:val="auto"/>
                      <w:kern w:val="0"/>
                      <w:szCs w:val="21"/>
                    </w:rPr>
                    <w:t>（</w:t>
                  </w:r>
                  <w:r>
                    <w:rPr>
                      <w:color w:val="auto"/>
                      <w:kern w:val="0"/>
                      <w:szCs w:val="21"/>
                    </w:rPr>
                    <w:t>声压级</w:t>
                  </w:r>
                  <w:r>
                    <w:rPr>
                      <w:rFonts w:hint="eastAsia"/>
                      <w:color w:val="auto"/>
                      <w:kern w:val="0"/>
                      <w:szCs w:val="21"/>
                    </w:rPr>
                    <w:t>/距声源距离）/（dB（A）/m）</w:t>
                  </w:r>
                </w:p>
              </w:tc>
              <w:tc>
                <w:tcPr>
                  <w:tcW w:w="1459" w:type="dxa"/>
                  <w:vAlign w:val="center"/>
                </w:tcPr>
                <w:p>
                  <w:pPr>
                    <w:adjustRightInd w:val="0"/>
                    <w:snapToGrid w:val="0"/>
                    <w:jc w:val="center"/>
                    <w:rPr>
                      <w:color w:val="auto"/>
                      <w:kern w:val="0"/>
                      <w:szCs w:val="21"/>
                    </w:rPr>
                  </w:pPr>
                  <w:r>
                    <w:rPr>
                      <w:color w:val="auto"/>
                      <w:kern w:val="0"/>
                      <w:szCs w:val="21"/>
                    </w:rPr>
                    <w:t>声功率级</w:t>
                  </w:r>
                  <w:r>
                    <w:rPr>
                      <w:rFonts w:hint="eastAsia"/>
                      <w:color w:val="auto"/>
                      <w:kern w:val="0"/>
                      <w:szCs w:val="21"/>
                    </w:rPr>
                    <w:t>/dB（A）</w:t>
                  </w:r>
                </w:p>
              </w:tc>
              <w:tc>
                <w:tcPr>
                  <w:tcW w:w="1572" w:type="dxa"/>
                  <w:vMerge w:val="continue"/>
                  <w:vAlign w:val="center"/>
                </w:tcPr>
                <w:p>
                  <w:pPr>
                    <w:adjustRightInd w:val="0"/>
                    <w:snapToGrid w:val="0"/>
                    <w:jc w:val="center"/>
                    <w:rPr>
                      <w:color w:val="auto"/>
                      <w:kern w:val="0"/>
                      <w:szCs w:val="21"/>
                    </w:rPr>
                  </w:pPr>
                </w:p>
              </w:tc>
              <w:tc>
                <w:tcPr>
                  <w:tcW w:w="1155" w:type="dxa"/>
                  <w:vMerge w:val="continue"/>
                  <w:vAlign w:val="center"/>
                </w:tcPr>
                <w:p>
                  <w:pPr>
                    <w:adjustRightInd w:val="0"/>
                    <w:snapToGrid w:val="0"/>
                    <w:jc w:val="center"/>
                    <w:rPr>
                      <w:color w:val="auto"/>
                      <w:kern w:val="0"/>
                      <w:szCs w:val="21"/>
                    </w:rPr>
                  </w:pPr>
                </w:p>
              </w:tc>
              <w:tc>
                <w:tcPr>
                  <w:tcW w:w="1975" w:type="dxa"/>
                  <w:vMerge w:val="continue"/>
                  <w:vAlign w:val="center"/>
                </w:tcPr>
                <w:p>
                  <w:pPr>
                    <w:adjustRightInd w:val="0"/>
                    <w:snapToGrid w:val="0"/>
                    <w:jc w:val="center"/>
                    <w:rPr>
                      <w:color w:val="auto"/>
                      <w:kern w:val="0"/>
                      <w:szCs w:val="21"/>
                    </w:rPr>
                  </w:pPr>
                </w:p>
              </w:tc>
              <w:tc>
                <w:tcPr>
                  <w:tcW w:w="1953" w:type="dxa"/>
                  <w:vMerge w:val="continue"/>
                  <w:vAlign w:val="center"/>
                </w:tcPr>
                <w:p>
                  <w:pPr>
                    <w:adjustRightInd w:val="0"/>
                    <w:snapToGrid w:val="0"/>
                    <w:jc w:val="center"/>
                    <w:rPr>
                      <w:color w:val="auto"/>
                      <w:kern w:val="0"/>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27" w:hRule="atLeast"/>
                <w:jc w:val="center"/>
              </w:trPr>
              <w:tc>
                <w:tcPr>
                  <w:tcW w:w="441" w:type="dxa"/>
                  <w:vAlign w:val="center"/>
                </w:tcPr>
                <w:p>
                  <w:pPr>
                    <w:adjustRightInd w:val="0"/>
                    <w:snapToGrid w:val="0"/>
                    <w:jc w:val="center"/>
                    <w:rPr>
                      <w:color w:val="auto"/>
                      <w:kern w:val="0"/>
                      <w:szCs w:val="21"/>
                    </w:rPr>
                  </w:pPr>
                  <w:r>
                    <w:rPr>
                      <w:rFonts w:hint="eastAsia"/>
                      <w:color w:val="auto"/>
                      <w:kern w:val="0"/>
                      <w:szCs w:val="21"/>
                    </w:rPr>
                    <w:t>1</w:t>
                  </w:r>
                </w:p>
              </w:tc>
              <w:tc>
                <w:tcPr>
                  <w:tcW w:w="2169" w:type="dxa"/>
                  <w:vAlign w:val="center"/>
                </w:tcPr>
                <w:p>
                  <w:pPr>
                    <w:adjustRightInd w:val="0"/>
                    <w:snapToGrid w:val="0"/>
                    <w:jc w:val="center"/>
                    <w:rPr>
                      <w:color w:val="auto"/>
                      <w:kern w:val="0"/>
                      <w:szCs w:val="21"/>
                    </w:rPr>
                  </w:pPr>
                  <w:r>
                    <w:rPr>
                      <w:rFonts w:hint="eastAsia"/>
                      <w:color w:val="auto"/>
                      <w:kern w:val="0"/>
                      <w:szCs w:val="21"/>
                    </w:rPr>
                    <w:t>风机</w:t>
                  </w:r>
                </w:p>
              </w:tc>
              <w:tc>
                <w:tcPr>
                  <w:tcW w:w="1597" w:type="dxa"/>
                  <w:vAlign w:val="center"/>
                </w:tcPr>
                <w:p>
                  <w:pPr>
                    <w:adjustRightInd w:val="0"/>
                    <w:snapToGrid w:val="0"/>
                    <w:jc w:val="center"/>
                    <w:rPr>
                      <w:color w:val="auto"/>
                      <w:kern w:val="0"/>
                      <w:szCs w:val="21"/>
                    </w:rPr>
                  </w:pPr>
                  <w:r>
                    <w:rPr>
                      <w:rFonts w:hint="eastAsia"/>
                      <w:color w:val="auto"/>
                      <w:kern w:val="0"/>
                      <w:szCs w:val="21"/>
                    </w:rPr>
                    <w:t>50000m</w:t>
                  </w:r>
                  <w:r>
                    <w:rPr>
                      <w:rFonts w:hint="eastAsia"/>
                      <w:color w:val="auto"/>
                      <w:kern w:val="0"/>
                      <w:szCs w:val="21"/>
                      <w:vertAlign w:val="superscript"/>
                    </w:rPr>
                    <w:t>3</w:t>
                  </w:r>
                  <w:r>
                    <w:rPr>
                      <w:rFonts w:hint="eastAsia"/>
                      <w:color w:val="auto"/>
                      <w:kern w:val="0"/>
                      <w:szCs w:val="21"/>
                    </w:rPr>
                    <w:t>/h</w:t>
                  </w:r>
                </w:p>
              </w:tc>
              <w:tc>
                <w:tcPr>
                  <w:tcW w:w="1800" w:type="dxa"/>
                  <w:vAlign w:val="center"/>
                </w:tcPr>
                <w:p>
                  <w:pPr>
                    <w:adjustRightInd w:val="0"/>
                    <w:snapToGrid w:val="0"/>
                    <w:jc w:val="center"/>
                    <w:rPr>
                      <w:color w:val="auto"/>
                      <w:kern w:val="0"/>
                      <w:szCs w:val="21"/>
                    </w:rPr>
                  </w:pPr>
                  <w:r>
                    <w:rPr>
                      <w:rFonts w:hint="eastAsia"/>
                      <w:color w:val="auto"/>
                      <w:kern w:val="0"/>
                      <w:szCs w:val="21"/>
                    </w:rPr>
                    <w:t>26</w:t>
                  </w:r>
                </w:p>
              </w:tc>
              <w:tc>
                <w:tcPr>
                  <w:tcW w:w="1421" w:type="dxa"/>
                  <w:vAlign w:val="center"/>
                </w:tcPr>
                <w:p>
                  <w:pPr>
                    <w:adjustRightInd w:val="0"/>
                    <w:snapToGrid w:val="0"/>
                    <w:jc w:val="center"/>
                    <w:rPr>
                      <w:color w:val="auto"/>
                      <w:kern w:val="0"/>
                      <w:szCs w:val="21"/>
                    </w:rPr>
                  </w:pPr>
                  <w:r>
                    <w:rPr>
                      <w:rFonts w:hint="eastAsia"/>
                      <w:color w:val="auto"/>
                      <w:kern w:val="0"/>
                      <w:szCs w:val="21"/>
                    </w:rPr>
                    <w:t>17</w:t>
                  </w:r>
                </w:p>
              </w:tc>
              <w:tc>
                <w:tcPr>
                  <w:tcW w:w="1661" w:type="dxa"/>
                  <w:vAlign w:val="center"/>
                </w:tcPr>
                <w:p>
                  <w:pPr>
                    <w:adjustRightInd w:val="0"/>
                    <w:snapToGrid w:val="0"/>
                    <w:jc w:val="center"/>
                    <w:rPr>
                      <w:color w:val="auto"/>
                      <w:kern w:val="0"/>
                      <w:szCs w:val="21"/>
                    </w:rPr>
                  </w:pPr>
                  <w:r>
                    <w:rPr>
                      <w:rFonts w:hint="eastAsia"/>
                      <w:color w:val="auto"/>
                      <w:kern w:val="0"/>
                      <w:szCs w:val="21"/>
                    </w:rPr>
                    <w:t>22</w:t>
                  </w:r>
                </w:p>
              </w:tc>
              <w:tc>
                <w:tcPr>
                  <w:tcW w:w="2434" w:type="dxa"/>
                  <w:vAlign w:val="center"/>
                </w:tcPr>
                <w:p>
                  <w:pPr>
                    <w:adjustRightInd w:val="0"/>
                    <w:snapToGrid w:val="0"/>
                    <w:jc w:val="center"/>
                    <w:rPr>
                      <w:color w:val="auto"/>
                      <w:kern w:val="0"/>
                      <w:szCs w:val="21"/>
                    </w:rPr>
                  </w:pPr>
                  <w:r>
                    <w:rPr>
                      <w:rFonts w:hint="eastAsia"/>
                      <w:color w:val="auto"/>
                      <w:kern w:val="0"/>
                      <w:szCs w:val="21"/>
                    </w:rPr>
                    <w:t>/</w:t>
                  </w:r>
                </w:p>
              </w:tc>
              <w:tc>
                <w:tcPr>
                  <w:tcW w:w="1459" w:type="dxa"/>
                  <w:vAlign w:val="center"/>
                </w:tcPr>
                <w:p>
                  <w:pPr>
                    <w:adjustRightInd w:val="0"/>
                    <w:snapToGrid w:val="0"/>
                    <w:jc w:val="center"/>
                    <w:rPr>
                      <w:color w:val="auto"/>
                      <w:kern w:val="0"/>
                      <w:szCs w:val="21"/>
                    </w:rPr>
                  </w:pPr>
                  <w:r>
                    <w:rPr>
                      <w:rFonts w:hint="eastAsia"/>
                      <w:color w:val="auto"/>
                      <w:kern w:val="0"/>
                      <w:szCs w:val="21"/>
                    </w:rPr>
                    <w:t>90</w:t>
                  </w:r>
                </w:p>
              </w:tc>
              <w:tc>
                <w:tcPr>
                  <w:tcW w:w="1572" w:type="dxa"/>
                  <w:vAlign w:val="center"/>
                </w:tcPr>
                <w:p>
                  <w:pPr>
                    <w:adjustRightInd w:val="0"/>
                    <w:snapToGrid w:val="0"/>
                    <w:jc w:val="center"/>
                    <w:rPr>
                      <w:color w:val="auto"/>
                      <w:kern w:val="0"/>
                      <w:szCs w:val="21"/>
                    </w:rPr>
                  </w:pPr>
                  <w:r>
                    <w:rPr>
                      <w:rFonts w:hint="eastAsia"/>
                      <w:color w:val="auto"/>
                      <w:kern w:val="0"/>
                      <w:szCs w:val="21"/>
                    </w:rPr>
                    <w:t>减震、隔声罩</w:t>
                  </w:r>
                </w:p>
              </w:tc>
              <w:tc>
                <w:tcPr>
                  <w:tcW w:w="1155" w:type="dxa"/>
                  <w:vAlign w:val="center"/>
                </w:tcPr>
                <w:p>
                  <w:pPr>
                    <w:adjustRightInd w:val="0"/>
                    <w:snapToGrid w:val="0"/>
                    <w:jc w:val="center"/>
                    <w:rPr>
                      <w:color w:val="auto"/>
                      <w:kern w:val="0"/>
                      <w:szCs w:val="21"/>
                    </w:rPr>
                  </w:pPr>
                  <w:r>
                    <w:rPr>
                      <w:rFonts w:hint="eastAsia"/>
                      <w:color w:val="auto"/>
                      <w:kern w:val="0"/>
                      <w:szCs w:val="21"/>
                    </w:rPr>
                    <w:t>20</w:t>
                  </w:r>
                </w:p>
              </w:tc>
              <w:tc>
                <w:tcPr>
                  <w:tcW w:w="1975" w:type="dxa"/>
                  <w:vAlign w:val="center"/>
                </w:tcPr>
                <w:p>
                  <w:pPr>
                    <w:adjustRightInd w:val="0"/>
                    <w:snapToGrid w:val="0"/>
                    <w:jc w:val="center"/>
                    <w:rPr>
                      <w:color w:val="auto"/>
                      <w:kern w:val="0"/>
                      <w:szCs w:val="21"/>
                    </w:rPr>
                  </w:pPr>
                  <w:r>
                    <w:rPr>
                      <w:rFonts w:hint="eastAsia"/>
                      <w:color w:val="auto"/>
                      <w:kern w:val="0"/>
                      <w:szCs w:val="21"/>
                    </w:rPr>
                    <w:t>70</w:t>
                  </w:r>
                </w:p>
              </w:tc>
              <w:tc>
                <w:tcPr>
                  <w:tcW w:w="1953" w:type="dxa"/>
                  <w:vAlign w:val="center"/>
                </w:tcPr>
                <w:p>
                  <w:pPr>
                    <w:adjustRightInd w:val="0"/>
                    <w:snapToGrid w:val="0"/>
                    <w:jc w:val="center"/>
                    <w:rPr>
                      <w:color w:val="auto"/>
                      <w:kern w:val="0"/>
                      <w:szCs w:val="21"/>
                    </w:rPr>
                  </w:pPr>
                  <w:r>
                    <w:rPr>
                      <w:rFonts w:hint="eastAsia"/>
                      <w:color w:val="auto"/>
                      <w:kern w:val="0"/>
                      <w:szCs w:val="21"/>
                    </w:rPr>
                    <w:t>昼间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9637" w:type="dxa"/>
                  <w:gridSpan w:val="12"/>
                  <w:vAlign w:val="center"/>
                </w:tcPr>
                <w:p>
                  <w:pPr>
                    <w:adjustRightInd w:val="0"/>
                    <w:snapToGrid w:val="0"/>
                    <w:rPr>
                      <w:color w:val="auto"/>
                      <w:kern w:val="0"/>
                      <w:szCs w:val="21"/>
                    </w:rPr>
                  </w:pPr>
                  <w:r>
                    <w:rPr>
                      <w:rFonts w:hint="eastAsia"/>
                      <w:color w:val="auto"/>
                      <w:kern w:val="0"/>
                      <w:szCs w:val="21"/>
                    </w:rPr>
                    <w:t>注：表中坐标以厂房中心为坐标原点（0,0,0），正东向为X轴正方向，正北向为Y轴正方向。</w:t>
                  </w:r>
                  <w:r>
                    <w:rPr>
                      <w:color w:val="auto"/>
                      <w:kern w:val="0"/>
                      <w:szCs w:val="21"/>
                    </w:rPr>
                    <w:t>厂</w:t>
                  </w:r>
                  <w:r>
                    <w:rPr>
                      <w:rFonts w:hint="eastAsia"/>
                      <w:color w:val="auto"/>
                      <w:kern w:val="0"/>
                      <w:szCs w:val="21"/>
                    </w:rPr>
                    <w:t>房</w:t>
                  </w:r>
                  <w:r>
                    <w:rPr>
                      <w:color w:val="auto"/>
                      <w:kern w:val="0"/>
                      <w:szCs w:val="21"/>
                    </w:rPr>
                    <w:t>中心坐标（</w:t>
                  </w:r>
                  <w:r>
                    <w:rPr>
                      <w:rFonts w:hint="eastAsia"/>
                      <w:color w:val="auto"/>
                      <w:kern w:val="0"/>
                      <w:szCs w:val="21"/>
                    </w:rPr>
                    <w:t>E119.598516</w:t>
                  </w:r>
                  <w:r>
                    <w:rPr>
                      <w:color w:val="auto"/>
                      <w:kern w:val="0"/>
                      <w:szCs w:val="21"/>
                    </w:rPr>
                    <w:t> 、</w:t>
                  </w:r>
                  <w:r>
                    <w:rPr>
                      <w:rFonts w:hint="eastAsia"/>
                      <w:color w:val="auto"/>
                      <w:kern w:val="0"/>
                      <w:szCs w:val="21"/>
                    </w:rPr>
                    <w:t>N25.956382</w:t>
                  </w:r>
                  <w:r>
                    <w:rPr>
                      <w:color w:val="auto"/>
                      <w:kern w:val="0"/>
                      <w:szCs w:val="21"/>
                    </w:rPr>
                    <w:t> ）</w:t>
                  </w:r>
                  <w:r>
                    <w:rPr>
                      <w:rFonts w:hint="eastAsia"/>
                      <w:color w:val="auto"/>
                      <w:kern w:val="0"/>
                      <w:sz w:val="18"/>
                      <w:szCs w:val="18"/>
                    </w:rPr>
                    <w:t>。</w:t>
                  </w:r>
                </w:p>
              </w:tc>
            </w:tr>
          </w:tbl>
          <w:p>
            <w:pPr>
              <w:tabs>
                <w:tab w:val="left" w:pos="482"/>
              </w:tabs>
              <w:adjustRightInd w:val="0"/>
              <w:snapToGrid w:val="0"/>
              <w:jc w:val="center"/>
              <w:rPr>
                <w:b/>
                <w:color w:val="auto"/>
                <w:kern w:val="0"/>
                <w:sz w:val="24"/>
              </w:rPr>
            </w:pPr>
            <w:r>
              <w:rPr>
                <w:rFonts w:hint="eastAsia"/>
                <w:b/>
                <w:color w:val="auto"/>
                <w:kern w:val="0"/>
                <w:sz w:val="24"/>
              </w:rPr>
              <w:t>表4.3-3  厂界环境噪声预测结果</w:t>
            </w:r>
          </w:p>
          <w:tbl>
            <w:tblPr>
              <w:tblStyle w:val="36"/>
              <w:tblW w:w="1974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39"/>
              <w:gridCol w:w="1854"/>
              <w:gridCol w:w="1233"/>
              <w:gridCol w:w="1237"/>
              <w:gridCol w:w="1253"/>
              <w:gridCol w:w="1237"/>
              <w:gridCol w:w="1047"/>
              <w:gridCol w:w="1032"/>
              <w:gridCol w:w="1253"/>
              <w:gridCol w:w="1241"/>
              <w:gridCol w:w="1261"/>
              <w:gridCol w:w="1032"/>
              <w:gridCol w:w="1253"/>
              <w:gridCol w:w="1225"/>
              <w:gridCol w:w="1265"/>
              <w:gridCol w:w="14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 w:type="pct"/>
                  <w:vMerge w:val="restart"/>
                  <w:tcBorders>
                    <w:tl2br w:val="nil"/>
                    <w:tr2bl w:val="nil"/>
                  </w:tcBorders>
                  <w:tcMar>
                    <w:left w:w="28" w:type="dxa"/>
                    <w:right w:w="28" w:type="dxa"/>
                  </w:tcMar>
                  <w:vAlign w:val="center"/>
                </w:tcPr>
                <w:p>
                  <w:pPr>
                    <w:adjustRightInd w:val="0"/>
                    <w:snapToGrid w:val="0"/>
                    <w:jc w:val="center"/>
                    <w:rPr>
                      <w:rFonts w:eastAsia="仿宋"/>
                      <w:b/>
                      <w:bCs/>
                      <w:color w:val="auto"/>
                      <w:sz w:val="24"/>
                    </w:rPr>
                  </w:pPr>
                  <w:r>
                    <w:rPr>
                      <w:rFonts w:eastAsia="仿宋"/>
                      <w:b/>
                      <w:bCs/>
                      <w:color w:val="auto"/>
                      <w:sz w:val="24"/>
                    </w:rPr>
                    <w:t>序号</w:t>
                  </w:r>
                </w:p>
              </w:tc>
              <w:tc>
                <w:tcPr>
                  <w:tcW w:w="469" w:type="pct"/>
                  <w:vMerge w:val="restar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监测点</w:t>
                  </w:r>
                </w:p>
              </w:tc>
              <w:tc>
                <w:tcPr>
                  <w:tcW w:w="312" w:type="pct"/>
                  <w:vMerge w:val="restar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厂界</w:t>
                  </w:r>
                </w:p>
                <w:p>
                  <w:pPr>
                    <w:adjustRightInd w:val="0"/>
                    <w:snapToGrid w:val="0"/>
                    <w:jc w:val="center"/>
                    <w:rPr>
                      <w:rFonts w:eastAsia="仿宋"/>
                      <w:b/>
                      <w:bCs/>
                      <w:color w:val="auto"/>
                      <w:sz w:val="24"/>
                    </w:rPr>
                  </w:pPr>
                  <w:r>
                    <w:rPr>
                      <w:rFonts w:eastAsia="仿宋"/>
                      <w:b/>
                      <w:bCs/>
                      <w:color w:val="auto"/>
                      <w:sz w:val="24"/>
                    </w:rPr>
                    <w:t>距离</w:t>
                  </w:r>
                </w:p>
              </w:tc>
              <w:tc>
                <w:tcPr>
                  <w:tcW w:w="630" w:type="pct"/>
                  <w:gridSpan w:val="2"/>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噪声背景值dB(A)</w:t>
                  </w:r>
                </w:p>
              </w:tc>
              <w:tc>
                <w:tcPr>
                  <w:tcW w:w="578" w:type="pct"/>
                  <w:gridSpan w:val="2"/>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噪声现状值dB(A)</w:t>
                  </w:r>
                </w:p>
              </w:tc>
              <w:tc>
                <w:tcPr>
                  <w:tcW w:w="578" w:type="pct"/>
                  <w:gridSpan w:val="2"/>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标准限值</w:t>
                  </w:r>
                </w:p>
                <w:p>
                  <w:pPr>
                    <w:adjustRightInd w:val="0"/>
                    <w:snapToGrid w:val="0"/>
                    <w:jc w:val="center"/>
                    <w:rPr>
                      <w:rFonts w:eastAsia="仿宋"/>
                      <w:b/>
                      <w:bCs/>
                      <w:color w:val="auto"/>
                      <w:sz w:val="24"/>
                    </w:rPr>
                  </w:pPr>
                  <w:r>
                    <w:rPr>
                      <w:rFonts w:eastAsia="仿宋"/>
                      <w:b/>
                      <w:bCs/>
                      <w:color w:val="auto"/>
                      <w:sz w:val="24"/>
                    </w:rPr>
                    <w:t>dB(A)</w:t>
                  </w:r>
                </w:p>
              </w:tc>
              <w:tc>
                <w:tcPr>
                  <w:tcW w:w="633" w:type="pct"/>
                  <w:gridSpan w:val="2"/>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贡献值dB(A)</w:t>
                  </w:r>
                </w:p>
              </w:tc>
              <w:tc>
                <w:tcPr>
                  <w:tcW w:w="578" w:type="pct"/>
                  <w:gridSpan w:val="2"/>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预测值dB(A)</w:t>
                  </w:r>
                </w:p>
              </w:tc>
              <w:tc>
                <w:tcPr>
                  <w:tcW w:w="630" w:type="pct"/>
                  <w:gridSpan w:val="2"/>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较现状增量dB(A)</w:t>
                  </w:r>
                </w:p>
              </w:tc>
              <w:tc>
                <w:tcPr>
                  <w:tcW w:w="375"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超标/达标</w:t>
                  </w:r>
                </w:p>
                <w:p>
                  <w:pPr>
                    <w:adjustRightInd w:val="0"/>
                    <w:snapToGrid w:val="0"/>
                    <w:jc w:val="center"/>
                    <w:rPr>
                      <w:rFonts w:eastAsia="仿宋"/>
                      <w:b/>
                      <w:bCs/>
                      <w:color w:val="auto"/>
                      <w:sz w:val="24"/>
                    </w:rPr>
                  </w:pPr>
                  <w:r>
                    <w:rPr>
                      <w:rFonts w:eastAsia="仿宋"/>
                      <w:b/>
                      <w:bCs/>
                      <w:color w:val="auto"/>
                      <w:sz w:val="24"/>
                    </w:rPr>
                    <w:t>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 w:type="pct"/>
                  <w:vMerge w:val="continue"/>
                  <w:tcBorders>
                    <w:tl2br w:val="nil"/>
                    <w:tr2bl w:val="nil"/>
                  </w:tcBorders>
                  <w:tcMar>
                    <w:left w:w="28" w:type="dxa"/>
                    <w:right w:w="28" w:type="dxa"/>
                  </w:tcMar>
                  <w:vAlign w:val="center"/>
                </w:tcPr>
                <w:p>
                  <w:pPr>
                    <w:adjustRightInd w:val="0"/>
                    <w:snapToGrid w:val="0"/>
                    <w:jc w:val="center"/>
                    <w:rPr>
                      <w:rFonts w:eastAsia="仿宋"/>
                      <w:b/>
                      <w:bCs/>
                      <w:color w:val="auto"/>
                      <w:sz w:val="24"/>
                    </w:rPr>
                  </w:pPr>
                </w:p>
              </w:tc>
              <w:tc>
                <w:tcPr>
                  <w:tcW w:w="469" w:type="pct"/>
                  <w:vMerge w:val="continue"/>
                  <w:tcBorders>
                    <w:tl2br w:val="nil"/>
                    <w:tr2bl w:val="nil"/>
                  </w:tcBorders>
                  <w:vAlign w:val="center"/>
                </w:tcPr>
                <w:p>
                  <w:pPr>
                    <w:adjustRightInd w:val="0"/>
                    <w:snapToGrid w:val="0"/>
                    <w:jc w:val="center"/>
                    <w:rPr>
                      <w:rFonts w:eastAsia="仿宋"/>
                      <w:b/>
                      <w:bCs/>
                      <w:color w:val="auto"/>
                      <w:sz w:val="24"/>
                    </w:rPr>
                  </w:pPr>
                </w:p>
              </w:tc>
              <w:tc>
                <w:tcPr>
                  <w:tcW w:w="312" w:type="pct"/>
                  <w:vMerge w:val="continue"/>
                  <w:tcBorders>
                    <w:tl2br w:val="nil"/>
                    <w:tr2bl w:val="nil"/>
                  </w:tcBorders>
                  <w:vAlign w:val="center"/>
                </w:tcPr>
                <w:p>
                  <w:pPr>
                    <w:adjustRightInd w:val="0"/>
                    <w:snapToGrid w:val="0"/>
                    <w:jc w:val="center"/>
                    <w:rPr>
                      <w:rFonts w:eastAsia="仿宋"/>
                      <w:b/>
                      <w:bCs/>
                      <w:color w:val="auto"/>
                      <w:sz w:val="24"/>
                    </w:rPr>
                  </w:pPr>
                </w:p>
              </w:tc>
              <w:tc>
                <w:tcPr>
                  <w:tcW w:w="313"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昼间</w:t>
                  </w:r>
                </w:p>
              </w:tc>
              <w:tc>
                <w:tcPr>
                  <w:tcW w:w="316"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夜间</w:t>
                  </w:r>
                </w:p>
              </w:tc>
              <w:tc>
                <w:tcPr>
                  <w:tcW w:w="313"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昼间</w:t>
                  </w:r>
                </w:p>
              </w:tc>
              <w:tc>
                <w:tcPr>
                  <w:tcW w:w="264"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夜间</w:t>
                  </w:r>
                </w:p>
              </w:tc>
              <w:tc>
                <w:tcPr>
                  <w:tcW w:w="261"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昼间</w:t>
                  </w:r>
                </w:p>
              </w:tc>
              <w:tc>
                <w:tcPr>
                  <w:tcW w:w="316"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夜间</w:t>
                  </w:r>
                </w:p>
              </w:tc>
              <w:tc>
                <w:tcPr>
                  <w:tcW w:w="314"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昼间</w:t>
                  </w:r>
                </w:p>
              </w:tc>
              <w:tc>
                <w:tcPr>
                  <w:tcW w:w="318"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夜间</w:t>
                  </w:r>
                </w:p>
              </w:tc>
              <w:tc>
                <w:tcPr>
                  <w:tcW w:w="261"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昼间</w:t>
                  </w:r>
                </w:p>
              </w:tc>
              <w:tc>
                <w:tcPr>
                  <w:tcW w:w="316"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夜间</w:t>
                  </w:r>
                </w:p>
              </w:tc>
              <w:tc>
                <w:tcPr>
                  <w:tcW w:w="310"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昼间</w:t>
                  </w:r>
                </w:p>
              </w:tc>
              <w:tc>
                <w:tcPr>
                  <w:tcW w:w="319"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夜间</w:t>
                  </w:r>
                </w:p>
              </w:tc>
              <w:tc>
                <w:tcPr>
                  <w:tcW w:w="375" w:type="pct"/>
                  <w:tcBorders>
                    <w:tl2br w:val="nil"/>
                    <w:tr2bl w:val="nil"/>
                  </w:tcBorders>
                  <w:vAlign w:val="center"/>
                </w:tcPr>
                <w:p>
                  <w:pPr>
                    <w:adjustRightInd w:val="0"/>
                    <w:snapToGrid w:val="0"/>
                    <w:jc w:val="center"/>
                    <w:rPr>
                      <w:rFonts w:eastAsia="仿宋"/>
                      <w:b/>
                      <w:bCs/>
                      <w:color w:val="auto"/>
                      <w:sz w:val="24"/>
                    </w:rPr>
                  </w:pPr>
                  <w:r>
                    <w:rPr>
                      <w:rFonts w:eastAsia="仿宋"/>
                      <w:b/>
                      <w:bCs/>
                      <w:color w:val="auto"/>
                      <w:sz w:val="24"/>
                    </w:rPr>
                    <w:t>昼间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 w:type="pct"/>
                  <w:tcBorders>
                    <w:tl2br w:val="nil"/>
                    <w:tr2bl w:val="nil"/>
                  </w:tcBorders>
                  <w:tcMar>
                    <w:left w:w="28" w:type="dxa"/>
                    <w:right w:w="28" w:type="dxa"/>
                  </w:tcMar>
                  <w:vAlign w:val="center"/>
                </w:tcPr>
                <w:p>
                  <w:pPr>
                    <w:autoSpaceDE w:val="0"/>
                    <w:autoSpaceDN w:val="0"/>
                    <w:jc w:val="center"/>
                    <w:textAlignment w:val="bottom"/>
                    <w:rPr>
                      <w:rFonts w:eastAsia="仿宋"/>
                      <w:color w:val="auto"/>
                      <w:sz w:val="24"/>
                    </w:rPr>
                  </w:pPr>
                  <w:r>
                    <w:rPr>
                      <w:rFonts w:eastAsia="仿宋"/>
                      <w:color w:val="auto"/>
                      <w:sz w:val="24"/>
                    </w:rPr>
                    <w:t>1</w:t>
                  </w:r>
                </w:p>
              </w:tc>
              <w:tc>
                <w:tcPr>
                  <w:tcW w:w="469" w:type="pct"/>
                  <w:tcBorders>
                    <w:tl2br w:val="nil"/>
                    <w:tr2bl w:val="nil"/>
                  </w:tcBorders>
                  <w:vAlign w:val="center"/>
                </w:tcPr>
                <w:p>
                  <w:pPr>
                    <w:jc w:val="center"/>
                    <w:rPr>
                      <w:rFonts w:eastAsia="仿宋"/>
                      <w:color w:val="auto"/>
                      <w:sz w:val="24"/>
                    </w:rPr>
                  </w:pPr>
                  <w:r>
                    <w:rPr>
                      <w:rFonts w:eastAsia="仿宋"/>
                      <w:color w:val="auto"/>
                      <w:sz w:val="24"/>
                    </w:rPr>
                    <w:t>东</w:t>
                  </w:r>
                  <w:r>
                    <w:rPr>
                      <w:rFonts w:hint="eastAsia" w:eastAsia="仿宋"/>
                      <w:color w:val="auto"/>
                      <w:sz w:val="24"/>
                    </w:rPr>
                    <w:t>北</w:t>
                  </w:r>
                  <w:r>
                    <w:rPr>
                      <w:rFonts w:eastAsia="仿宋"/>
                      <w:color w:val="auto"/>
                      <w:sz w:val="24"/>
                    </w:rPr>
                    <w:t>侧</w:t>
                  </w:r>
                </w:p>
              </w:tc>
              <w:tc>
                <w:tcPr>
                  <w:tcW w:w="312" w:type="pct"/>
                  <w:tcBorders>
                    <w:tl2br w:val="nil"/>
                    <w:tr2bl w:val="nil"/>
                  </w:tcBorders>
                  <w:vAlign w:val="center"/>
                </w:tcPr>
                <w:p>
                  <w:pPr>
                    <w:jc w:val="center"/>
                    <w:rPr>
                      <w:rFonts w:eastAsia="仿宋"/>
                      <w:color w:val="auto"/>
                      <w:sz w:val="24"/>
                    </w:rPr>
                  </w:pPr>
                  <w:r>
                    <w:rPr>
                      <w:rFonts w:hint="eastAsia" w:eastAsia="仿宋"/>
                      <w:color w:val="auto"/>
                      <w:sz w:val="24"/>
                    </w:rPr>
                    <w:t>1</w:t>
                  </w:r>
                  <w:r>
                    <w:rPr>
                      <w:rFonts w:eastAsia="仿宋"/>
                      <w:color w:val="auto"/>
                      <w:sz w:val="24"/>
                    </w:rPr>
                    <w:t>m</w:t>
                  </w:r>
                </w:p>
              </w:tc>
              <w:tc>
                <w:tcPr>
                  <w:tcW w:w="313" w:type="pct"/>
                  <w:tcBorders>
                    <w:tl2br w:val="nil"/>
                    <w:tr2bl w:val="nil"/>
                  </w:tcBorders>
                  <w:vAlign w:val="center"/>
                </w:tcPr>
                <w:p>
                  <w:pPr>
                    <w:jc w:val="center"/>
                    <w:rPr>
                      <w:rFonts w:eastAsia="仿宋"/>
                      <w:color w:val="auto"/>
                      <w:sz w:val="24"/>
                    </w:rPr>
                  </w:pPr>
                  <w:r>
                    <w:rPr>
                      <w:rFonts w:eastAsia="仿宋"/>
                      <w:color w:val="auto"/>
                      <w:sz w:val="24"/>
                    </w:rPr>
                    <w:t>/</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3" w:type="pct"/>
                  <w:tcBorders>
                    <w:tl2br w:val="nil"/>
                    <w:tr2bl w:val="nil"/>
                  </w:tcBorders>
                  <w:vAlign w:val="center"/>
                </w:tcPr>
                <w:p>
                  <w:pPr>
                    <w:jc w:val="center"/>
                    <w:rPr>
                      <w:rFonts w:eastAsia="仿宋"/>
                      <w:color w:val="auto"/>
                      <w:sz w:val="24"/>
                    </w:rPr>
                  </w:pPr>
                  <w:r>
                    <w:rPr>
                      <w:rFonts w:eastAsia="仿宋"/>
                      <w:color w:val="auto"/>
                      <w:sz w:val="24"/>
                    </w:rPr>
                    <w:t>/</w:t>
                  </w:r>
                </w:p>
              </w:tc>
              <w:tc>
                <w:tcPr>
                  <w:tcW w:w="264" w:type="pct"/>
                  <w:tcBorders>
                    <w:tl2br w:val="nil"/>
                    <w:tr2bl w:val="nil"/>
                  </w:tcBorders>
                  <w:vAlign w:val="center"/>
                </w:tcPr>
                <w:p>
                  <w:pPr>
                    <w:jc w:val="center"/>
                    <w:rPr>
                      <w:rFonts w:eastAsia="仿宋"/>
                      <w:color w:val="auto"/>
                      <w:sz w:val="24"/>
                    </w:rPr>
                  </w:pPr>
                  <w:r>
                    <w:rPr>
                      <w:rFonts w:eastAsia="仿宋"/>
                      <w:color w:val="auto"/>
                      <w:sz w:val="24"/>
                    </w:rPr>
                    <w:t>/</w:t>
                  </w:r>
                </w:p>
              </w:tc>
              <w:tc>
                <w:tcPr>
                  <w:tcW w:w="261" w:type="pct"/>
                  <w:tcBorders>
                    <w:tl2br w:val="nil"/>
                    <w:tr2bl w:val="nil"/>
                  </w:tcBorders>
                  <w:vAlign w:val="center"/>
                </w:tcPr>
                <w:p>
                  <w:pPr>
                    <w:jc w:val="center"/>
                    <w:rPr>
                      <w:rFonts w:eastAsia="仿宋"/>
                      <w:color w:val="auto"/>
                      <w:sz w:val="24"/>
                    </w:rPr>
                  </w:pPr>
                  <w:r>
                    <w:rPr>
                      <w:rFonts w:hint="eastAsia" w:eastAsia="仿宋"/>
                      <w:color w:val="auto"/>
                      <w:sz w:val="24"/>
                    </w:rPr>
                    <w:t>60</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4" w:type="pct"/>
                  <w:tcBorders>
                    <w:tl2br w:val="nil"/>
                    <w:tr2bl w:val="nil"/>
                  </w:tcBorders>
                  <w:vAlign w:val="center"/>
                </w:tcPr>
                <w:p>
                  <w:pPr>
                    <w:jc w:val="center"/>
                    <w:rPr>
                      <w:rFonts w:eastAsia="仿宋"/>
                      <w:color w:val="auto"/>
                      <w:sz w:val="24"/>
                    </w:rPr>
                  </w:pPr>
                  <w:r>
                    <w:rPr>
                      <w:rFonts w:hint="eastAsia" w:eastAsia="仿宋"/>
                      <w:color w:val="auto"/>
                      <w:sz w:val="24"/>
                    </w:rPr>
                    <w:t>53.8</w:t>
                  </w:r>
                </w:p>
              </w:tc>
              <w:tc>
                <w:tcPr>
                  <w:tcW w:w="318" w:type="pct"/>
                  <w:tcBorders>
                    <w:tl2br w:val="nil"/>
                    <w:tr2bl w:val="nil"/>
                  </w:tcBorders>
                  <w:vAlign w:val="center"/>
                </w:tcPr>
                <w:p>
                  <w:pPr>
                    <w:jc w:val="center"/>
                    <w:rPr>
                      <w:rFonts w:eastAsia="仿宋"/>
                      <w:color w:val="auto"/>
                      <w:sz w:val="24"/>
                    </w:rPr>
                  </w:pPr>
                  <w:r>
                    <w:rPr>
                      <w:rFonts w:eastAsia="仿宋"/>
                      <w:color w:val="auto"/>
                      <w:sz w:val="24"/>
                    </w:rPr>
                    <w:t>/</w:t>
                  </w:r>
                </w:p>
              </w:tc>
              <w:tc>
                <w:tcPr>
                  <w:tcW w:w="1033" w:type="dxa"/>
                  <w:tcBorders>
                    <w:tl2br w:val="nil"/>
                    <w:tr2bl w:val="nil"/>
                  </w:tcBorders>
                  <w:vAlign w:val="center"/>
                </w:tcPr>
                <w:p>
                  <w:pPr>
                    <w:jc w:val="center"/>
                    <w:rPr>
                      <w:rFonts w:eastAsia="仿宋"/>
                      <w:color w:val="auto"/>
                      <w:sz w:val="24"/>
                    </w:rPr>
                  </w:pPr>
                  <w:r>
                    <w:rPr>
                      <w:rFonts w:hint="eastAsia" w:eastAsia="仿宋"/>
                      <w:color w:val="auto"/>
                      <w:sz w:val="24"/>
                    </w:rPr>
                    <w:t>53.8</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0" w:type="pct"/>
                  <w:tcBorders>
                    <w:tl2br w:val="nil"/>
                    <w:tr2bl w:val="nil"/>
                  </w:tcBorders>
                  <w:vAlign w:val="center"/>
                </w:tcPr>
                <w:p>
                  <w:pPr>
                    <w:jc w:val="center"/>
                    <w:rPr>
                      <w:rFonts w:eastAsia="仿宋"/>
                      <w:color w:val="auto"/>
                      <w:sz w:val="24"/>
                    </w:rPr>
                  </w:pPr>
                  <w:r>
                    <w:rPr>
                      <w:rFonts w:eastAsia="仿宋"/>
                      <w:color w:val="auto"/>
                      <w:sz w:val="24"/>
                    </w:rPr>
                    <w:t>/</w:t>
                  </w:r>
                </w:p>
              </w:tc>
              <w:tc>
                <w:tcPr>
                  <w:tcW w:w="319" w:type="pct"/>
                  <w:tcBorders>
                    <w:tl2br w:val="nil"/>
                    <w:tr2bl w:val="nil"/>
                  </w:tcBorders>
                  <w:vAlign w:val="center"/>
                </w:tcPr>
                <w:p>
                  <w:pPr>
                    <w:jc w:val="center"/>
                    <w:rPr>
                      <w:rFonts w:eastAsia="仿宋"/>
                      <w:color w:val="auto"/>
                      <w:sz w:val="24"/>
                    </w:rPr>
                  </w:pPr>
                  <w:r>
                    <w:rPr>
                      <w:rFonts w:eastAsia="仿宋"/>
                      <w:color w:val="auto"/>
                      <w:sz w:val="24"/>
                    </w:rPr>
                    <w:t>/</w:t>
                  </w:r>
                </w:p>
              </w:tc>
              <w:tc>
                <w:tcPr>
                  <w:tcW w:w="375" w:type="pct"/>
                  <w:tcBorders>
                    <w:tl2br w:val="nil"/>
                    <w:tr2bl w:val="nil"/>
                  </w:tcBorders>
                  <w:vAlign w:val="center"/>
                </w:tcPr>
                <w:p>
                  <w:pPr>
                    <w:jc w:val="center"/>
                    <w:rPr>
                      <w:rFonts w:eastAsia="仿宋"/>
                      <w:color w:val="auto"/>
                      <w:sz w:val="24"/>
                    </w:rPr>
                  </w:pPr>
                  <w:r>
                    <w:rPr>
                      <w:rFonts w:eastAsia="仿宋"/>
                      <w:color w:val="auto"/>
                      <w:sz w:val="24"/>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 w:type="pct"/>
                  <w:tcBorders>
                    <w:tl2br w:val="nil"/>
                    <w:tr2bl w:val="nil"/>
                  </w:tcBorders>
                  <w:tcMar>
                    <w:left w:w="28" w:type="dxa"/>
                    <w:right w:w="28" w:type="dxa"/>
                  </w:tcMar>
                  <w:vAlign w:val="center"/>
                </w:tcPr>
                <w:p>
                  <w:pPr>
                    <w:autoSpaceDE w:val="0"/>
                    <w:autoSpaceDN w:val="0"/>
                    <w:jc w:val="center"/>
                    <w:textAlignment w:val="bottom"/>
                    <w:rPr>
                      <w:rFonts w:eastAsia="仿宋"/>
                      <w:color w:val="auto"/>
                      <w:sz w:val="24"/>
                    </w:rPr>
                  </w:pPr>
                  <w:r>
                    <w:rPr>
                      <w:rFonts w:eastAsia="仿宋"/>
                      <w:color w:val="auto"/>
                      <w:sz w:val="24"/>
                    </w:rPr>
                    <w:t>2</w:t>
                  </w:r>
                </w:p>
              </w:tc>
              <w:tc>
                <w:tcPr>
                  <w:tcW w:w="469" w:type="pct"/>
                  <w:tcBorders>
                    <w:tl2br w:val="nil"/>
                    <w:tr2bl w:val="nil"/>
                  </w:tcBorders>
                  <w:vAlign w:val="center"/>
                </w:tcPr>
                <w:p>
                  <w:pPr>
                    <w:jc w:val="center"/>
                    <w:rPr>
                      <w:rFonts w:eastAsia="仿宋"/>
                      <w:color w:val="auto"/>
                      <w:sz w:val="24"/>
                    </w:rPr>
                  </w:pPr>
                  <w:r>
                    <w:rPr>
                      <w:rFonts w:eastAsia="仿宋"/>
                      <w:color w:val="auto"/>
                      <w:sz w:val="24"/>
                    </w:rPr>
                    <w:t>东</w:t>
                  </w:r>
                  <w:r>
                    <w:rPr>
                      <w:rFonts w:hint="eastAsia" w:eastAsia="仿宋"/>
                      <w:color w:val="auto"/>
                      <w:sz w:val="24"/>
                    </w:rPr>
                    <w:t>南</w:t>
                  </w:r>
                  <w:r>
                    <w:rPr>
                      <w:rFonts w:eastAsia="仿宋"/>
                      <w:color w:val="auto"/>
                      <w:sz w:val="24"/>
                    </w:rPr>
                    <w:t>侧</w:t>
                  </w:r>
                </w:p>
              </w:tc>
              <w:tc>
                <w:tcPr>
                  <w:tcW w:w="312" w:type="pct"/>
                  <w:tcBorders>
                    <w:tl2br w:val="nil"/>
                    <w:tr2bl w:val="nil"/>
                  </w:tcBorders>
                  <w:vAlign w:val="center"/>
                </w:tcPr>
                <w:p>
                  <w:pPr>
                    <w:jc w:val="center"/>
                    <w:rPr>
                      <w:rFonts w:eastAsia="仿宋"/>
                      <w:color w:val="auto"/>
                      <w:sz w:val="24"/>
                    </w:rPr>
                  </w:pPr>
                  <w:r>
                    <w:rPr>
                      <w:rFonts w:hint="eastAsia" w:eastAsia="仿宋"/>
                      <w:color w:val="auto"/>
                      <w:sz w:val="24"/>
                    </w:rPr>
                    <w:t>1</w:t>
                  </w:r>
                  <w:r>
                    <w:rPr>
                      <w:rFonts w:eastAsia="仿宋"/>
                      <w:color w:val="auto"/>
                      <w:sz w:val="24"/>
                    </w:rPr>
                    <w:t>m</w:t>
                  </w:r>
                </w:p>
              </w:tc>
              <w:tc>
                <w:tcPr>
                  <w:tcW w:w="313" w:type="pct"/>
                  <w:tcBorders>
                    <w:tl2br w:val="nil"/>
                    <w:tr2bl w:val="nil"/>
                  </w:tcBorders>
                  <w:vAlign w:val="center"/>
                </w:tcPr>
                <w:p>
                  <w:pPr>
                    <w:jc w:val="center"/>
                    <w:rPr>
                      <w:rFonts w:eastAsia="仿宋"/>
                      <w:color w:val="auto"/>
                      <w:sz w:val="24"/>
                    </w:rPr>
                  </w:pPr>
                  <w:r>
                    <w:rPr>
                      <w:rFonts w:eastAsia="仿宋"/>
                      <w:color w:val="auto"/>
                      <w:sz w:val="24"/>
                    </w:rPr>
                    <w:t>/</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3" w:type="pct"/>
                  <w:tcBorders>
                    <w:tl2br w:val="nil"/>
                    <w:tr2bl w:val="nil"/>
                  </w:tcBorders>
                  <w:vAlign w:val="center"/>
                </w:tcPr>
                <w:p>
                  <w:pPr>
                    <w:jc w:val="center"/>
                    <w:rPr>
                      <w:rFonts w:eastAsia="仿宋"/>
                      <w:color w:val="auto"/>
                      <w:sz w:val="24"/>
                    </w:rPr>
                  </w:pPr>
                  <w:r>
                    <w:rPr>
                      <w:rFonts w:eastAsia="仿宋"/>
                      <w:color w:val="auto"/>
                      <w:sz w:val="24"/>
                    </w:rPr>
                    <w:t>/</w:t>
                  </w:r>
                </w:p>
              </w:tc>
              <w:tc>
                <w:tcPr>
                  <w:tcW w:w="264" w:type="pct"/>
                  <w:tcBorders>
                    <w:tl2br w:val="nil"/>
                    <w:tr2bl w:val="nil"/>
                  </w:tcBorders>
                  <w:vAlign w:val="center"/>
                </w:tcPr>
                <w:p>
                  <w:pPr>
                    <w:jc w:val="center"/>
                    <w:rPr>
                      <w:rFonts w:eastAsia="仿宋"/>
                      <w:color w:val="auto"/>
                      <w:sz w:val="24"/>
                    </w:rPr>
                  </w:pPr>
                  <w:r>
                    <w:rPr>
                      <w:rFonts w:eastAsia="仿宋"/>
                      <w:color w:val="auto"/>
                      <w:sz w:val="24"/>
                    </w:rPr>
                    <w:t>/</w:t>
                  </w:r>
                </w:p>
              </w:tc>
              <w:tc>
                <w:tcPr>
                  <w:tcW w:w="261" w:type="pct"/>
                  <w:tcBorders>
                    <w:tl2br w:val="nil"/>
                    <w:tr2bl w:val="nil"/>
                  </w:tcBorders>
                  <w:vAlign w:val="center"/>
                </w:tcPr>
                <w:p>
                  <w:pPr>
                    <w:jc w:val="center"/>
                    <w:rPr>
                      <w:rFonts w:eastAsia="仿宋"/>
                      <w:color w:val="auto"/>
                      <w:sz w:val="24"/>
                    </w:rPr>
                  </w:pPr>
                  <w:r>
                    <w:rPr>
                      <w:rFonts w:hint="eastAsia" w:eastAsia="仿宋"/>
                      <w:color w:val="auto"/>
                      <w:sz w:val="24"/>
                    </w:rPr>
                    <w:t>60</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4" w:type="pct"/>
                  <w:tcBorders>
                    <w:tl2br w:val="nil"/>
                    <w:tr2bl w:val="nil"/>
                  </w:tcBorders>
                  <w:vAlign w:val="center"/>
                </w:tcPr>
                <w:p>
                  <w:pPr>
                    <w:jc w:val="center"/>
                    <w:rPr>
                      <w:rFonts w:eastAsia="仿宋"/>
                      <w:color w:val="auto"/>
                      <w:sz w:val="24"/>
                    </w:rPr>
                  </w:pPr>
                  <w:r>
                    <w:rPr>
                      <w:rFonts w:hint="eastAsia" w:eastAsia="仿宋"/>
                      <w:color w:val="auto"/>
                      <w:sz w:val="24"/>
                    </w:rPr>
                    <w:t>53.7</w:t>
                  </w:r>
                </w:p>
              </w:tc>
              <w:tc>
                <w:tcPr>
                  <w:tcW w:w="318" w:type="pct"/>
                  <w:tcBorders>
                    <w:tl2br w:val="nil"/>
                    <w:tr2bl w:val="nil"/>
                  </w:tcBorders>
                  <w:vAlign w:val="center"/>
                </w:tcPr>
                <w:p>
                  <w:pPr>
                    <w:jc w:val="center"/>
                    <w:rPr>
                      <w:rFonts w:eastAsia="仿宋"/>
                      <w:color w:val="auto"/>
                      <w:sz w:val="24"/>
                    </w:rPr>
                  </w:pPr>
                  <w:r>
                    <w:rPr>
                      <w:rFonts w:eastAsia="仿宋"/>
                      <w:color w:val="auto"/>
                      <w:sz w:val="24"/>
                    </w:rPr>
                    <w:t>/</w:t>
                  </w:r>
                </w:p>
              </w:tc>
              <w:tc>
                <w:tcPr>
                  <w:tcW w:w="1033" w:type="dxa"/>
                  <w:tcBorders>
                    <w:tl2br w:val="nil"/>
                    <w:tr2bl w:val="nil"/>
                  </w:tcBorders>
                  <w:vAlign w:val="center"/>
                </w:tcPr>
                <w:p>
                  <w:pPr>
                    <w:jc w:val="center"/>
                    <w:rPr>
                      <w:rFonts w:eastAsia="仿宋"/>
                      <w:color w:val="auto"/>
                      <w:sz w:val="24"/>
                    </w:rPr>
                  </w:pPr>
                  <w:r>
                    <w:rPr>
                      <w:rFonts w:hint="eastAsia" w:eastAsia="仿宋"/>
                      <w:color w:val="auto"/>
                      <w:sz w:val="24"/>
                    </w:rPr>
                    <w:t>53.7</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0" w:type="pct"/>
                  <w:tcBorders>
                    <w:tl2br w:val="nil"/>
                    <w:tr2bl w:val="nil"/>
                  </w:tcBorders>
                  <w:vAlign w:val="center"/>
                </w:tcPr>
                <w:p>
                  <w:pPr>
                    <w:jc w:val="center"/>
                    <w:rPr>
                      <w:rFonts w:eastAsia="仿宋"/>
                      <w:color w:val="auto"/>
                      <w:sz w:val="24"/>
                    </w:rPr>
                  </w:pPr>
                  <w:r>
                    <w:rPr>
                      <w:rFonts w:eastAsia="仿宋"/>
                      <w:color w:val="auto"/>
                      <w:sz w:val="24"/>
                    </w:rPr>
                    <w:t>/</w:t>
                  </w:r>
                </w:p>
              </w:tc>
              <w:tc>
                <w:tcPr>
                  <w:tcW w:w="319" w:type="pct"/>
                  <w:tcBorders>
                    <w:tl2br w:val="nil"/>
                    <w:tr2bl w:val="nil"/>
                  </w:tcBorders>
                  <w:vAlign w:val="center"/>
                </w:tcPr>
                <w:p>
                  <w:pPr>
                    <w:jc w:val="center"/>
                    <w:rPr>
                      <w:rFonts w:eastAsia="仿宋"/>
                      <w:color w:val="auto"/>
                      <w:sz w:val="24"/>
                    </w:rPr>
                  </w:pPr>
                  <w:r>
                    <w:rPr>
                      <w:rFonts w:eastAsia="仿宋"/>
                      <w:color w:val="auto"/>
                      <w:sz w:val="24"/>
                    </w:rPr>
                    <w:t>/</w:t>
                  </w:r>
                </w:p>
              </w:tc>
              <w:tc>
                <w:tcPr>
                  <w:tcW w:w="375" w:type="pct"/>
                  <w:tcBorders>
                    <w:tl2br w:val="nil"/>
                    <w:tr2bl w:val="nil"/>
                  </w:tcBorders>
                  <w:vAlign w:val="center"/>
                </w:tcPr>
                <w:p>
                  <w:pPr>
                    <w:jc w:val="center"/>
                    <w:rPr>
                      <w:rFonts w:eastAsia="仿宋"/>
                      <w:color w:val="auto"/>
                      <w:sz w:val="24"/>
                    </w:rPr>
                  </w:pPr>
                  <w:r>
                    <w:rPr>
                      <w:rFonts w:eastAsia="仿宋"/>
                      <w:color w:val="auto"/>
                      <w:sz w:val="24"/>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 w:type="pct"/>
                  <w:tcBorders>
                    <w:tl2br w:val="nil"/>
                    <w:tr2bl w:val="nil"/>
                  </w:tcBorders>
                  <w:tcMar>
                    <w:left w:w="28" w:type="dxa"/>
                    <w:right w:w="28" w:type="dxa"/>
                  </w:tcMar>
                  <w:vAlign w:val="center"/>
                </w:tcPr>
                <w:p>
                  <w:pPr>
                    <w:autoSpaceDE w:val="0"/>
                    <w:autoSpaceDN w:val="0"/>
                    <w:jc w:val="center"/>
                    <w:textAlignment w:val="bottom"/>
                    <w:rPr>
                      <w:rFonts w:eastAsia="仿宋"/>
                      <w:color w:val="auto"/>
                      <w:sz w:val="24"/>
                    </w:rPr>
                  </w:pPr>
                  <w:r>
                    <w:rPr>
                      <w:rFonts w:eastAsia="仿宋"/>
                      <w:color w:val="auto"/>
                      <w:sz w:val="24"/>
                    </w:rPr>
                    <w:t>3</w:t>
                  </w:r>
                </w:p>
              </w:tc>
              <w:tc>
                <w:tcPr>
                  <w:tcW w:w="469" w:type="pct"/>
                  <w:tcBorders>
                    <w:tl2br w:val="nil"/>
                    <w:tr2bl w:val="nil"/>
                  </w:tcBorders>
                  <w:vAlign w:val="center"/>
                </w:tcPr>
                <w:p>
                  <w:pPr>
                    <w:jc w:val="center"/>
                    <w:rPr>
                      <w:rFonts w:eastAsia="仿宋"/>
                      <w:color w:val="auto"/>
                      <w:sz w:val="24"/>
                    </w:rPr>
                  </w:pPr>
                  <w:r>
                    <w:rPr>
                      <w:rFonts w:hint="eastAsia" w:eastAsia="仿宋"/>
                      <w:color w:val="auto"/>
                      <w:sz w:val="24"/>
                    </w:rPr>
                    <w:t>西南</w:t>
                  </w:r>
                  <w:r>
                    <w:rPr>
                      <w:rFonts w:eastAsia="仿宋"/>
                      <w:color w:val="auto"/>
                      <w:sz w:val="24"/>
                    </w:rPr>
                    <w:t>侧</w:t>
                  </w:r>
                </w:p>
              </w:tc>
              <w:tc>
                <w:tcPr>
                  <w:tcW w:w="312" w:type="pct"/>
                  <w:tcBorders>
                    <w:tl2br w:val="nil"/>
                    <w:tr2bl w:val="nil"/>
                  </w:tcBorders>
                  <w:vAlign w:val="center"/>
                </w:tcPr>
                <w:p>
                  <w:pPr>
                    <w:jc w:val="center"/>
                    <w:rPr>
                      <w:rFonts w:eastAsia="仿宋"/>
                      <w:color w:val="auto"/>
                      <w:sz w:val="24"/>
                    </w:rPr>
                  </w:pPr>
                  <w:r>
                    <w:rPr>
                      <w:rFonts w:hint="eastAsia" w:eastAsia="仿宋"/>
                      <w:color w:val="auto"/>
                      <w:sz w:val="24"/>
                    </w:rPr>
                    <w:t>1</w:t>
                  </w:r>
                  <w:r>
                    <w:rPr>
                      <w:rFonts w:eastAsia="仿宋"/>
                      <w:color w:val="auto"/>
                      <w:sz w:val="24"/>
                    </w:rPr>
                    <w:t>m</w:t>
                  </w:r>
                </w:p>
              </w:tc>
              <w:tc>
                <w:tcPr>
                  <w:tcW w:w="313" w:type="pct"/>
                  <w:tcBorders>
                    <w:tl2br w:val="nil"/>
                    <w:tr2bl w:val="nil"/>
                  </w:tcBorders>
                  <w:vAlign w:val="center"/>
                </w:tcPr>
                <w:p>
                  <w:pPr>
                    <w:jc w:val="center"/>
                    <w:rPr>
                      <w:rFonts w:eastAsia="仿宋"/>
                      <w:color w:val="auto"/>
                      <w:sz w:val="24"/>
                    </w:rPr>
                  </w:pPr>
                  <w:r>
                    <w:rPr>
                      <w:rFonts w:eastAsia="仿宋"/>
                      <w:color w:val="auto"/>
                      <w:sz w:val="24"/>
                    </w:rPr>
                    <w:t>/</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3" w:type="pct"/>
                  <w:tcBorders>
                    <w:tl2br w:val="nil"/>
                    <w:tr2bl w:val="nil"/>
                  </w:tcBorders>
                  <w:vAlign w:val="center"/>
                </w:tcPr>
                <w:p>
                  <w:pPr>
                    <w:jc w:val="center"/>
                    <w:rPr>
                      <w:rFonts w:eastAsia="仿宋"/>
                      <w:color w:val="auto"/>
                      <w:sz w:val="24"/>
                    </w:rPr>
                  </w:pPr>
                  <w:r>
                    <w:rPr>
                      <w:rFonts w:eastAsia="仿宋"/>
                      <w:color w:val="auto"/>
                      <w:sz w:val="24"/>
                    </w:rPr>
                    <w:t>/</w:t>
                  </w:r>
                </w:p>
              </w:tc>
              <w:tc>
                <w:tcPr>
                  <w:tcW w:w="264" w:type="pct"/>
                  <w:tcBorders>
                    <w:tl2br w:val="nil"/>
                    <w:tr2bl w:val="nil"/>
                  </w:tcBorders>
                  <w:vAlign w:val="center"/>
                </w:tcPr>
                <w:p>
                  <w:pPr>
                    <w:jc w:val="center"/>
                    <w:rPr>
                      <w:rFonts w:eastAsia="仿宋"/>
                      <w:color w:val="auto"/>
                      <w:sz w:val="24"/>
                    </w:rPr>
                  </w:pPr>
                  <w:r>
                    <w:rPr>
                      <w:rFonts w:eastAsia="仿宋"/>
                      <w:color w:val="auto"/>
                      <w:sz w:val="24"/>
                    </w:rPr>
                    <w:t>/</w:t>
                  </w:r>
                </w:p>
              </w:tc>
              <w:tc>
                <w:tcPr>
                  <w:tcW w:w="261" w:type="pct"/>
                  <w:tcBorders>
                    <w:tl2br w:val="nil"/>
                    <w:tr2bl w:val="nil"/>
                  </w:tcBorders>
                  <w:vAlign w:val="center"/>
                </w:tcPr>
                <w:p>
                  <w:pPr>
                    <w:jc w:val="center"/>
                    <w:rPr>
                      <w:rFonts w:eastAsia="仿宋"/>
                      <w:color w:val="auto"/>
                      <w:sz w:val="24"/>
                    </w:rPr>
                  </w:pPr>
                  <w:r>
                    <w:rPr>
                      <w:rFonts w:hint="eastAsia" w:eastAsia="仿宋"/>
                      <w:color w:val="auto"/>
                      <w:sz w:val="24"/>
                    </w:rPr>
                    <w:t>70</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4" w:type="pct"/>
                  <w:tcBorders>
                    <w:tl2br w:val="nil"/>
                    <w:tr2bl w:val="nil"/>
                  </w:tcBorders>
                  <w:vAlign w:val="center"/>
                </w:tcPr>
                <w:p>
                  <w:pPr>
                    <w:jc w:val="center"/>
                    <w:rPr>
                      <w:rFonts w:eastAsia="仿宋"/>
                      <w:color w:val="auto"/>
                      <w:sz w:val="24"/>
                    </w:rPr>
                  </w:pPr>
                  <w:r>
                    <w:rPr>
                      <w:rFonts w:hint="eastAsia" w:eastAsia="仿宋"/>
                      <w:color w:val="auto"/>
                      <w:sz w:val="24"/>
                    </w:rPr>
                    <w:t>53.5</w:t>
                  </w:r>
                </w:p>
              </w:tc>
              <w:tc>
                <w:tcPr>
                  <w:tcW w:w="318" w:type="pct"/>
                  <w:tcBorders>
                    <w:tl2br w:val="nil"/>
                    <w:tr2bl w:val="nil"/>
                  </w:tcBorders>
                  <w:vAlign w:val="center"/>
                </w:tcPr>
                <w:p>
                  <w:pPr>
                    <w:jc w:val="center"/>
                    <w:rPr>
                      <w:rFonts w:eastAsia="仿宋"/>
                      <w:color w:val="auto"/>
                      <w:sz w:val="24"/>
                    </w:rPr>
                  </w:pPr>
                  <w:r>
                    <w:rPr>
                      <w:rFonts w:eastAsia="仿宋"/>
                      <w:color w:val="auto"/>
                      <w:sz w:val="24"/>
                    </w:rPr>
                    <w:t>/</w:t>
                  </w:r>
                </w:p>
              </w:tc>
              <w:tc>
                <w:tcPr>
                  <w:tcW w:w="1033" w:type="dxa"/>
                  <w:tcBorders>
                    <w:tl2br w:val="nil"/>
                    <w:tr2bl w:val="nil"/>
                  </w:tcBorders>
                  <w:vAlign w:val="center"/>
                </w:tcPr>
                <w:p>
                  <w:pPr>
                    <w:jc w:val="center"/>
                    <w:rPr>
                      <w:rFonts w:eastAsia="仿宋"/>
                      <w:color w:val="auto"/>
                      <w:sz w:val="24"/>
                    </w:rPr>
                  </w:pPr>
                  <w:r>
                    <w:rPr>
                      <w:rFonts w:hint="eastAsia" w:eastAsia="仿宋"/>
                      <w:color w:val="auto"/>
                      <w:sz w:val="24"/>
                    </w:rPr>
                    <w:t>53.5</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0" w:type="pct"/>
                  <w:tcBorders>
                    <w:tl2br w:val="nil"/>
                    <w:tr2bl w:val="nil"/>
                  </w:tcBorders>
                  <w:vAlign w:val="center"/>
                </w:tcPr>
                <w:p>
                  <w:pPr>
                    <w:jc w:val="center"/>
                    <w:rPr>
                      <w:rFonts w:eastAsia="仿宋"/>
                      <w:color w:val="auto"/>
                      <w:sz w:val="24"/>
                    </w:rPr>
                  </w:pPr>
                  <w:r>
                    <w:rPr>
                      <w:rFonts w:eastAsia="仿宋"/>
                      <w:color w:val="auto"/>
                      <w:sz w:val="24"/>
                    </w:rPr>
                    <w:t>/</w:t>
                  </w:r>
                </w:p>
              </w:tc>
              <w:tc>
                <w:tcPr>
                  <w:tcW w:w="319" w:type="pct"/>
                  <w:tcBorders>
                    <w:tl2br w:val="nil"/>
                    <w:tr2bl w:val="nil"/>
                  </w:tcBorders>
                  <w:vAlign w:val="center"/>
                </w:tcPr>
                <w:p>
                  <w:pPr>
                    <w:jc w:val="center"/>
                    <w:rPr>
                      <w:rFonts w:eastAsia="仿宋"/>
                      <w:color w:val="auto"/>
                      <w:sz w:val="24"/>
                    </w:rPr>
                  </w:pPr>
                  <w:r>
                    <w:rPr>
                      <w:rFonts w:eastAsia="仿宋"/>
                      <w:color w:val="auto"/>
                      <w:sz w:val="24"/>
                    </w:rPr>
                    <w:t>/</w:t>
                  </w:r>
                </w:p>
              </w:tc>
              <w:tc>
                <w:tcPr>
                  <w:tcW w:w="375" w:type="pct"/>
                  <w:tcBorders>
                    <w:tl2br w:val="nil"/>
                    <w:tr2bl w:val="nil"/>
                  </w:tcBorders>
                  <w:vAlign w:val="center"/>
                </w:tcPr>
                <w:p>
                  <w:pPr>
                    <w:jc w:val="center"/>
                    <w:rPr>
                      <w:rFonts w:eastAsia="仿宋"/>
                      <w:color w:val="auto"/>
                      <w:sz w:val="24"/>
                    </w:rPr>
                  </w:pPr>
                  <w:r>
                    <w:rPr>
                      <w:rFonts w:eastAsia="仿宋"/>
                      <w:color w:val="auto"/>
                      <w:sz w:val="24"/>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12" w:type="pct"/>
                  <w:tcBorders>
                    <w:tl2br w:val="nil"/>
                    <w:tr2bl w:val="nil"/>
                  </w:tcBorders>
                  <w:tcMar>
                    <w:left w:w="28" w:type="dxa"/>
                    <w:right w:w="28" w:type="dxa"/>
                  </w:tcMar>
                  <w:vAlign w:val="center"/>
                </w:tcPr>
                <w:p>
                  <w:pPr>
                    <w:autoSpaceDE w:val="0"/>
                    <w:autoSpaceDN w:val="0"/>
                    <w:jc w:val="center"/>
                    <w:textAlignment w:val="bottom"/>
                    <w:rPr>
                      <w:rFonts w:eastAsia="仿宋"/>
                      <w:color w:val="auto"/>
                      <w:sz w:val="24"/>
                    </w:rPr>
                  </w:pPr>
                  <w:r>
                    <w:rPr>
                      <w:rFonts w:eastAsia="仿宋"/>
                      <w:color w:val="auto"/>
                      <w:sz w:val="24"/>
                    </w:rPr>
                    <w:t>4</w:t>
                  </w:r>
                </w:p>
              </w:tc>
              <w:tc>
                <w:tcPr>
                  <w:tcW w:w="469" w:type="pct"/>
                  <w:tcBorders>
                    <w:tl2br w:val="nil"/>
                    <w:tr2bl w:val="nil"/>
                  </w:tcBorders>
                  <w:vAlign w:val="center"/>
                </w:tcPr>
                <w:p>
                  <w:pPr>
                    <w:jc w:val="center"/>
                    <w:rPr>
                      <w:rFonts w:eastAsia="仿宋"/>
                      <w:color w:val="auto"/>
                      <w:sz w:val="24"/>
                    </w:rPr>
                  </w:pPr>
                  <w:r>
                    <w:rPr>
                      <w:rFonts w:hint="eastAsia" w:eastAsia="仿宋"/>
                      <w:color w:val="auto"/>
                      <w:sz w:val="24"/>
                    </w:rPr>
                    <w:t>西北</w:t>
                  </w:r>
                  <w:r>
                    <w:rPr>
                      <w:rFonts w:eastAsia="仿宋"/>
                      <w:color w:val="auto"/>
                      <w:sz w:val="24"/>
                    </w:rPr>
                    <w:t>侧</w:t>
                  </w:r>
                </w:p>
              </w:tc>
              <w:tc>
                <w:tcPr>
                  <w:tcW w:w="312" w:type="pct"/>
                  <w:tcBorders>
                    <w:tl2br w:val="nil"/>
                    <w:tr2bl w:val="nil"/>
                  </w:tcBorders>
                  <w:vAlign w:val="center"/>
                </w:tcPr>
                <w:p>
                  <w:pPr>
                    <w:jc w:val="center"/>
                    <w:rPr>
                      <w:rFonts w:eastAsia="仿宋"/>
                      <w:color w:val="auto"/>
                      <w:sz w:val="24"/>
                    </w:rPr>
                  </w:pPr>
                  <w:r>
                    <w:rPr>
                      <w:rFonts w:hint="eastAsia" w:eastAsia="仿宋"/>
                      <w:color w:val="auto"/>
                      <w:sz w:val="24"/>
                    </w:rPr>
                    <w:t>1</w:t>
                  </w:r>
                  <w:r>
                    <w:rPr>
                      <w:rFonts w:eastAsia="仿宋"/>
                      <w:color w:val="auto"/>
                      <w:sz w:val="24"/>
                    </w:rPr>
                    <w:t>m</w:t>
                  </w:r>
                </w:p>
              </w:tc>
              <w:tc>
                <w:tcPr>
                  <w:tcW w:w="313" w:type="pct"/>
                  <w:tcBorders>
                    <w:tl2br w:val="nil"/>
                    <w:tr2bl w:val="nil"/>
                  </w:tcBorders>
                  <w:vAlign w:val="center"/>
                </w:tcPr>
                <w:p>
                  <w:pPr>
                    <w:jc w:val="center"/>
                    <w:rPr>
                      <w:rFonts w:eastAsia="仿宋"/>
                      <w:color w:val="auto"/>
                      <w:sz w:val="24"/>
                    </w:rPr>
                  </w:pPr>
                  <w:r>
                    <w:rPr>
                      <w:rFonts w:eastAsia="仿宋"/>
                      <w:color w:val="auto"/>
                      <w:sz w:val="24"/>
                    </w:rPr>
                    <w:t>/</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3" w:type="pct"/>
                  <w:tcBorders>
                    <w:tl2br w:val="nil"/>
                    <w:tr2bl w:val="nil"/>
                  </w:tcBorders>
                  <w:vAlign w:val="center"/>
                </w:tcPr>
                <w:p>
                  <w:pPr>
                    <w:jc w:val="center"/>
                    <w:rPr>
                      <w:rFonts w:eastAsia="仿宋"/>
                      <w:color w:val="auto"/>
                      <w:sz w:val="24"/>
                    </w:rPr>
                  </w:pPr>
                  <w:r>
                    <w:rPr>
                      <w:rFonts w:eastAsia="仿宋"/>
                      <w:color w:val="auto"/>
                      <w:sz w:val="24"/>
                    </w:rPr>
                    <w:t>/</w:t>
                  </w:r>
                </w:p>
              </w:tc>
              <w:tc>
                <w:tcPr>
                  <w:tcW w:w="264" w:type="pct"/>
                  <w:tcBorders>
                    <w:tl2br w:val="nil"/>
                    <w:tr2bl w:val="nil"/>
                  </w:tcBorders>
                  <w:vAlign w:val="center"/>
                </w:tcPr>
                <w:p>
                  <w:pPr>
                    <w:jc w:val="center"/>
                    <w:rPr>
                      <w:rFonts w:eastAsia="仿宋"/>
                      <w:color w:val="auto"/>
                      <w:sz w:val="24"/>
                    </w:rPr>
                  </w:pPr>
                  <w:r>
                    <w:rPr>
                      <w:rFonts w:eastAsia="仿宋"/>
                      <w:color w:val="auto"/>
                      <w:sz w:val="24"/>
                    </w:rPr>
                    <w:t>/</w:t>
                  </w:r>
                </w:p>
              </w:tc>
              <w:tc>
                <w:tcPr>
                  <w:tcW w:w="261" w:type="pct"/>
                  <w:tcBorders>
                    <w:tl2br w:val="nil"/>
                    <w:tr2bl w:val="nil"/>
                  </w:tcBorders>
                  <w:vAlign w:val="center"/>
                </w:tcPr>
                <w:p>
                  <w:pPr>
                    <w:jc w:val="center"/>
                    <w:rPr>
                      <w:rFonts w:eastAsia="仿宋"/>
                      <w:color w:val="auto"/>
                      <w:sz w:val="24"/>
                    </w:rPr>
                  </w:pPr>
                  <w:r>
                    <w:rPr>
                      <w:rFonts w:hint="eastAsia" w:eastAsia="仿宋"/>
                      <w:color w:val="auto"/>
                      <w:sz w:val="24"/>
                    </w:rPr>
                    <w:t>60</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4" w:type="pct"/>
                  <w:tcBorders>
                    <w:tl2br w:val="nil"/>
                    <w:tr2bl w:val="nil"/>
                  </w:tcBorders>
                  <w:vAlign w:val="center"/>
                </w:tcPr>
                <w:p>
                  <w:pPr>
                    <w:jc w:val="center"/>
                    <w:rPr>
                      <w:rFonts w:eastAsia="仿宋"/>
                      <w:color w:val="auto"/>
                      <w:sz w:val="24"/>
                    </w:rPr>
                  </w:pPr>
                  <w:r>
                    <w:rPr>
                      <w:rFonts w:hint="eastAsia" w:eastAsia="仿宋"/>
                      <w:color w:val="auto"/>
                      <w:sz w:val="24"/>
                    </w:rPr>
                    <w:t>53.8</w:t>
                  </w:r>
                </w:p>
              </w:tc>
              <w:tc>
                <w:tcPr>
                  <w:tcW w:w="318" w:type="pct"/>
                  <w:tcBorders>
                    <w:tl2br w:val="nil"/>
                    <w:tr2bl w:val="nil"/>
                  </w:tcBorders>
                  <w:vAlign w:val="center"/>
                </w:tcPr>
                <w:p>
                  <w:pPr>
                    <w:jc w:val="center"/>
                    <w:rPr>
                      <w:rFonts w:eastAsia="仿宋"/>
                      <w:color w:val="auto"/>
                      <w:sz w:val="24"/>
                    </w:rPr>
                  </w:pPr>
                  <w:r>
                    <w:rPr>
                      <w:rFonts w:eastAsia="仿宋"/>
                      <w:color w:val="auto"/>
                      <w:sz w:val="24"/>
                    </w:rPr>
                    <w:t>/</w:t>
                  </w:r>
                </w:p>
              </w:tc>
              <w:tc>
                <w:tcPr>
                  <w:tcW w:w="1033" w:type="dxa"/>
                  <w:tcBorders>
                    <w:tl2br w:val="nil"/>
                    <w:tr2bl w:val="nil"/>
                  </w:tcBorders>
                  <w:vAlign w:val="center"/>
                </w:tcPr>
                <w:p>
                  <w:pPr>
                    <w:jc w:val="center"/>
                    <w:rPr>
                      <w:rFonts w:eastAsia="仿宋"/>
                      <w:color w:val="auto"/>
                      <w:sz w:val="24"/>
                    </w:rPr>
                  </w:pPr>
                  <w:r>
                    <w:rPr>
                      <w:rFonts w:hint="eastAsia" w:eastAsia="仿宋"/>
                      <w:color w:val="auto"/>
                      <w:sz w:val="24"/>
                    </w:rPr>
                    <w:t>53.8</w:t>
                  </w:r>
                </w:p>
              </w:tc>
              <w:tc>
                <w:tcPr>
                  <w:tcW w:w="316" w:type="pct"/>
                  <w:tcBorders>
                    <w:tl2br w:val="nil"/>
                    <w:tr2bl w:val="nil"/>
                  </w:tcBorders>
                  <w:vAlign w:val="center"/>
                </w:tcPr>
                <w:p>
                  <w:pPr>
                    <w:jc w:val="center"/>
                    <w:rPr>
                      <w:rFonts w:eastAsia="仿宋"/>
                      <w:color w:val="auto"/>
                      <w:sz w:val="24"/>
                    </w:rPr>
                  </w:pPr>
                  <w:r>
                    <w:rPr>
                      <w:rFonts w:eastAsia="仿宋"/>
                      <w:color w:val="auto"/>
                      <w:sz w:val="24"/>
                    </w:rPr>
                    <w:t>/</w:t>
                  </w:r>
                </w:p>
              </w:tc>
              <w:tc>
                <w:tcPr>
                  <w:tcW w:w="310" w:type="pct"/>
                  <w:tcBorders>
                    <w:tl2br w:val="nil"/>
                    <w:tr2bl w:val="nil"/>
                  </w:tcBorders>
                  <w:vAlign w:val="center"/>
                </w:tcPr>
                <w:p>
                  <w:pPr>
                    <w:jc w:val="center"/>
                    <w:rPr>
                      <w:rFonts w:eastAsia="仿宋"/>
                      <w:color w:val="auto"/>
                      <w:sz w:val="24"/>
                    </w:rPr>
                  </w:pPr>
                  <w:r>
                    <w:rPr>
                      <w:rFonts w:eastAsia="仿宋"/>
                      <w:color w:val="auto"/>
                      <w:sz w:val="24"/>
                    </w:rPr>
                    <w:t>/</w:t>
                  </w:r>
                </w:p>
              </w:tc>
              <w:tc>
                <w:tcPr>
                  <w:tcW w:w="319" w:type="pct"/>
                  <w:tcBorders>
                    <w:tl2br w:val="nil"/>
                    <w:tr2bl w:val="nil"/>
                  </w:tcBorders>
                  <w:vAlign w:val="center"/>
                </w:tcPr>
                <w:p>
                  <w:pPr>
                    <w:jc w:val="center"/>
                    <w:rPr>
                      <w:rFonts w:eastAsia="仿宋"/>
                      <w:color w:val="auto"/>
                      <w:sz w:val="24"/>
                    </w:rPr>
                  </w:pPr>
                  <w:r>
                    <w:rPr>
                      <w:rFonts w:eastAsia="仿宋"/>
                      <w:color w:val="auto"/>
                      <w:sz w:val="24"/>
                    </w:rPr>
                    <w:t>/</w:t>
                  </w:r>
                </w:p>
              </w:tc>
              <w:tc>
                <w:tcPr>
                  <w:tcW w:w="375" w:type="pct"/>
                  <w:tcBorders>
                    <w:tl2br w:val="nil"/>
                    <w:tr2bl w:val="nil"/>
                  </w:tcBorders>
                  <w:vAlign w:val="center"/>
                </w:tcPr>
                <w:p>
                  <w:pPr>
                    <w:jc w:val="center"/>
                    <w:rPr>
                      <w:rFonts w:eastAsia="仿宋"/>
                      <w:color w:val="auto"/>
                      <w:sz w:val="24"/>
                    </w:rPr>
                  </w:pPr>
                  <w:r>
                    <w:rPr>
                      <w:rFonts w:eastAsia="仿宋"/>
                      <w:color w:val="auto"/>
                      <w:sz w:val="24"/>
                    </w:rPr>
                    <w:t>达标</w:t>
                  </w:r>
                </w:p>
              </w:tc>
            </w:tr>
          </w:tbl>
          <w:p>
            <w:pPr>
              <w:tabs>
                <w:tab w:val="left" w:pos="482"/>
              </w:tabs>
              <w:jc w:val="center"/>
              <w:rPr>
                <w:b/>
                <w:color w:val="auto"/>
                <w:kern w:val="0"/>
                <w:sz w:val="24"/>
              </w:rPr>
            </w:pPr>
          </w:p>
          <w:p>
            <w:pPr>
              <w:tabs>
                <w:tab w:val="left" w:pos="482"/>
              </w:tabs>
              <w:jc w:val="center"/>
              <w:rPr>
                <w:b/>
                <w:color w:val="auto"/>
                <w:kern w:val="0"/>
                <w:sz w:val="24"/>
              </w:rPr>
            </w:pPr>
          </w:p>
          <w:bookmarkEnd w:id="24"/>
          <w:p>
            <w:pPr>
              <w:pStyle w:val="159"/>
              <w:spacing w:line="360" w:lineRule="auto"/>
              <w:ind w:right="40" w:firstLine="480" w:firstLineChars="200"/>
              <w:rPr>
                <w:rFonts w:hint="eastAsia"/>
                <w:color w:val="auto"/>
              </w:rPr>
            </w:pPr>
          </w:p>
        </w:tc>
      </w:tr>
    </w:tbl>
    <w:p>
      <w:pPr>
        <w:rPr>
          <w:color w:val="auto"/>
        </w:rPr>
      </w:pPr>
    </w:p>
    <w:p>
      <w:pPr>
        <w:rPr>
          <w:color w:val="auto"/>
        </w:rPr>
        <w:sectPr>
          <w:pgSz w:w="23811" w:h="16838" w:orient="landscape"/>
          <w:pgMar w:top="1531" w:right="1701" w:bottom="1531" w:left="2127" w:header="851" w:footer="851" w:gutter="0"/>
          <w:cols w:space="720" w:num="1"/>
          <w:docGrid w:linePitch="312" w:charSpace="0"/>
        </w:sectPr>
      </w:pPr>
    </w:p>
    <w:tbl>
      <w:tblPr>
        <w:tblStyle w:val="36"/>
        <w:tblW w:w="892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53"/>
        <w:gridCol w:w="85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4" w:hRule="atLeast"/>
          <w:jc w:val="center"/>
        </w:trPr>
        <w:tc>
          <w:tcPr>
            <w:tcW w:w="353" w:type="dxa"/>
            <w:tcMar>
              <w:left w:w="28" w:type="dxa"/>
              <w:right w:w="28" w:type="dxa"/>
            </w:tcMar>
            <w:vAlign w:val="center"/>
          </w:tcPr>
          <w:p>
            <w:pPr>
              <w:pStyle w:val="33"/>
              <w:spacing w:before="0" w:beforeAutospacing="0" w:after="0" w:afterAutospacing="0" w:line="360" w:lineRule="auto"/>
              <w:jc w:val="center"/>
              <w:rPr>
                <w:rFonts w:hint="eastAsia"/>
                <w:b/>
                <w:bCs/>
                <w:color w:val="auto"/>
                <w:szCs w:val="21"/>
              </w:rPr>
            </w:pPr>
          </w:p>
        </w:tc>
        <w:tc>
          <w:tcPr>
            <w:tcW w:w="8569" w:type="dxa"/>
          </w:tcPr>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3</w:t>
            </w:r>
            <w:r>
              <w:rPr>
                <w:rFonts w:eastAsia="宋体" w:cs="Times New Roman"/>
                <w:b/>
                <w:bCs w:val="0"/>
                <w:color w:val="auto"/>
                <w:sz w:val="30"/>
                <w:szCs w:val="30"/>
                <w:lang w:val="en-GB"/>
              </w:rPr>
              <w:t>.</w:t>
            </w:r>
            <w:r>
              <w:rPr>
                <w:rFonts w:hint="eastAsia" w:eastAsia="宋体" w:cs="Times New Roman"/>
                <w:b/>
                <w:bCs w:val="0"/>
                <w:color w:val="auto"/>
                <w:sz w:val="30"/>
                <w:szCs w:val="30"/>
              </w:rPr>
              <w:t>4噪声防治措施可行性分析</w:t>
            </w:r>
          </w:p>
          <w:p>
            <w:pPr>
              <w:pStyle w:val="97"/>
              <w:ind w:firstLine="480"/>
              <w:rPr>
                <w:color w:val="auto"/>
              </w:rPr>
            </w:pPr>
            <w:r>
              <w:rPr>
                <w:rFonts w:hint="eastAsia"/>
                <w:color w:val="auto"/>
              </w:rPr>
              <w:t>为了确保厂界噪声达到《工业企业厂界环境噪声排放标准》（GB12348-2008）中相应标准要求，本报告建议采用以下降噪措施：</w:t>
            </w:r>
          </w:p>
          <w:p>
            <w:pPr>
              <w:pStyle w:val="97"/>
              <w:ind w:firstLine="480"/>
              <w:rPr>
                <w:color w:val="auto"/>
              </w:rPr>
            </w:pPr>
            <w:r>
              <w:rPr>
                <w:color w:val="auto"/>
              </w:rPr>
              <w:t>①项目选用低噪声生产设备，从源头上降低噪声源强。</w:t>
            </w:r>
          </w:p>
          <w:p>
            <w:pPr>
              <w:pStyle w:val="97"/>
              <w:ind w:firstLine="480"/>
              <w:rPr>
                <w:color w:val="auto"/>
              </w:rPr>
            </w:pPr>
            <w:r>
              <w:rPr>
                <w:color w:val="auto"/>
              </w:rPr>
              <w:t>②加强车间内的噪声治理，对厂区高噪声设备采用隔声、减振等有效措施，以有效降低车间噪声。</w:t>
            </w:r>
          </w:p>
          <w:p>
            <w:pPr>
              <w:pStyle w:val="97"/>
              <w:ind w:firstLine="480"/>
              <w:rPr>
                <w:color w:val="auto"/>
              </w:rPr>
            </w:pPr>
            <w:r>
              <w:rPr>
                <w:color w:val="auto"/>
              </w:rPr>
              <w:t>③加强对设备的管理和维护，在有关环保人员的统一管理下，定期检查、监测，发现噪声超标要及时治理并增加相关操作岗位工人的个体防护。</w:t>
            </w:r>
          </w:p>
          <w:p>
            <w:pPr>
              <w:pStyle w:val="97"/>
              <w:ind w:firstLine="480"/>
              <w:rPr>
                <w:color w:val="auto"/>
              </w:rPr>
            </w:pPr>
            <w:r>
              <w:rPr>
                <w:color w:val="auto"/>
              </w:rPr>
              <w:t>④车辆运输物料时，在靠近居民点等对声环境质量要求较高的地方，应减</w:t>
            </w:r>
            <w:r>
              <w:rPr>
                <w:rFonts w:hint="eastAsia"/>
                <w:color w:val="auto"/>
              </w:rPr>
              <w:t>小车速，禁止或尽量少鸣喇叭。</w:t>
            </w:r>
          </w:p>
          <w:p>
            <w:pPr>
              <w:pStyle w:val="97"/>
              <w:ind w:firstLine="480"/>
              <w:rPr>
                <w:color w:val="auto"/>
              </w:rPr>
            </w:pPr>
            <w:r>
              <w:rPr>
                <w:rFonts w:hint="eastAsia"/>
                <w:color w:val="auto"/>
              </w:rPr>
              <w:t>通过以上降噪措施，有效降低设备噪声对厂界的影响程度，确保厂界噪声符合《工业企业厂界环境噪声排放标准》（GB12348-2008）标准要求，措施可行。</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hint="eastAsia" w:eastAsia="宋体" w:cs="Times New Roman"/>
                <w:b/>
                <w:bCs w:val="0"/>
                <w:color w:val="auto"/>
                <w:sz w:val="30"/>
                <w:szCs w:val="30"/>
                <w:lang w:val="en-GB"/>
              </w:rPr>
              <w:t>.</w:t>
            </w:r>
            <w:r>
              <w:rPr>
                <w:rFonts w:hint="eastAsia" w:eastAsia="宋体" w:cs="Times New Roman"/>
                <w:b/>
                <w:bCs w:val="0"/>
                <w:color w:val="auto"/>
                <w:sz w:val="30"/>
                <w:szCs w:val="30"/>
              </w:rPr>
              <w:t>4</w:t>
            </w:r>
            <w:r>
              <w:rPr>
                <w:rFonts w:hint="eastAsia" w:eastAsia="宋体" w:cs="Times New Roman"/>
                <w:b/>
                <w:bCs w:val="0"/>
                <w:color w:val="auto"/>
                <w:sz w:val="30"/>
                <w:szCs w:val="30"/>
                <w:lang w:val="en-GB"/>
              </w:rPr>
              <w:t>运营期固体废物环境影响分析及保护措施</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4</w:t>
            </w:r>
            <w:r>
              <w:rPr>
                <w:rFonts w:eastAsia="宋体" w:cs="Times New Roman"/>
                <w:b/>
                <w:bCs w:val="0"/>
                <w:color w:val="auto"/>
                <w:sz w:val="30"/>
                <w:szCs w:val="30"/>
                <w:lang w:val="en-GB"/>
              </w:rPr>
              <w:t>.1</w:t>
            </w:r>
            <w:r>
              <w:rPr>
                <w:rFonts w:hint="eastAsia" w:eastAsia="宋体" w:cs="Times New Roman"/>
                <w:b/>
                <w:bCs w:val="0"/>
                <w:color w:val="auto"/>
                <w:sz w:val="30"/>
                <w:szCs w:val="30"/>
                <w:lang w:val="en-GB"/>
              </w:rPr>
              <w:t>运营期固体废物源强核算</w:t>
            </w:r>
          </w:p>
          <w:p>
            <w:pPr>
              <w:pStyle w:val="97"/>
              <w:ind w:firstLine="480"/>
              <w:rPr>
                <w:color w:val="auto"/>
              </w:rPr>
            </w:pPr>
            <w:r>
              <w:rPr>
                <w:rFonts w:hint="eastAsia"/>
                <w:color w:val="auto"/>
              </w:rPr>
              <w:t>扩建项目印刷过程的印刷版重复使用，无废版产生。扩建项目产生的固体废物主要包括废边角料、废包装材料、</w:t>
            </w:r>
            <w:r>
              <w:rPr>
                <w:rFonts w:hint="eastAsia"/>
                <w:color w:val="auto"/>
                <w:lang w:val="en-US" w:eastAsia="zh-CN"/>
              </w:rPr>
              <w:t>不合格品、</w:t>
            </w:r>
            <w:r>
              <w:rPr>
                <w:rFonts w:hint="eastAsia"/>
                <w:color w:val="auto"/>
              </w:rPr>
              <w:t>废油墨桶、废溶剂桶、废油墨、废粘合剂桶、废粘合剂、废活性炭、印刷辊筒擦拭废布</w:t>
            </w:r>
            <w:r>
              <w:rPr>
                <w:rFonts w:hint="eastAsia"/>
                <w:color w:val="auto"/>
                <w:lang w:eastAsia="zh-CN"/>
              </w:rPr>
              <w:t>、</w:t>
            </w:r>
            <w:r>
              <w:rPr>
                <w:rFonts w:hint="eastAsia"/>
                <w:color w:val="auto"/>
                <w:lang w:val="en-US" w:eastAsia="zh-CN"/>
              </w:rPr>
              <w:t>喷淋废液</w:t>
            </w:r>
            <w:r>
              <w:rPr>
                <w:rFonts w:hint="eastAsia"/>
                <w:color w:val="auto"/>
              </w:rPr>
              <w:t>以及生活垃圾。</w:t>
            </w:r>
          </w:p>
          <w:p>
            <w:pPr>
              <w:pStyle w:val="97"/>
              <w:ind w:firstLine="480"/>
              <w:rPr>
                <w:color w:val="auto"/>
              </w:rPr>
            </w:pPr>
            <w:r>
              <w:rPr>
                <w:rFonts w:hint="eastAsia"/>
                <w:color w:val="auto"/>
              </w:rPr>
              <w:t>(1)一般工业固废</w:t>
            </w:r>
          </w:p>
          <w:p>
            <w:pPr>
              <w:pStyle w:val="97"/>
              <w:ind w:firstLine="480"/>
              <w:rPr>
                <w:color w:val="auto"/>
              </w:rPr>
            </w:pPr>
            <w:r>
              <w:rPr>
                <w:color w:val="auto"/>
              </w:rPr>
              <w:t>①废</w:t>
            </w:r>
            <w:r>
              <w:rPr>
                <w:rFonts w:hint="eastAsia"/>
                <w:color w:val="auto"/>
              </w:rPr>
              <w:t>薄膜</w:t>
            </w:r>
            <w:r>
              <w:rPr>
                <w:color w:val="auto"/>
              </w:rPr>
              <w:t>边角料</w:t>
            </w:r>
          </w:p>
          <w:p>
            <w:pPr>
              <w:pStyle w:val="97"/>
              <w:ind w:firstLine="480"/>
              <w:rPr>
                <w:color w:val="auto"/>
              </w:rPr>
            </w:pPr>
            <w:r>
              <w:rPr>
                <w:color w:val="auto"/>
              </w:rPr>
              <w:t>扩建项目运营期切条、制袋过程会产生废</w:t>
            </w:r>
            <w:r>
              <w:rPr>
                <w:rFonts w:hint="eastAsia"/>
                <w:color w:val="auto"/>
              </w:rPr>
              <w:t>薄膜</w:t>
            </w:r>
            <w:r>
              <w:rPr>
                <w:color w:val="auto"/>
              </w:rPr>
              <w:t>边角料，扩建项目薄膜使用量为</w:t>
            </w:r>
            <w:r>
              <w:rPr>
                <w:rFonts w:hint="eastAsia"/>
                <w:color w:val="auto"/>
              </w:rPr>
              <w:t>85</w:t>
            </w:r>
            <w:r>
              <w:rPr>
                <w:color w:val="auto"/>
              </w:rPr>
              <w:t>0t/a、薄膜损耗率约为</w:t>
            </w:r>
            <w:r>
              <w:rPr>
                <w:rFonts w:hint="eastAsia"/>
                <w:color w:val="auto"/>
              </w:rPr>
              <w:t>0.</w:t>
            </w:r>
            <w:r>
              <w:rPr>
                <w:rFonts w:hint="eastAsia"/>
                <w:color w:val="auto"/>
                <w:lang w:val="en-US" w:eastAsia="zh-CN"/>
              </w:rPr>
              <w:t>5</w:t>
            </w:r>
            <w:r>
              <w:rPr>
                <w:color w:val="auto"/>
              </w:rPr>
              <w:t>%，则废边角料产生量约为</w:t>
            </w:r>
            <w:r>
              <w:rPr>
                <w:rFonts w:hint="eastAsia"/>
                <w:color w:val="auto"/>
                <w:lang w:val="en-US" w:eastAsia="zh-CN"/>
              </w:rPr>
              <w:t>4.3</w:t>
            </w:r>
            <w:r>
              <w:rPr>
                <w:color w:val="auto"/>
              </w:rPr>
              <w:t>t/a，属于《固体废物分类与代码目录》中“SW17可再生类废物、900-003-S17废塑料”，回收可利用价值高，收集暂存于一般固废仓库，定期由废品回收公司回收处理。</w:t>
            </w:r>
          </w:p>
          <w:p>
            <w:pPr>
              <w:pStyle w:val="97"/>
              <w:ind w:firstLine="480"/>
              <w:rPr>
                <w:color w:val="auto"/>
              </w:rPr>
            </w:pPr>
            <w:r>
              <w:rPr>
                <w:color w:val="auto"/>
              </w:rPr>
              <w:t>②废包装材料</w:t>
            </w:r>
          </w:p>
          <w:p>
            <w:pPr>
              <w:pStyle w:val="97"/>
              <w:ind w:firstLine="480"/>
              <w:rPr>
                <w:color w:val="auto"/>
              </w:rPr>
            </w:pPr>
            <w:r>
              <w:rPr>
                <w:color w:val="auto"/>
              </w:rPr>
              <w:t>扩建项目外购原材料</w:t>
            </w:r>
            <w:r>
              <w:rPr>
                <w:rFonts w:hint="eastAsia"/>
                <w:color w:val="auto"/>
              </w:rPr>
              <w:t>各类薄膜</w:t>
            </w:r>
            <w:r>
              <w:rPr>
                <w:color w:val="auto"/>
              </w:rPr>
              <w:t>进行拆包过程将产生废包装材料，类比现有项目废包装材料产生情况，预计扩建项目废包装材料产生量约为5t/a，属于《固体废物分类与代码目录》中“SW17可再生类废物、900-003-S17废塑料”，回收可利用价值高，收集暂存于一般固废仓库，定期由废品回收公司回收处理。</w:t>
            </w:r>
          </w:p>
          <w:p>
            <w:pPr>
              <w:pStyle w:val="97"/>
              <w:ind w:firstLine="480"/>
              <w:rPr>
                <w:rFonts w:hint="eastAsia" w:eastAsia="宋体"/>
                <w:color w:val="auto"/>
                <w:lang w:eastAsia="zh-CN"/>
              </w:rPr>
            </w:pPr>
            <w:r>
              <w:rPr>
                <w:rFonts w:hint="eastAsia"/>
                <w:color w:val="auto"/>
              </w:rPr>
              <w:t>③</w:t>
            </w:r>
            <w:r>
              <w:rPr>
                <w:rFonts w:hint="eastAsia"/>
                <w:color w:val="auto"/>
                <w:lang w:val="en-US" w:eastAsia="zh-CN"/>
              </w:rPr>
              <w:t>不合格品</w:t>
            </w:r>
          </w:p>
          <w:p>
            <w:pPr>
              <w:pStyle w:val="97"/>
              <w:ind w:firstLine="480"/>
              <w:rPr>
                <w:color w:val="auto"/>
              </w:rPr>
            </w:pPr>
            <w:r>
              <w:rPr>
                <w:color w:val="auto"/>
              </w:rPr>
              <w:t>扩建项目</w:t>
            </w:r>
            <w:r>
              <w:rPr>
                <w:rFonts w:hint="eastAsia"/>
                <w:color w:val="auto"/>
                <w:lang w:val="en-US" w:eastAsia="zh-CN"/>
              </w:rPr>
              <w:t>检验过程</w:t>
            </w:r>
            <w:r>
              <w:rPr>
                <w:color w:val="auto"/>
              </w:rPr>
              <w:t>将产生</w:t>
            </w:r>
            <w:r>
              <w:rPr>
                <w:rFonts w:hint="eastAsia"/>
                <w:color w:val="auto"/>
                <w:lang w:val="en-US" w:eastAsia="zh-CN"/>
              </w:rPr>
              <w:t>不合格品</w:t>
            </w:r>
            <w:r>
              <w:rPr>
                <w:color w:val="auto"/>
              </w:rPr>
              <w:t>，类比现有项目</w:t>
            </w:r>
            <w:r>
              <w:rPr>
                <w:rFonts w:hint="eastAsia"/>
                <w:color w:val="auto"/>
                <w:lang w:val="en-US" w:eastAsia="zh-CN"/>
              </w:rPr>
              <w:t>不合格品产生</w:t>
            </w:r>
            <w:r>
              <w:rPr>
                <w:color w:val="auto"/>
              </w:rPr>
              <w:t>情况，预计扩建项目</w:t>
            </w:r>
            <w:r>
              <w:rPr>
                <w:rFonts w:hint="eastAsia"/>
                <w:color w:val="auto"/>
                <w:lang w:val="en-US" w:eastAsia="zh-CN"/>
              </w:rPr>
              <w:t>不合格品</w:t>
            </w:r>
            <w:r>
              <w:rPr>
                <w:color w:val="auto"/>
              </w:rPr>
              <w:t>产生量约为</w:t>
            </w:r>
            <w:r>
              <w:rPr>
                <w:rFonts w:hint="eastAsia"/>
                <w:color w:val="auto"/>
                <w:lang w:val="en-US" w:eastAsia="zh-CN"/>
              </w:rPr>
              <w:t>2.</w:t>
            </w:r>
            <w:r>
              <w:rPr>
                <w:color w:val="auto"/>
              </w:rPr>
              <w:t>5t/a，属于《固体废物分类与代码目录》中“SW17可再生类废物、900-003-S17废塑料”，回收可利用价值高，收集暂存于一般固废仓库，定期由废品回收公司回收处理。</w:t>
            </w:r>
          </w:p>
          <w:p>
            <w:pPr>
              <w:pStyle w:val="97"/>
              <w:ind w:firstLine="480"/>
              <w:rPr>
                <w:color w:val="auto"/>
              </w:rPr>
            </w:pPr>
            <w:r>
              <w:rPr>
                <w:rFonts w:hint="eastAsia"/>
                <w:color w:val="auto"/>
              </w:rPr>
              <w:t>(2)危险废物</w:t>
            </w:r>
          </w:p>
          <w:p>
            <w:pPr>
              <w:pStyle w:val="97"/>
              <w:ind w:firstLine="480"/>
              <w:rPr>
                <w:color w:val="auto"/>
              </w:rPr>
            </w:pPr>
            <w:r>
              <w:rPr>
                <w:rFonts w:hint="eastAsia"/>
                <w:color w:val="auto"/>
              </w:rPr>
              <w:t>①废油墨桶、废粘合剂桶、废溶剂桶</w:t>
            </w:r>
          </w:p>
          <w:p>
            <w:pPr>
              <w:pStyle w:val="97"/>
              <w:ind w:firstLine="480"/>
              <w:rPr>
                <w:rFonts w:hint="default"/>
                <w:color w:val="auto"/>
                <w:highlight w:val="yellow"/>
                <w:lang w:val="en-US" w:eastAsia="zh-CN"/>
              </w:rPr>
            </w:pPr>
            <w:r>
              <w:rPr>
                <w:rFonts w:hint="eastAsia"/>
                <w:color w:val="auto"/>
              </w:rPr>
              <w:t>扩建项目印刷工序使用油墨将产生废油墨桶、油墨调配、酯溶型聚氨酯粘合剂调配过程添加溶剂会产生废溶剂桶、复合工序使用粘合剂将会产生废粘合剂桶，</w:t>
            </w:r>
            <w:r>
              <w:rPr>
                <w:color w:val="auto"/>
              </w:rPr>
              <w:t>类比现有项目</w:t>
            </w:r>
            <w:r>
              <w:rPr>
                <w:rFonts w:hint="eastAsia"/>
                <w:color w:val="auto"/>
              </w:rPr>
              <w:t>废油墨桶、废溶剂桶、废粘合剂桶</w:t>
            </w:r>
            <w:r>
              <w:rPr>
                <w:color w:val="auto"/>
              </w:rPr>
              <w:t>产生情况，</w:t>
            </w:r>
            <w:r>
              <w:rPr>
                <w:rFonts w:hint="eastAsia"/>
                <w:color w:val="auto"/>
              </w:rPr>
              <w:t>扩建项目废油墨桶、废溶剂桶、废粘合剂桶产生量约为3t/a</w:t>
            </w:r>
            <w:r>
              <w:rPr>
                <w:rFonts w:hint="eastAsia"/>
                <w:color w:val="auto"/>
                <w:highlight w:val="none"/>
                <w:lang w:eastAsia="zh-CN"/>
              </w:rPr>
              <w:t>（</w:t>
            </w:r>
            <w:r>
              <w:rPr>
                <w:rFonts w:hint="eastAsia"/>
                <w:color w:val="auto"/>
                <w:highlight w:val="none"/>
                <w:lang w:val="en-US" w:eastAsia="zh-CN"/>
              </w:rPr>
              <w:t>其中</w:t>
            </w:r>
            <w:r>
              <w:rPr>
                <w:rFonts w:hint="eastAsia"/>
                <w:color w:val="auto"/>
                <w:highlight w:val="none"/>
              </w:rPr>
              <w:t>废油墨桶、废粘合剂桶产生量</w:t>
            </w:r>
            <w:r>
              <w:rPr>
                <w:rFonts w:hint="eastAsia"/>
                <w:color w:val="auto"/>
                <w:highlight w:val="none"/>
                <w:lang w:val="en-US" w:eastAsia="zh-CN"/>
              </w:rPr>
              <w:t>2.85t/a、废溶剂桶产生量0.15t/a</w:t>
            </w:r>
            <w:r>
              <w:rPr>
                <w:rFonts w:hint="eastAsia"/>
                <w:color w:val="auto"/>
                <w:highlight w:val="none"/>
                <w:lang w:eastAsia="zh-CN"/>
              </w:rPr>
              <w:t>）</w:t>
            </w:r>
            <w:r>
              <w:rPr>
                <w:rFonts w:hint="eastAsia"/>
                <w:color w:val="auto"/>
                <w:highlight w:val="none"/>
              </w:rPr>
              <w:t>。</w:t>
            </w:r>
            <w:r>
              <w:rPr>
                <w:rFonts w:hint="eastAsia"/>
                <w:color w:val="auto"/>
              </w:rPr>
              <w:t>对照《国家危险废物名录》（2025年），废油墨桶、废粘合剂桶属于危险废物，废物类别为HW49其他废物，废物代码900-041-49（含有或者沾染毒性、感染性危险废物的废弃的包装物、容器、过滤吸附介质），收集暂存于危废</w:t>
            </w:r>
            <w:r>
              <w:rPr>
                <w:rFonts w:hint="eastAsia"/>
                <w:color w:val="auto"/>
                <w:highlight w:val="none"/>
              </w:rPr>
              <w:t>仓库，定期委托有危废资质单位处置</w:t>
            </w:r>
            <w:r>
              <w:rPr>
                <w:rFonts w:hint="eastAsia"/>
                <w:color w:val="auto"/>
                <w:highlight w:val="none"/>
                <w:lang w:eastAsia="zh-CN"/>
              </w:rPr>
              <w:t>；</w:t>
            </w:r>
            <w:r>
              <w:rPr>
                <w:rFonts w:hint="eastAsia"/>
                <w:color w:val="auto"/>
                <w:highlight w:val="none"/>
                <w:lang w:val="en-US" w:eastAsia="zh-CN"/>
              </w:rPr>
              <w:t>废溶剂桶由供应商回收重复利用。</w:t>
            </w:r>
            <w:r>
              <w:rPr>
                <w:rFonts w:hint="default"/>
                <w:color w:val="auto"/>
                <w:highlight w:val="none"/>
                <w:lang w:val="en-US" w:eastAsia="zh-CN"/>
              </w:rPr>
              <w:t>根据《固体废物鉴别标准 通则》（GB34330-2017），任何不需要修复和加工即可用于其原始用途的物质，可不作为固体废物管理，废溶剂桶由供应商回收重复利用，可不按照固体废物管理。</w:t>
            </w:r>
          </w:p>
          <w:p>
            <w:pPr>
              <w:pStyle w:val="97"/>
              <w:ind w:firstLine="480"/>
              <w:rPr>
                <w:color w:val="auto"/>
              </w:rPr>
            </w:pPr>
            <w:r>
              <w:rPr>
                <w:rFonts w:hint="eastAsia"/>
                <w:color w:val="auto"/>
              </w:rPr>
              <w:t>②废油墨</w:t>
            </w:r>
          </w:p>
          <w:p>
            <w:pPr>
              <w:pStyle w:val="97"/>
              <w:ind w:firstLine="480"/>
              <w:rPr>
                <w:color w:val="auto"/>
              </w:rPr>
            </w:pPr>
            <w:r>
              <w:rPr>
                <w:rFonts w:hint="eastAsia"/>
                <w:color w:val="auto"/>
              </w:rPr>
              <w:t>扩建项目运营期清理印刷机、印刷版等产生的油墨残渣（废油墨），扩建项目油墨（含溶剂）的使用量约11t/a，残留量约0.3%，扩建项目产生的废油墨量为0.033t/a，</w:t>
            </w:r>
            <w:r>
              <w:rPr>
                <w:color w:val="auto"/>
              </w:rPr>
              <w:t>对照《国家危险废物名录》（202</w:t>
            </w:r>
            <w:r>
              <w:rPr>
                <w:rFonts w:hint="eastAsia"/>
                <w:color w:val="auto"/>
              </w:rPr>
              <w:t>5</w:t>
            </w:r>
            <w:r>
              <w:rPr>
                <w:color w:val="auto"/>
              </w:rPr>
              <w:t>年），废油墨</w:t>
            </w:r>
            <w:r>
              <w:rPr>
                <w:rFonts w:hint="eastAsia"/>
                <w:color w:val="auto"/>
              </w:rPr>
              <w:t>废物类别</w:t>
            </w:r>
            <w:r>
              <w:rPr>
                <w:color w:val="auto"/>
              </w:rPr>
              <w:t>属于HW12染料、涂料废物</w:t>
            </w:r>
            <w:r>
              <w:rPr>
                <w:rFonts w:hint="eastAsia"/>
                <w:color w:val="auto"/>
              </w:rPr>
              <w:t>，废物代码为</w:t>
            </w:r>
            <w:r>
              <w:rPr>
                <w:color w:val="auto"/>
              </w:rPr>
              <w:t>900-256-12</w:t>
            </w:r>
            <w:r>
              <w:rPr>
                <w:rFonts w:hint="eastAsia"/>
                <w:color w:val="auto"/>
              </w:rPr>
              <w:t>（</w:t>
            </w:r>
            <w:r>
              <w:rPr>
                <w:color w:val="auto"/>
              </w:rPr>
              <w:t>使用酸、碱或有机溶剂清洗容器设备过程中剥离下的废油漆、染料、涂料</w:t>
            </w:r>
            <w:r>
              <w:rPr>
                <w:rFonts w:hint="eastAsia"/>
                <w:color w:val="auto"/>
              </w:rPr>
              <w:t>），收集暂存于危废仓库，定期委托有危废资质单位处置。</w:t>
            </w:r>
          </w:p>
          <w:p>
            <w:pPr>
              <w:pStyle w:val="97"/>
              <w:ind w:firstLine="480"/>
              <w:rPr>
                <w:color w:val="auto"/>
              </w:rPr>
            </w:pPr>
            <w:r>
              <w:rPr>
                <w:rFonts w:hint="eastAsia"/>
                <w:color w:val="auto"/>
              </w:rPr>
              <w:t>③废粘合剂</w:t>
            </w:r>
          </w:p>
          <w:p>
            <w:pPr>
              <w:pStyle w:val="97"/>
              <w:ind w:firstLine="480"/>
              <w:rPr>
                <w:color w:val="auto"/>
              </w:rPr>
            </w:pPr>
            <w:r>
              <w:rPr>
                <w:rFonts w:hint="eastAsia"/>
                <w:color w:val="auto"/>
              </w:rPr>
              <w:t>扩建项目运营期复合工序使用粘合剂将会产生废粘合剂，扩建项目粘合剂的使用量约51t/a，损耗率约为0.5%，则废粘合剂产生的量约为0.26t/a，</w:t>
            </w:r>
            <w:r>
              <w:rPr>
                <w:color w:val="auto"/>
              </w:rPr>
              <w:t>对照《国家危险废物名录》（202</w:t>
            </w:r>
            <w:r>
              <w:rPr>
                <w:rFonts w:hint="eastAsia"/>
                <w:color w:val="auto"/>
              </w:rPr>
              <w:t>5</w:t>
            </w:r>
            <w:r>
              <w:rPr>
                <w:color w:val="auto"/>
              </w:rPr>
              <w:t>年），废</w:t>
            </w:r>
            <w:r>
              <w:rPr>
                <w:rFonts w:hint="eastAsia"/>
                <w:color w:val="auto"/>
              </w:rPr>
              <w:t>粘合剂类别</w:t>
            </w:r>
            <w:r>
              <w:rPr>
                <w:color w:val="auto"/>
              </w:rPr>
              <w:t>属于HW1</w:t>
            </w:r>
            <w:r>
              <w:rPr>
                <w:rFonts w:hint="eastAsia"/>
                <w:color w:val="auto"/>
              </w:rPr>
              <w:t>3有机树脂类</w:t>
            </w:r>
            <w:r>
              <w:rPr>
                <w:color w:val="auto"/>
              </w:rPr>
              <w:t>废物</w:t>
            </w:r>
            <w:r>
              <w:rPr>
                <w:rFonts w:hint="eastAsia"/>
                <w:color w:val="auto"/>
              </w:rPr>
              <w:t>，废物代码为</w:t>
            </w:r>
            <w:r>
              <w:rPr>
                <w:color w:val="auto"/>
              </w:rPr>
              <w:t>900-</w:t>
            </w:r>
            <w:r>
              <w:rPr>
                <w:rFonts w:hint="eastAsia"/>
                <w:color w:val="auto"/>
              </w:rPr>
              <w:t>014</w:t>
            </w:r>
            <w:r>
              <w:rPr>
                <w:color w:val="auto"/>
              </w:rPr>
              <w:t>-1</w:t>
            </w:r>
            <w:r>
              <w:rPr>
                <w:rFonts w:hint="eastAsia"/>
                <w:color w:val="auto"/>
              </w:rPr>
              <w:t>3（废弃的粘合剂和密封剂（不包括水基型和热熔型粘合剂和密封剂）），收集暂存于危废仓库，定期委托有危废资质单位处置。</w:t>
            </w:r>
          </w:p>
          <w:p>
            <w:pPr>
              <w:pStyle w:val="97"/>
              <w:ind w:firstLine="480"/>
              <w:rPr>
                <w:color w:val="auto"/>
                <w:highlight w:val="none"/>
              </w:rPr>
            </w:pPr>
            <w:r>
              <w:rPr>
                <w:rFonts w:hint="eastAsia"/>
                <w:color w:val="auto"/>
                <w:highlight w:val="none"/>
              </w:rPr>
              <w:t>④废活性炭</w:t>
            </w:r>
          </w:p>
          <w:p>
            <w:pPr>
              <w:pStyle w:val="97"/>
              <w:ind w:firstLine="480"/>
              <w:rPr>
                <w:color w:val="auto"/>
                <w:highlight w:val="yellow"/>
              </w:rPr>
            </w:pPr>
            <w:r>
              <w:rPr>
                <w:rFonts w:hint="eastAsia"/>
                <w:color w:val="auto"/>
                <w:highlight w:val="none"/>
              </w:rPr>
              <w:t>扩建项目挥发性有机废气收集后经</w:t>
            </w:r>
            <w:r>
              <w:rPr>
                <w:rFonts w:hint="eastAsia"/>
                <w:color w:val="auto"/>
                <w:highlight w:val="none"/>
                <w:lang w:val="en-US" w:eastAsia="zh-CN"/>
              </w:rPr>
              <w:t>喷淋塔+</w:t>
            </w:r>
            <w:r>
              <w:rPr>
                <w:rFonts w:hint="eastAsia"/>
                <w:color w:val="auto"/>
                <w:highlight w:val="none"/>
              </w:rPr>
              <w:t>二级</w:t>
            </w:r>
            <w:r>
              <w:rPr>
                <w:rFonts w:hint="eastAsia"/>
                <w:color w:val="auto"/>
                <w:highlight w:val="none"/>
                <w:lang w:val="en-US" w:eastAsia="zh-CN"/>
              </w:rPr>
              <w:t>颗粒</w:t>
            </w:r>
            <w:r>
              <w:rPr>
                <w:rFonts w:hint="eastAsia"/>
                <w:color w:val="auto"/>
                <w:highlight w:val="none"/>
              </w:rPr>
              <w:t>活性吸附装置净化处理后排放，会产生废弃活性炭吸附饱和物（即废活性炭）</w:t>
            </w:r>
            <w:r>
              <w:rPr>
                <w:rFonts w:hint="eastAsia"/>
                <w:color w:val="auto"/>
                <w:highlight w:val="none"/>
                <w:lang w:eastAsia="zh-CN"/>
              </w:rPr>
              <w:t>。</w:t>
            </w:r>
            <w:r>
              <w:rPr>
                <w:rFonts w:hint="eastAsia"/>
                <w:color w:val="auto"/>
                <w:highlight w:val="none"/>
              </w:rPr>
              <w:t>根据中国建筑出版社（1997）出版的《简明通风设计手册》第十章中关于活性吸附处理治理废气的方法中提供的数据：每1.0kg活性炭吸附有机废气的量可达0.43-0.61kg，本评价取每1.0kg</w:t>
            </w:r>
            <w:r>
              <w:rPr>
                <w:rFonts w:hint="eastAsia"/>
                <w:color w:val="auto"/>
                <w:highlight w:val="none"/>
                <w:lang w:val="en-US" w:eastAsia="zh-CN"/>
              </w:rPr>
              <w:t>颗粒</w:t>
            </w:r>
            <w:r>
              <w:rPr>
                <w:rFonts w:hint="eastAsia"/>
                <w:color w:val="auto"/>
                <w:highlight w:val="none"/>
              </w:rPr>
              <w:t>活性炭吸附有机废气量为</w:t>
            </w:r>
            <w:r>
              <w:rPr>
                <w:rFonts w:hint="eastAsia"/>
                <w:color w:val="auto"/>
                <w:highlight w:val="none"/>
                <w:lang w:val="en-US" w:eastAsia="zh-CN"/>
              </w:rPr>
              <w:t>0.54</w:t>
            </w:r>
            <w:r>
              <w:rPr>
                <w:rFonts w:hint="eastAsia"/>
                <w:color w:val="auto"/>
                <w:highlight w:val="none"/>
              </w:rPr>
              <w:t>kg</w:t>
            </w:r>
            <w:r>
              <w:rPr>
                <w:rFonts w:hint="eastAsia"/>
                <w:color w:val="auto"/>
                <w:highlight w:val="none"/>
                <w:lang w:eastAsia="zh-CN"/>
              </w:rPr>
              <w:t>，</w:t>
            </w:r>
            <w:r>
              <w:rPr>
                <w:rFonts w:hint="eastAsia"/>
                <w:color w:val="auto"/>
                <w:highlight w:val="none"/>
                <w:lang w:val="en-US" w:eastAsia="zh-CN"/>
              </w:rPr>
              <w:t>扩建</w:t>
            </w:r>
            <w:r>
              <w:rPr>
                <w:rFonts w:hint="eastAsia"/>
                <w:color w:val="auto"/>
                <w:highlight w:val="none"/>
              </w:rPr>
              <w:t>项目经</w:t>
            </w:r>
            <w:r>
              <w:rPr>
                <w:rFonts w:hint="eastAsia"/>
                <w:color w:val="auto"/>
                <w:highlight w:val="none"/>
                <w:lang w:val="en-US" w:eastAsia="zh-CN"/>
              </w:rPr>
              <w:t>颗粒</w:t>
            </w:r>
            <w:r>
              <w:rPr>
                <w:rFonts w:hint="eastAsia"/>
                <w:color w:val="auto"/>
                <w:highlight w:val="none"/>
              </w:rPr>
              <w:t>活性炭吸附处理的有机废气量</w:t>
            </w:r>
            <w:r>
              <w:rPr>
                <w:rFonts w:hint="eastAsia"/>
                <w:color w:val="auto"/>
                <w:highlight w:val="none"/>
                <w:lang w:val="en-US" w:eastAsia="zh-CN"/>
              </w:rPr>
              <w:t>4.189</w:t>
            </w:r>
            <w:r>
              <w:rPr>
                <w:rFonts w:hint="eastAsia"/>
                <w:color w:val="auto"/>
                <w:highlight w:val="none"/>
              </w:rPr>
              <w:t>t/a，则每年至少需要</w:t>
            </w:r>
            <w:r>
              <w:rPr>
                <w:rFonts w:hint="eastAsia"/>
                <w:color w:val="auto"/>
                <w:highlight w:val="none"/>
                <w:lang w:val="en-US" w:eastAsia="zh-CN"/>
              </w:rPr>
              <w:t>颗粒</w:t>
            </w:r>
            <w:r>
              <w:rPr>
                <w:rFonts w:hint="eastAsia"/>
                <w:color w:val="auto"/>
                <w:highlight w:val="none"/>
              </w:rPr>
              <w:t>活性炭约</w:t>
            </w:r>
            <w:r>
              <w:rPr>
                <w:rFonts w:hint="eastAsia"/>
                <w:color w:val="auto"/>
                <w:highlight w:val="none"/>
                <w:lang w:val="en-US" w:eastAsia="zh-CN"/>
              </w:rPr>
              <w:t>7.757</w:t>
            </w:r>
            <w:r>
              <w:rPr>
                <w:rFonts w:hint="eastAsia"/>
                <w:color w:val="auto"/>
                <w:highlight w:val="none"/>
              </w:rPr>
              <w:t>t/a</w:t>
            </w:r>
            <w:r>
              <w:rPr>
                <w:rFonts w:hint="eastAsia"/>
                <w:color w:val="auto"/>
                <w:highlight w:val="none"/>
                <w:lang w:eastAsia="zh-CN"/>
              </w:rPr>
              <w:t>。</w:t>
            </w:r>
            <w:r>
              <w:rPr>
                <w:rFonts w:hint="eastAsia"/>
                <w:color w:val="auto"/>
                <w:highlight w:val="none"/>
              </w:rPr>
              <w:t>根据建设单位提供资料，</w:t>
            </w:r>
            <w:r>
              <w:rPr>
                <w:rFonts w:hint="eastAsia"/>
                <w:color w:val="auto"/>
                <w:highlight w:val="none"/>
                <w:lang w:val="en-US" w:eastAsia="zh-CN"/>
              </w:rPr>
              <w:t>二级颗粒</w:t>
            </w:r>
            <w:r>
              <w:rPr>
                <w:rFonts w:hint="eastAsia"/>
                <w:color w:val="auto"/>
                <w:highlight w:val="none"/>
              </w:rPr>
              <w:t>活性炭</w:t>
            </w:r>
            <w:r>
              <w:rPr>
                <w:rFonts w:hint="eastAsia"/>
                <w:color w:val="auto"/>
                <w:highlight w:val="none"/>
                <w:lang w:val="en-US" w:eastAsia="zh-CN"/>
              </w:rPr>
              <w:t>箱</w:t>
            </w:r>
            <w:r>
              <w:rPr>
                <w:rFonts w:hint="eastAsia"/>
                <w:color w:val="auto"/>
                <w:highlight w:val="none"/>
              </w:rPr>
              <w:t>一次填充量为</w:t>
            </w:r>
            <w:r>
              <w:rPr>
                <w:rFonts w:hint="eastAsia"/>
                <w:color w:val="auto"/>
                <w:highlight w:val="none"/>
                <w:lang w:val="en-US" w:eastAsia="zh-CN"/>
              </w:rPr>
              <w:t>1.3</w:t>
            </w:r>
            <w:r>
              <w:rPr>
                <w:rFonts w:hint="eastAsia"/>
                <w:color w:val="auto"/>
                <w:highlight w:val="none"/>
              </w:rPr>
              <w:t>t，为保证</w:t>
            </w:r>
            <w:r>
              <w:rPr>
                <w:rFonts w:hint="eastAsia"/>
                <w:color w:val="auto"/>
                <w:highlight w:val="none"/>
                <w:lang w:val="en-US" w:eastAsia="zh-CN"/>
              </w:rPr>
              <w:t>颗粒</w:t>
            </w:r>
            <w:r>
              <w:rPr>
                <w:rFonts w:hint="eastAsia"/>
                <w:color w:val="auto"/>
                <w:highlight w:val="none"/>
              </w:rPr>
              <w:t>活性炭吸附效率，</w:t>
            </w:r>
            <w:r>
              <w:rPr>
                <w:rFonts w:hint="eastAsia"/>
                <w:color w:val="auto"/>
                <w:highlight w:val="none"/>
                <w:lang w:val="en-US" w:eastAsia="zh-CN"/>
              </w:rPr>
              <w:t>颗粒</w:t>
            </w:r>
            <w:r>
              <w:rPr>
                <w:rFonts w:hint="eastAsia"/>
                <w:color w:val="auto"/>
                <w:highlight w:val="none"/>
              </w:rPr>
              <w:t>活性炭每2个月更换一次，则年用</w:t>
            </w:r>
            <w:r>
              <w:rPr>
                <w:rFonts w:hint="eastAsia"/>
                <w:color w:val="auto"/>
                <w:highlight w:val="none"/>
                <w:lang w:val="en-US" w:eastAsia="zh-CN"/>
              </w:rPr>
              <w:t>颗粒</w:t>
            </w:r>
            <w:r>
              <w:rPr>
                <w:rFonts w:hint="eastAsia"/>
                <w:color w:val="auto"/>
                <w:highlight w:val="none"/>
              </w:rPr>
              <w:t>活性炭</w:t>
            </w:r>
            <w:r>
              <w:rPr>
                <w:rFonts w:hint="eastAsia"/>
                <w:color w:val="auto"/>
                <w:highlight w:val="none"/>
                <w:lang w:val="en-US" w:eastAsia="zh-CN"/>
              </w:rPr>
              <w:t>7.8</w:t>
            </w:r>
            <w:r>
              <w:rPr>
                <w:rFonts w:hint="eastAsia"/>
                <w:color w:val="auto"/>
                <w:highlight w:val="none"/>
              </w:rPr>
              <w:t>t，废活性炭产生量</w:t>
            </w:r>
            <w:r>
              <w:rPr>
                <w:rFonts w:hint="eastAsia"/>
                <w:color w:val="auto"/>
                <w:highlight w:val="none"/>
                <w:lang w:val="en-US" w:eastAsia="zh-CN"/>
              </w:rPr>
              <w:t>11.989</w:t>
            </w:r>
            <w:r>
              <w:rPr>
                <w:rFonts w:hint="eastAsia"/>
                <w:color w:val="auto"/>
                <w:highlight w:val="none"/>
              </w:rPr>
              <w:t>t/a（含吸附有机废气量），属于危险废物，对照《国家危险废物名录》（2025年），废物类别属于HW49其他废物，废物代码900-039-49（烟气、VOCs 治理过程（不包括餐饮行业油烟治理过程）产生的废活性炭，化学原料和化学制品脱色（不包括有机合成食品添加剂脱色）、除杂、净化过程产生的废活性炭（不包括900-405-06、772-005-18、261-053-29、265-002-29、384-003-29、387-001-29类危险废物）</w:t>
            </w:r>
            <w:r>
              <w:rPr>
                <w:rFonts w:hint="eastAsia"/>
                <w:color w:val="auto"/>
                <w:highlight w:val="none"/>
                <w:lang w:eastAsia="zh-CN"/>
              </w:rPr>
              <w:t>，</w:t>
            </w:r>
            <w:r>
              <w:rPr>
                <w:rFonts w:hint="eastAsia"/>
                <w:color w:val="auto"/>
                <w:highlight w:val="none"/>
              </w:rPr>
              <w:t>收集暂存于危废仓库，定期委托有危废资质单位进行处置。</w:t>
            </w:r>
          </w:p>
          <w:p>
            <w:pPr>
              <w:pStyle w:val="97"/>
              <w:ind w:firstLine="480"/>
              <w:rPr>
                <w:color w:val="auto"/>
              </w:rPr>
            </w:pPr>
            <w:r>
              <w:rPr>
                <w:rFonts w:hint="eastAsia"/>
                <w:color w:val="auto"/>
              </w:rPr>
              <w:fldChar w:fldCharType="begin"/>
            </w:r>
            <w:r>
              <w:rPr>
                <w:rFonts w:hint="eastAsia"/>
                <w:color w:val="auto"/>
              </w:rPr>
              <w:instrText xml:space="preserve"> = 5 \* GB3 \* MERGEFORMAT </w:instrText>
            </w:r>
            <w:r>
              <w:rPr>
                <w:rFonts w:hint="eastAsia"/>
                <w:color w:val="auto"/>
              </w:rPr>
              <w:fldChar w:fldCharType="separate"/>
            </w:r>
            <w:r>
              <w:rPr>
                <w:color w:val="auto"/>
              </w:rPr>
              <w:t>⑤</w:t>
            </w:r>
            <w:r>
              <w:rPr>
                <w:rFonts w:hint="eastAsia"/>
                <w:color w:val="auto"/>
              </w:rPr>
              <w:fldChar w:fldCharType="end"/>
            </w:r>
            <w:r>
              <w:rPr>
                <w:rFonts w:hint="eastAsia"/>
                <w:color w:val="auto"/>
              </w:rPr>
              <w:t>印刷滚筒擦拭废布</w:t>
            </w:r>
          </w:p>
          <w:p>
            <w:pPr>
              <w:pStyle w:val="97"/>
              <w:ind w:firstLine="480"/>
              <w:rPr>
                <w:color w:val="auto"/>
              </w:rPr>
            </w:pPr>
            <w:r>
              <w:rPr>
                <w:rFonts w:hint="eastAsia"/>
                <w:color w:val="auto"/>
              </w:rPr>
              <w:t>扩建项目印刷换单、换色、日常维护过程中滚筒需要清洁，会产生滚筒擦拭废布，滚筒擦拭废布产生量为0.45t/a，对照《国家危险废物名录》（2025年），废物类别属于HW49其他废物，废物代码900-041-49（含有或者沾染毒性、感染性危险废物的废弃的包装物、容器、过滤吸附介质），收集暂存于危废仓库，定期委托有危废资质单位处置。</w:t>
            </w:r>
          </w:p>
          <w:p>
            <w:pPr>
              <w:pStyle w:val="97"/>
              <w:ind w:firstLine="480"/>
              <w:rPr>
                <w:rFonts w:hint="default" w:ascii="Times New Roman" w:hAnsi="Times New Roman" w:eastAsia="宋体" w:cs="Times New Roman"/>
                <w:color w:val="auto"/>
                <w:lang w:val="en-US" w:eastAsia="zh-CN"/>
              </w:rPr>
            </w:pPr>
            <w:r>
              <w:rPr>
                <w:rFonts w:hint="eastAsia" w:ascii="Times New Roman" w:hAnsi="Times New Roman" w:cs="Times New Roman"/>
                <w:color w:val="auto"/>
              </w:rPr>
              <w:t>⑥</w:t>
            </w:r>
            <w:r>
              <w:rPr>
                <w:rFonts w:hint="eastAsia" w:ascii="Times New Roman" w:hAnsi="Times New Roman" w:cs="Times New Roman"/>
                <w:color w:val="auto"/>
                <w:lang w:val="en-US" w:eastAsia="zh-CN"/>
              </w:rPr>
              <w:t>喷淋废液</w:t>
            </w:r>
          </w:p>
          <w:p>
            <w:pPr>
              <w:pStyle w:val="108"/>
              <w:spacing w:line="360" w:lineRule="auto"/>
              <w:rPr>
                <w:color w:val="auto"/>
              </w:rPr>
            </w:pPr>
            <w:r>
              <w:rPr>
                <w:rFonts w:hint="eastAsia"/>
                <w:color w:val="auto"/>
                <w:lang w:val="en-US" w:eastAsia="zh-CN"/>
              </w:rPr>
              <w:t>喷淋废水循环使用，3个月更换一次，会产生喷淋废液，根据水平衡分析，</w:t>
            </w:r>
            <w:r>
              <w:rPr>
                <w:rFonts w:hint="eastAsia" w:ascii="Times New Roman" w:hAnsi="Times New Roman" w:cs="Times New Roman"/>
                <w:color w:val="auto"/>
                <w:highlight w:val="none"/>
                <w:lang w:val="en-US" w:eastAsia="zh-CN"/>
              </w:rPr>
              <w:t>有机废气喷淋塔</w:t>
            </w:r>
            <w:r>
              <w:rPr>
                <w:rFonts w:hint="eastAsia" w:ascii="Times New Roman" w:hAnsi="Times New Roman" w:cs="Times New Roman"/>
                <w:color w:val="auto"/>
                <w:sz w:val="24"/>
                <w:highlight w:val="none"/>
                <w:lang w:val="en-US" w:eastAsia="zh-CN"/>
              </w:rPr>
              <w:t>每次更换的喷淋废液总量约</w:t>
            </w:r>
            <w:r>
              <w:rPr>
                <w:rFonts w:hint="eastAsia" w:cs="Times New Roman"/>
                <w:color w:val="auto"/>
                <w:sz w:val="24"/>
                <w:highlight w:val="none"/>
                <w:lang w:val="en-US" w:eastAsia="zh-CN"/>
              </w:rPr>
              <w:t>2</w:t>
            </w:r>
            <w:r>
              <w:rPr>
                <w:rFonts w:hint="eastAsia" w:ascii="Times New Roman" w:hAnsi="Times New Roman" w:cs="Times New Roman"/>
                <w:color w:val="auto"/>
                <w:highlight w:val="none"/>
                <w:lang w:val="en-US" w:eastAsia="zh-CN"/>
              </w:rPr>
              <w:t>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，则更换的喷淋废液量为</w:t>
            </w:r>
            <w:r>
              <w:rPr>
                <w:rFonts w:hint="eastAsia" w:cs="Times New Roman"/>
                <w:color w:val="auto"/>
                <w:highlight w:val="none"/>
                <w:lang w:val="en-US" w:eastAsia="zh-CN"/>
              </w:rPr>
              <w:t>8</w:t>
            </w:r>
            <w:r>
              <w:rPr>
                <w:rFonts w:hint="eastAsia" w:ascii="Times New Roman" w:hAnsi="Times New Roman" w:cs="Times New Roman"/>
                <w:color w:val="auto"/>
                <w:highlight w:val="none"/>
                <w:lang w:val="en-US" w:eastAsia="zh-CN"/>
              </w:rPr>
              <w:t>t/a</w:t>
            </w:r>
            <w:r>
              <w:rPr>
                <w:rFonts w:hint="eastAsia" w:cs="Times New Roman"/>
                <w:color w:val="auto"/>
                <w:highlight w:val="none"/>
                <w:lang w:val="en-US" w:eastAsia="zh-CN"/>
              </w:rPr>
              <w:t>，</w:t>
            </w:r>
            <w:r>
              <w:rPr>
                <w:color w:val="auto"/>
              </w:rPr>
              <w:t>根据《国家危险废物名录》</w:t>
            </w:r>
            <w:r>
              <w:rPr>
                <w:rFonts w:hint="eastAsia"/>
                <w:color w:val="auto"/>
                <w:lang w:bidi="ar"/>
              </w:rPr>
              <w:t>(</w:t>
            </w:r>
            <w:r>
              <w:rPr>
                <w:color w:val="auto"/>
                <w:lang w:bidi="ar"/>
              </w:rPr>
              <w:t>2025年版</w:t>
            </w:r>
            <w:r>
              <w:rPr>
                <w:rFonts w:hint="eastAsia"/>
                <w:color w:val="auto"/>
                <w:lang w:bidi="ar"/>
              </w:rPr>
              <w:t>)</w:t>
            </w:r>
            <w:r>
              <w:rPr>
                <w:color w:val="auto"/>
                <w:lang w:bidi="ar"/>
              </w:rPr>
              <w:t>，</w:t>
            </w:r>
            <w:r>
              <w:rPr>
                <w:rFonts w:hint="eastAsia"/>
                <w:color w:val="auto"/>
                <w:lang w:val="en-US" w:eastAsia="zh-CN"/>
              </w:rPr>
              <w:t>喷淋废液</w:t>
            </w:r>
            <w:r>
              <w:rPr>
                <w:color w:val="auto"/>
              </w:rPr>
              <w:t>属于危险废物，废物类别为HW</w:t>
            </w:r>
            <w:r>
              <w:rPr>
                <w:rFonts w:hint="eastAsia"/>
                <w:color w:val="auto"/>
                <w:lang w:val="en-US" w:eastAsia="zh-CN"/>
              </w:rPr>
              <w:t>49其他废物，废物代码772-006-49（采用物理、化学、物理化学或者生物方法处理或者处置毒性或者感染性危险废物过程中产生的废水处理污泥和废水处理残渣（液）），</w:t>
            </w:r>
            <w:r>
              <w:rPr>
                <w:rFonts w:hint="eastAsia"/>
                <w:color w:val="auto"/>
              </w:rPr>
              <w:t>收集后暂存于危废</w:t>
            </w:r>
            <w:r>
              <w:rPr>
                <w:rFonts w:hint="eastAsia"/>
                <w:color w:val="auto"/>
                <w:lang w:val="en-US" w:eastAsia="zh-CN"/>
              </w:rPr>
              <w:t>贮存间</w:t>
            </w:r>
            <w:r>
              <w:rPr>
                <w:rFonts w:hint="eastAsia"/>
                <w:color w:val="auto"/>
              </w:rPr>
              <w:t>，委托有危废资质单位</w:t>
            </w:r>
            <w:r>
              <w:rPr>
                <w:rFonts w:hint="eastAsia"/>
                <w:color w:val="auto"/>
                <w:lang w:val="en-US" w:eastAsia="zh-CN"/>
              </w:rPr>
              <w:t>处置</w:t>
            </w:r>
            <w:r>
              <w:rPr>
                <w:rFonts w:hint="eastAsia"/>
                <w:color w:val="auto"/>
              </w:rPr>
              <w:t>。</w:t>
            </w:r>
          </w:p>
          <w:p>
            <w:pPr>
              <w:pStyle w:val="97"/>
              <w:ind w:firstLine="480"/>
              <w:rPr>
                <w:color w:val="auto"/>
              </w:rPr>
            </w:pPr>
            <w:r>
              <w:rPr>
                <w:rFonts w:hint="eastAsia"/>
                <w:color w:val="auto"/>
              </w:rPr>
              <w:t>(3)生活垃圾</w:t>
            </w:r>
          </w:p>
          <w:p>
            <w:pPr>
              <w:tabs>
                <w:tab w:val="left" w:pos="1021"/>
              </w:tabs>
              <w:autoSpaceDE w:val="0"/>
              <w:autoSpaceDN w:val="0"/>
              <w:adjustRightInd w:val="0"/>
              <w:snapToGrid w:val="0"/>
              <w:spacing w:line="360" w:lineRule="auto"/>
              <w:ind w:firstLine="480" w:firstLineChars="200"/>
              <w:jc w:val="left"/>
              <w:rPr>
                <w:color w:val="auto"/>
                <w:sz w:val="24"/>
              </w:rPr>
            </w:pPr>
            <w:r>
              <w:rPr>
                <w:rFonts w:hint="eastAsia"/>
                <w:color w:val="auto"/>
                <w:sz w:val="24"/>
              </w:rPr>
              <w:t>扩建项目</w:t>
            </w:r>
            <w:r>
              <w:rPr>
                <w:color w:val="auto"/>
                <w:sz w:val="24"/>
              </w:rPr>
              <w:t>职工人数为</w:t>
            </w:r>
            <w:r>
              <w:rPr>
                <w:rFonts w:hint="eastAsia"/>
                <w:color w:val="auto"/>
                <w:sz w:val="24"/>
              </w:rPr>
              <w:t>60</w:t>
            </w:r>
            <w:r>
              <w:rPr>
                <w:color w:val="auto"/>
                <w:sz w:val="24"/>
              </w:rPr>
              <w:t>人，</w:t>
            </w:r>
            <w:r>
              <w:rPr>
                <w:rFonts w:hint="eastAsia"/>
                <w:color w:val="auto"/>
                <w:sz w:val="24"/>
              </w:rPr>
              <w:t>均住厂，</w:t>
            </w:r>
            <w:r>
              <w:rPr>
                <w:color w:val="auto"/>
                <w:sz w:val="24"/>
              </w:rPr>
              <w:t>员工住厂生活</w:t>
            </w:r>
            <w:r>
              <w:rPr>
                <w:rFonts w:hint="eastAsia"/>
                <w:color w:val="auto"/>
                <w:sz w:val="24"/>
              </w:rPr>
              <w:t>垃圾产生量</w:t>
            </w:r>
            <w:r>
              <w:rPr>
                <w:color w:val="auto"/>
                <w:sz w:val="24"/>
              </w:rPr>
              <w:t>按</w:t>
            </w:r>
            <w:r>
              <w:rPr>
                <w:rFonts w:hint="eastAsia"/>
                <w:color w:val="auto"/>
                <w:sz w:val="24"/>
              </w:rPr>
              <w:t>1.0kg</w:t>
            </w:r>
            <w:r>
              <w:rPr>
                <w:color w:val="auto"/>
                <w:sz w:val="24"/>
              </w:rPr>
              <w:t>/d·人计，则生活</w:t>
            </w:r>
            <w:r>
              <w:rPr>
                <w:rFonts w:hint="eastAsia"/>
                <w:color w:val="auto"/>
                <w:sz w:val="24"/>
              </w:rPr>
              <w:t>垃圾产生量60kg</w:t>
            </w:r>
            <w:r>
              <w:rPr>
                <w:color w:val="auto"/>
                <w:sz w:val="24"/>
              </w:rPr>
              <w:t>/d，</w:t>
            </w:r>
            <w:r>
              <w:rPr>
                <w:rFonts w:hint="eastAsia"/>
                <w:color w:val="auto"/>
                <w:sz w:val="24"/>
              </w:rPr>
              <w:t>18</w:t>
            </w:r>
            <w:r>
              <w:rPr>
                <w:color w:val="auto"/>
                <w:sz w:val="24"/>
              </w:rPr>
              <w:t>t/a（按年工作日300天计），分类收集于垃圾桶，由</w:t>
            </w:r>
            <w:r>
              <w:rPr>
                <w:rFonts w:hint="eastAsia"/>
                <w:color w:val="auto"/>
                <w:sz w:val="24"/>
              </w:rPr>
              <w:t>当地</w:t>
            </w:r>
            <w:r>
              <w:rPr>
                <w:color w:val="auto"/>
                <w:sz w:val="24"/>
              </w:rPr>
              <w:t>环卫部门定期清运处理。</w:t>
            </w:r>
          </w:p>
          <w:p>
            <w:pPr>
              <w:pStyle w:val="97"/>
              <w:ind w:firstLine="480"/>
              <w:rPr>
                <w:color w:val="auto"/>
              </w:rPr>
            </w:pPr>
            <w:r>
              <w:rPr>
                <w:color w:val="auto"/>
              </w:rPr>
              <w:t>综上分析，</w:t>
            </w:r>
            <w:r>
              <w:rPr>
                <w:rFonts w:hint="eastAsia"/>
                <w:color w:val="auto"/>
              </w:rPr>
              <w:t>扩建</w:t>
            </w:r>
            <w:r>
              <w:rPr>
                <w:color w:val="auto"/>
              </w:rPr>
              <w:t>项目运营期各类固体废物产生及处置情况详见</w:t>
            </w:r>
            <w:r>
              <w:rPr>
                <w:b/>
                <w:bCs/>
                <w:color w:val="auto"/>
              </w:rPr>
              <w:t>表4.</w:t>
            </w:r>
            <w:r>
              <w:rPr>
                <w:rFonts w:hint="eastAsia"/>
                <w:b/>
                <w:bCs/>
                <w:color w:val="auto"/>
              </w:rPr>
              <w:t>4-1</w:t>
            </w:r>
            <w:r>
              <w:rPr>
                <w:color w:val="auto"/>
              </w:rPr>
              <w:t>。</w:t>
            </w:r>
          </w:p>
          <w:p>
            <w:pPr>
              <w:pStyle w:val="136"/>
              <w:rPr>
                <w:rFonts w:eastAsia="宋体"/>
                <w:b/>
                <w:bCs/>
                <w:color w:val="auto"/>
                <w:lang w:val="en-US"/>
              </w:rPr>
            </w:pPr>
            <w:r>
              <w:rPr>
                <w:rFonts w:hint="eastAsia" w:eastAsia="宋体"/>
                <w:b/>
                <w:bCs/>
                <w:color w:val="auto"/>
                <w:lang w:val="en-US"/>
              </w:rPr>
              <w:t>表4.4-1  扩建项目运营期各类固体废物产生及处置情况一览表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439"/>
              <w:gridCol w:w="793"/>
              <w:gridCol w:w="1184"/>
              <w:gridCol w:w="632"/>
              <w:gridCol w:w="474"/>
              <w:gridCol w:w="686"/>
              <w:gridCol w:w="1204"/>
              <w:gridCol w:w="637"/>
              <w:gridCol w:w="525"/>
              <w:gridCol w:w="630"/>
              <w:gridCol w:w="130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1020" w:hRule="atLeast"/>
                <w:jc w:val="center"/>
              </w:trPr>
              <w:tc>
                <w:tcPr>
                  <w:tcW w:w="439" w:type="dxa"/>
                  <w:tcBorders>
                    <w:tl2br w:val="nil"/>
                    <w:tr2bl w:val="nil"/>
                  </w:tcBorders>
                  <w:vAlign w:val="center"/>
                </w:tcPr>
                <w:p>
                  <w:pPr>
                    <w:pStyle w:val="46"/>
                    <w:rPr>
                      <w:color w:val="auto"/>
                    </w:rPr>
                  </w:pPr>
                  <w:r>
                    <w:rPr>
                      <w:rFonts w:hint="eastAsia"/>
                      <w:color w:val="auto"/>
                    </w:rPr>
                    <w:t>序号</w:t>
                  </w:r>
                </w:p>
              </w:tc>
              <w:tc>
                <w:tcPr>
                  <w:tcW w:w="793" w:type="dxa"/>
                  <w:tcBorders>
                    <w:tl2br w:val="nil"/>
                    <w:tr2bl w:val="nil"/>
                  </w:tcBorders>
                  <w:vAlign w:val="center"/>
                </w:tcPr>
                <w:p>
                  <w:pPr>
                    <w:pStyle w:val="46"/>
                    <w:rPr>
                      <w:color w:val="auto"/>
                    </w:rPr>
                  </w:pPr>
                  <w:r>
                    <w:rPr>
                      <w:rFonts w:hint="eastAsia"/>
                      <w:color w:val="auto"/>
                    </w:rPr>
                    <w:t>产生</w:t>
                  </w:r>
                </w:p>
                <w:p>
                  <w:pPr>
                    <w:pStyle w:val="46"/>
                    <w:rPr>
                      <w:color w:val="auto"/>
                    </w:rPr>
                  </w:pPr>
                  <w:r>
                    <w:rPr>
                      <w:rFonts w:hint="eastAsia"/>
                      <w:color w:val="auto"/>
                    </w:rPr>
                    <w:t>环节</w:t>
                  </w:r>
                </w:p>
              </w:tc>
              <w:tc>
                <w:tcPr>
                  <w:tcW w:w="1184" w:type="dxa"/>
                  <w:tcBorders>
                    <w:tl2br w:val="nil"/>
                    <w:tr2bl w:val="nil"/>
                  </w:tcBorders>
                  <w:vAlign w:val="center"/>
                </w:tcPr>
                <w:p>
                  <w:pPr>
                    <w:pStyle w:val="46"/>
                    <w:rPr>
                      <w:color w:val="auto"/>
                    </w:rPr>
                  </w:pPr>
                  <w:r>
                    <w:rPr>
                      <w:rFonts w:hint="eastAsia"/>
                      <w:color w:val="auto"/>
                    </w:rPr>
                    <w:t>固废名称</w:t>
                  </w:r>
                </w:p>
              </w:tc>
              <w:tc>
                <w:tcPr>
                  <w:tcW w:w="632" w:type="dxa"/>
                  <w:tcBorders>
                    <w:tl2br w:val="nil"/>
                    <w:tr2bl w:val="nil"/>
                  </w:tcBorders>
                  <w:vAlign w:val="center"/>
                </w:tcPr>
                <w:p>
                  <w:pPr>
                    <w:pStyle w:val="46"/>
                    <w:rPr>
                      <w:color w:val="auto"/>
                    </w:rPr>
                  </w:pPr>
                  <w:r>
                    <w:rPr>
                      <w:rFonts w:hint="eastAsia"/>
                      <w:color w:val="auto"/>
                    </w:rPr>
                    <w:t>主要物质成分</w:t>
                  </w:r>
                </w:p>
              </w:tc>
              <w:tc>
                <w:tcPr>
                  <w:tcW w:w="474" w:type="dxa"/>
                  <w:tcBorders>
                    <w:tl2br w:val="nil"/>
                    <w:tr2bl w:val="nil"/>
                  </w:tcBorders>
                  <w:vAlign w:val="center"/>
                </w:tcPr>
                <w:p>
                  <w:pPr>
                    <w:pStyle w:val="46"/>
                    <w:rPr>
                      <w:color w:val="auto"/>
                    </w:rPr>
                  </w:pPr>
                  <w:r>
                    <w:rPr>
                      <w:rFonts w:hint="eastAsia"/>
                      <w:color w:val="auto"/>
                    </w:rPr>
                    <w:t>属性</w:t>
                  </w:r>
                </w:p>
              </w:tc>
              <w:tc>
                <w:tcPr>
                  <w:tcW w:w="686" w:type="dxa"/>
                  <w:tcBorders>
                    <w:tl2br w:val="nil"/>
                    <w:tr2bl w:val="nil"/>
                  </w:tcBorders>
                  <w:vAlign w:val="center"/>
                </w:tcPr>
                <w:p>
                  <w:pPr>
                    <w:pStyle w:val="46"/>
                    <w:rPr>
                      <w:color w:val="auto"/>
                    </w:rPr>
                  </w:pPr>
                  <w:r>
                    <w:rPr>
                      <w:rFonts w:hint="eastAsia"/>
                      <w:color w:val="auto"/>
                    </w:rPr>
                    <w:t>废物</w:t>
                  </w:r>
                </w:p>
                <w:p>
                  <w:pPr>
                    <w:pStyle w:val="46"/>
                    <w:rPr>
                      <w:color w:val="auto"/>
                    </w:rPr>
                  </w:pPr>
                  <w:r>
                    <w:rPr>
                      <w:rFonts w:hint="eastAsia"/>
                      <w:color w:val="auto"/>
                    </w:rPr>
                    <w:t>类别</w:t>
                  </w:r>
                </w:p>
              </w:tc>
              <w:tc>
                <w:tcPr>
                  <w:tcW w:w="1204" w:type="dxa"/>
                  <w:tcBorders>
                    <w:tl2br w:val="nil"/>
                    <w:tr2bl w:val="nil"/>
                  </w:tcBorders>
                  <w:vAlign w:val="center"/>
                </w:tcPr>
                <w:p>
                  <w:pPr>
                    <w:pStyle w:val="46"/>
                    <w:rPr>
                      <w:color w:val="auto"/>
                    </w:rPr>
                  </w:pPr>
                  <w:r>
                    <w:rPr>
                      <w:rFonts w:hint="eastAsia"/>
                      <w:color w:val="auto"/>
                    </w:rPr>
                    <w:t>废物代码</w:t>
                  </w:r>
                </w:p>
              </w:tc>
              <w:tc>
                <w:tcPr>
                  <w:tcW w:w="637" w:type="dxa"/>
                  <w:tcBorders>
                    <w:tl2br w:val="nil"/>
                    <w:tr2bl w:val="nil"/>
                  </w:tcBorders>
                  <w:vAlign w:val="center"/>
                </w:tcPr>
                <w:p>
                  <w:pPr>
                    <w:pStyle w:val="46"/>
                    <w:rPr>
                      <w:color w:val="auto"/>
                    </w:rPr>
                  </w:pPr>
                  <w:r>
                    <w:rPr>
                      <w:rFonts w:hint="eastAsia"/>
                      <w:color w:val="auto"/>
                    </w:rPr>
                    <w:t>产生量t/a</w:t>
                  </w:r>
                </w:p>
              </w:tc>
              <w:tc>
                <w:tcPr>
                  <w:tcW w:w="525" w:type="dxa"/>
                  <w:tcBorders>
                    <w:tl2br w:val="nil"/>
                    <w:tr2bl w:val="nil"/>
                  </w:tcBorders>
                  <w:vAlign w:val="center"/>
                </w:tcPr>
                <w:p>
                  <w:pPr>
                    <w:pStyle w:val="46"/>
                    <w:rPr>
                      <w:color w:val="auto"/>
                    </w:rPr>
                  </w:pPr>
                  <w:r>
                    <w:rPr>
                      <w:rFonts w:hint="eastAsia"/>
                      <w:color w:val="auto"/>
                    </w:rPr>
                    <w:t>危险特性</w:t>
                  </w:r>
                </w:p>
              </w:tc>
              <w:tc>
                <w:tcPr>
                  <w:tcW w:w="630" w:type="dxa"/>
                  <w:tcBorders>
                    <w:tl2br w:val="nil"/>
                    <w:tr2bl w:val="nil"/>
                  </w:tcBorders>
                  <w:vAlign w:val="center"/>
                </w:tcPr>
                <w:p>
                  <w:pPr>
                    <w:pStyle w:val="46"/>
                    <w:rPr>
                      <w:color w:val="auto"/>
                    </w:rPr>
                  </w:pPr>
                  <w:r>
                    <w:rPr>
                      <w:rFonts w:hint="eastAsia"/>
                      <w:color w:val="auto"/>
                    </w:rPr>
                    <w:t>储存方式</w:t>
                  </w:r>
                </w:p>
              </w:tc>
              <w:tc>
                <w:tcPr>
                  <w:tcW w:w="1300" w:type="dxa"/>
                  <w:tcBorders>
                    <w:tl2br w:val="nil"/>
                    <w:tr2bl w:val="nil"/>
                  </w:tcBorders>
                  <w:vAlign w:val="center"/>
                </w:tcPr>
                <w:p>
                  <w:pPr>
                    <w:pStyle w:val="46"/>
                    <w:rPr>
                      <w:color w:val="auto"/>
                    </w:rPr>
                  </w:pPr>
                  <w:r>
                    <w:rPr>
                      <w:rFonts w:hint="eastAsia"/>
                      <w:color w:val="auto"/>
                    </w:rPr>
                    <w:t>处置去向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tcBorders>
                    <w:tl2br w:val="nil"/>
                    <w:tr2bl w:val="nil"/>
                  </w:tcBorders>
                  <w:vAlign w:val="center"/>
                </w:tcPr>
                <w:p>
                  <w:pPr>
                    <w:pStyle w:val="46"/>
                    <w:rPr>
                      <w:color w:val="auto"/>
                    </w:rPr>
                  </w:pPr>
                  <w:r>
                    <w:rPr>
                      <w:rFonts w:hint="eastAsia"/>
                      <w:color w:val="auto"/>
                    </w:rPr>
                    <w:t>1</w:t>
                  </w:r>
                </w:p>
              </w:tc>
              <w:tc>
                <w:tcPr>
                  <w:tcW w:w="793" w:type="dxa"/>
                  <w:tcBorders>
                    <w:tl2br w:val="nil"/>
                    <w:tr2bl w:val="nil"/>
                  </w:tcBorders>
                  <w:vAlign w:val="center"/>
                </w:tcPr>
                <w:p>
                  <w:pPr>
                    <w:pStyle w:val="46"/>
                    <w:rPr>
                      <w:color w:val="auto"/>
                    </w:rPr>
                  </w:pPr>
                  <w:r>
                    <w:rPr>
                      <w:rFonts w:hint="eastAsia"/>
                      <w:color w:val="auto"/>
                    </w:rPr>
                    <w:t>分切和制袋</w:t>
                  </w:r>
                </w:p>
              </w:tc>
              <w:tc>
                <w:tcPr>
                  <w:tcW w:w="1184" w:type="dxa"/>
                  <w:tcBorders>
                    <w:tl2br w:val="nil"/>
                    <w:tr2bl w:val="nil"/>
                  </w:tcBorders>
                  <w:vAlign w:val="center"/>
                </w:tcPr>
                <w:p>
                  <w:pPr>
                    <w:pStyle w:val="46"/>
                    <w:rPr>
                      <w:color w:val="auto"/>
                    </w:rPr>
                  </w:pPr>
                  <w:r>
                    <w:rPr>
                      <w:rFonts w:hint="eastAsia"/>
                      <w:color w:val="auto"/>
                    </w:rPr>
                    <w:t>废边角料</w:t>
                  </w:r>
                </w:p>
              </w:tc>
              <w:tc>
                <w:tcPr>
                  <w:tcW w:w="632" w:type="dxa"/>
                  <w:tcBorders>
                    <w:tl2br w:val="nil"/>
                    <w:tr2bl w:val="nil"/>
                  </w:tcBorders>
                  <w:vAlign w:val="center"/>
                </w:tcPr>
                <w:p>
                  <w:pPr>
                    <w:pStyle w:val="46"/>
                    <w:rPr>
                      <w:color w:val="auto"/>
                    </w:rPr>
                  </w:pPr>
                  <w:r>
                    <w:rPr>
                      <w:rFonts w:hint="eastAsia"/>
                      <w:color w:val="auto"/>
                    </w:rPr>
                    <w:t>塑料薄膜</w:t>
                  </w:r>
                </w:p>
              </w:tc>
              <w:tc>
                <w:tcPr>
                  <w:tcW w:w="474" w:type="dxa"/>
                  <w:vMerge w:val="restart"/>
                  <w:tcBorders>
                    <w:tl2br w:val="nil"/>
                    <w:tr2bl w:val="nil"/>
                  </w:tcBorders>
                  <w:vAlign w:val="center"/>
                </w:tcPr>
                <w:p>
                  <w:pPr>
                    <w:pStyle w:val="46"/>
                    <w:rPr>
                      <w:color w:val="auto"/>
                    </w:rPr>
                  </w:pPr>
                  <w:r>
                    <w:rPr>
                      <w:rFonts w:hint="eastAsia"/>
                      <w:color w:val="auto"/>
                    </w:rPr>
                    <w:t>一般工业固废</w:t>
                  </w:r>
                </w:p>
              </w:tc>
              <w:tc>
                <w:tcPr>
                  <w:tcW w:w="686" w:type="dxa"/>
                  <w:vMerge w:val="restart"/>
                  <w:tcBorders>
                    <w:tl2br w:val="nil"/>
                    <w:tr2bl w:val="nil"/>
                  </w:tcBorders>
                  <w:vAlign w:val="center"/>
                </w:tcPr>
                <w:p>
                  <w:pPr>
                    <w:pStyle w:val="46"/>
                    <w:rPr>
                      <w:color w:val="auto"/>
                    </w:rPr>
                  </w:pPr>
                  <w:r>
                    <w:rPr>
                      <w:rFonts w:hint="eastAsia"/>
                      <w:color w:val="auto"/>
                    </w:rPr>
                    <w:t>SW17</w:t>
                  </w:r>
                </w:p>
              </w:tc>
              <w:tc>
                <w:tcPr>
                  <w:tcW w:w="1204" w:type="dxa"/>
                  <w:vMerge w:val="restart"/>
                  <w:tcBorders>
                    <w:tl2br w:val="nil"/>
                    <w:tr2bl w:val="nil"/>
                  </w:tcBorders>
                  <w:vAlign w:val="center"/>
                </w:tcPr>
                <w:p>
                  <w:pPr>
                    <w:pStyle w:val="46"/>
                    <w:rPr>
                      <w:color w:val="auto"/>
                    </w:rPr>
                  </w:pPr>
                  <w:r>
                    <w:rPr>
                      <w:rFonts w:hint="eastAsia"/>
                      <w:color w:val="auto"/>
                    </w:rPr>
                    <w:t>900-</w:t>
                  </w:r>
                  <w:r>
                    <w:rPr>
                      <w:color w:val="auto"/>
                    </w:rPr>
                    <w:t>003-S17</w:t>
                  </w:r>
                </w:p>
              </w:tc>
              <w:tc>
                <w:tcPr>
                  <w:tcW w:w="637" w:type="dxa"/>
                  <w:tcBorders>
                    <w:tl2br w:val="nil"/>
                    <w:tr2bl w:val="nil"/>
                  </w:tcBorders>
                  <w:vAlign w:val="center"/>
                </w:tcPr>
                <w:p>
                  <w:pPr>
                    <w:pStyle w:val="46"/>
                    <w:rPr>
                      <w:color w:val="auto"/>
                    </w:rPr>
                  </w:pPr>
                  <w:r>
                    <w:rPr>
                      <w:rFonts w:hint="eastAsia"/>
                      <w:color w:val="auto"/>
                      <w:lang w:val="en-US" w:eastAsia="zh-CN"/>
                    </w:rPr>
                    <w:t>4.3</w:t>
                  </w:r>
                </w:p>
              </w:tc>
              <w:tc>
                <w:tcPr>
                  <w:tcW w:w="525" w:type="dxa"/>
                  <w:tcBorders>
                    <w:tl2br w:val="nil"/>
                    <w:tr2bl w:val="nil"/>
                  </w:tcBorders>
                  <w:vAlign w:val="center"/>
                </w:tcPr>
                <w:p>
                  <w:pPr>
                    <w:pStyle w:val="46"/>
                    <w:rPr>
                      <w:color w:val="auto"/>
                    </w:rPr>
                  </w:pPr>
                  <w:r>
                    <w:rPr>
                      <w:rFonts w:hint="eastAsia"/>
                      <w:color w:val="auto"/>
                    </w:rPr>
                    <w:t>/</w:t>
                  </w:r>
                </w:p>
              </w:tc>
              <w:tc>
                <w:tcPr>
                  <w:tcW w:w="630" w:type="dxa"/>
                  <w:vMerge w:val="restart"/>
                  <w:tcBorders>
                    <w:tl2br w:val="nil"/>
                    <w:tr2bl w:val="nil"/>
                  </w:tcBorders>
                  <w:vAlign w:val="center"/>
                </w:tcPr>
                <w:p>
                  <w:pPr>
                    <w:pStyle w:val="46"/>
                    <w:rPr>
                      <w:color w:val="auto"/>
                    </w:rPr>
                  </w:pPr>
                  <w:r>
                    <w:rPr>
                      <w:rFonts w:hint="eastAsia"/>
                      <w:color w:val="auto"/>
                    </w:rPr>
                    <w:t>一般固废仓库30m</w:t>
                  </w:r>
                  <w:r>
                    <w:rPr>
                      <w:rFonts w:hint="eastAsia"/>
                      <w:color w:val="auto"/>
                      <w:vertAlign w:val="superscript"/>
                    </w:rPr>
                    <w:t>2</w:t>
                  </w:r>
                </w:p>
              </w:tc>
              <w:tc>
                <w:tcPr>
                  <w:tcW w:w="1300" w:type="dxa"/>
                  <w:vMerge w:val="restart"/>
                  <w:tcBorders>
                    <w:tl2br w:val="nil"/>
                    <w:tr2bl w:val="nil"/>
                  </w:tcBorders>
                  <w:vAlign w:val="center"/>
                </w:tcPr>
                <w:p>
                  <w:pPr>
                    <w:pStyle w:val="46"/>
                    <w:rPr>
                      <w:color w:val="auto"/>
                    </w:rPr>
                  </w:pPr>
                  <w:r>
                    <w:rPr>
                      <w:color w:val="auto"/>
                    </w:rPr>
                    <w:t>定期由废品回收公司回收处理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tcBorders>
                    <w:tl2br w:val="nil"/>
                    <w:tr2bl w:val="nil"/>
                  </w:tcBorders>
                  <w:vAlign w:val="center"/>
                </w:tcPr>
                <w:p>
                  <w:pPr>
                    <w:pStyle w:val="46"/>
                    <w:rPr>
                      <w:color w:val="auto"/>
                    </w:rPr>
                  </w:pPr>
                  <w:r>
                    <w:rPr>
                      <w:rFonts w:hint="eastAsia"/>
                      <w:color w:val="auto"/>
                    </w:rPr>
                    <w:t>2</w:t>
                  </w:r>
                </w:p>
              </w:tc>
              <w:tc>
                <w:tcPr>
                  <w:tcW w:w="793" w:type="dxa"/>
                  <w:tcBorders>
                    <w:tl2br w:val="nil"/>
                    <w:tr2bl w:val="nil"/>
                  </w:tcBorders>
                  <w:vAlign w:val="center"/>
                </w:tcPr>
                <w:p>
                  <w:pPr>
                    <w:pStyle w:val="46"/>
                    <w:rPr>
                      <w:color w:val="auto"/>
                    </w:rPr>
                  </w:pPr>
                  <w:r>
                    <w:rPr>
                      <w:rFonts w:hint="eastAsia"/>
                      <w:color w:val="auto"/>
                    </w:rPr>
                    <w:t>原料塑料薄膜拆包</w:t>
                  </w:r>
                </w:p>
              </w:tc>
              <w:tc>
                <w:tcPr>
                  <w:tcW w:w="1184" w:type="dxa"/>
                  <w:tcBorders>
                    <w:tl2br w:val="nil"/>
                    <w:tr2bl w:val="nil"/>
                  </w:tcBorders>
                  <w:vAlign w:val="center"/>
                </w:tcPr>
                <w:p>
                  <w:pPr>
                    <w:pStyle w:val="46"/>
                    <w:rPr>
                      <w:color w:val="auto"/>
                    </w:rPr>
                  </w:pPr>
                  <w:r>
                    <w:rPr>
                      <w:rFonts w:hint="eastAsia"/>
                      <w:color w:val="auto"/>
                    </w:rPr>
                    <w:t>废包装材料</w:t>
                  </w:r>
                </w:p>
              </w:tc>
              <w:tc>
                <w:tcPr>
                  <w:tcW w:w="632" w:type="dxa"/>
                  <w:vMerge w:val="restart"/>
                  <w:tcBorders>
                    <w:tl2br w:val="nil"/>
                    <w:tr2bl w:val="nil"/>
                  </w:tcBorders>
                  <w:vAlign w:val="center"/>
                </w:tcPr>
                <w:p>
                  <w:pPr>
                    <w:pStyle w:val="46"/>
                    <w:rPr>
                      <w:color w:val="auto"/>
                    </w:rPr>
                  </w:pPr>
                  <w:r>
                    <w:rPr>
                      <w:rFonts w:hint="eastAsia"/>
                      <w:color w:val="auto"/>
                    </w:rPr>
                    <w:t>废塑料包</w:t>
                  </w:r>
                </w:p>
                <w:p>
                  <w:pPr>
                    <w:pStyle w:val="46"/>
                    <w:rPr>
                      <w:color w:val="auto"/>
                    </w:rPr>
                  </w:pPr>
                  <w:r>
                    <w:rPr>
                      <w:rFonts w:hint="eastAsia"/>
                      <w:color w:val="auto"/>
                    </w:rPr>
                    <w:t>装</w:t>
                  </w:r>
                </w:p>
              </w:tc>
              <w:tc>
                <w:tcPr>
                  <w:tcW w:w="474" w:type="dxa"/>
                  <w:vMerge w:val="continue"/>
                  <w:tcBorders>
                    <w:tl2br w:val="nil"/>
                    <w:tr2bl w:val="nil"/>
                  </w:tcBorders>
                  <w:vAlign w:val="center"/>
                </w:tcPr>
                <w:p>
                  <w:pPr>
                    <w:pStyle w:val="46"/>
                    <w:rPr>
                      <w:color w:val="auto"/>
                    </w:rPr>
                  </w:pPr>
                </w:p>
              </w:tc>
              <w:tc>
                <w:tcPr>
                  <w:tcW w:w="686" w:type="dxa"/>
                  <w:vMerge w:val="continue"/>
                  <w:tcBorders>
                    <w:tl2br w:val="nil"/>
                    <w:tr2bl w:val="nil"/>
                  </w:tcBorders>
                  <w:vAlign w:val="center"/>
                </w:tcPr>
                <w:p>
                  <w:pPr>
                    <w:pStyle w:val="46"/>
                    <w:rPr>
                      <w:color w:val="auto"/>
                    </w:rPr>
                  </w:pPr>
                </w:p>
              </w:tc>
              <w:tc>
                <w:tcPr>
                  <w:tcW w:w="1204" w:type="dxa"/>
                  <w:vMerge w:val="continue"/>
                  <w:tcBorders>
                    <w:tl2br w:val="nil"/>
                    <w:tr2bl w:val="nil"/>
                  </w:tcBorders>
                  <w:vAlign w:val="center"/>
                </w:tcPr>
                <w:p>
                  <w:pPr>
                    <w:pStyle w:val="46"/>
                    <w:rPr>
                      <w:color w:val="auto"/>
                    </w:rPr>
                  </w:pPr>
                </w:p>
              </w:tc>
              <w:tc>
                <w:tcPr>
                  <w:tcW w:w="637" w:type="dxa"/>
                  <w:tcBorders>
                    <w:tl2br w:val="nil"/>
                    <w:tr2bl w:val="nil"/>
                  </w:tcBorders>
                  <w:vAlign w:val="center"/>
                </w:tcPr>
                <w:p>
                  <w:pPr>
                    <w:pStyle w:val="46"/>
                    <w:rPr>
                      <w:color w:val="auto"/>
                    </w:rPr>
                  </w:pPr>
                  <w:r>
                    <w:rPr>
                      <w:rFonts w:hint="eastAsia"/>
                      <w:color w:val="auto"/>
                    </w:rPr>
                    <w:t>5</w:t>
                  </w:r>
                </w:p>
              </w:tc>
              <w:tc>
                <w:tcPr>
                  <w:tcW w:w="525" w:type="dxa"/>
                  <w:tcBorders>
                    <w:tl2br w:val="nil"/>
                    <w:tr2bl w:val="nil"/>
                  </w:tcBorders>
                  <w:vAlign w:val="center"/>
                </w:tcPr>
                <w:p>
                  <w:pPr>
                    <w:pStyle w:val="46"/>
                    <w:rPr>
                      <w:color w:val="auto"/>
                    </w:rPr>
                  </w:pPr>
                  <w:r>
                    <w:rPr>
                      <w:rFonts w:hint="eastAsia"/>
                      <w:color w:val="auto"/>
                    </w:rPr>
                    <w:t>/</w:t>
                  </w:r>
                </w:p>
              </w:tc>
              <w:tc>
                <w:tcPr>
                  <w:tcW w:w="630" w:type="dxa"/>
                  <w:vMerge w:val="continue"/>
                  <w:tcBorders>
                    <w:tl2br w:val="nil"/>
                    <w:tr2bl w:val="nil"/>
                  </w:tcBorders>
                  <w:vAlign w:val="center"/>
                </w:tcPr>
                <w:p>
                  <w:pPr>
                    <w:pStyle w:val="46"/>
                    <w:rPr>
                      <w:color w:val="auto"/>
                    </w:rPr>
                  </w:pPr>
                </w:p>
              </w:tc>
              <w:tc>
                <w:tcPr>
                  <w:tcW w:w="1300" w:type="dxa"/>
                  <w:vMerge w:val="continue"/>
                  <w:tcBorders>
                    <w:tl2br w:val="nil"/>
                    <w:tr2bl w:val="nil"/>
                  </w:tcBorders>
                  <w:vAlign w:val="center"/>
                </w:tcPr>
                <w:p>
                  <w:pPr>
                    <w:pStyle w:val="46"/>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tcBorders>
                    <w:tl2br w:val="nil"/>
                    <w:tr2bl w:val="nil"/>
                  </w:tcBorders>
                  <w:vAlign w:val="center"/>
                </w:tcPr>
                <w:p>
                  <w:pPr>
                    <w:pStyle w:val="46"/>
                    <w:rPr>
                      <w:rFonts w:hint="eastAsia" w:eastAsia="宋体"/>
                      <w:color w:val="auto"/>
                      <w:lang w:val="en-US" w:eastAsia="zh-CN"/>
                    </w:rPr>
                  </w:pPr>
                  <w:r>
                    <w:rPr>
                      <w:rFonts w:hint="eastAsia"/>
                      <w:color w:val="auto"/>
                      <w:lang w:val="en-US" w:eastAsia="zh-CN"/>
                    </w:rPr>
                    <w:t>3</w:t>
                  </w:r>
                </w:p>
              </w:tc>
              <w:tc>
                <w:tcPr>
                  <w:tcW w:w="793" w:type="dxa"/>
                  <w:tcBorders>
                    <w:tl2br w:val="nil"/>
                    <w:tr2bl w:val="nil"/>
                  </w:tcBorders>
                  <w:vAlign w:val="center"/>
                </w:tcPr>
                <w:p>
                  <w:pPr>
                    <w:pStyle w:val="46"/>
                    <w:rPr>
                      <w:rFonts w:hint="eastAsia"/>
                      <w:color w:val="auto"/>
                      <w:lang w:val="en-US" w:eastAsia="zh-CN"/>
                    </w:rPr>
                  </w:pPr>
                  <w:r>
                    <w:rPr>
                      <w:rFonts w:hint="eastAsia"/>
                      <w:color w:val="auto"/>
                      <w:lang w:val="en-US" w:eastAsia="zh-CN"/>
                    </w:rPr>
                    <w:t>检验</w:t>
                  </w:r>
                </w:p>
                <w:p>
                  <w:pPr>
                    <w:pStyle w:val="46"/>
                    <w:rPr>
                      <w:rFonts w:hint="default" w:eastAsia="宋体"/>
                      <w:color w:val="auto"/>
                      <w:lang w:val="en-US" w:eastAsia="zh-CN"/>
                    </w:rPr>
                  </w:pPr>
                  <w:r>
                    <w:rPr>
                      <w:rFonts w:hint="eastAsia"/>
                      <w:color w:val="auto"/>
                      <w:lang w:val="en-US" w:eastAsia="zh-CN"/>
                    </w:rPr>
                    <w:t>过程</w:t>
                  </w:r>
                </w:p>
              </w:tc>
              <w:tc>
                <w:tcPr>
                  <w:tcW w:w="1184" w:type="dxa"/>
                  <w:tcBorders>
                    <w:tl2br w:val="nil"/>
                    <w:tr2bl w:val="nil"/>
                  </w:tcBorders>
                  <w:vAlign w:val="center"/>
                </w:tcPr>
                <w:p>
                  <w:pPr>
                    <w:pStyle w:val="46"/>
                    <w:rPr>
                      <w:rFonts w:hint="eastAsia" w:eastAsia="宋体"/>
                      <w:color w:val="auto"/>
                      <w:lang w:val="en-US" w:eastAsia="zh-CN"/>
                    </w:rPr>
                  </w:pPr>
                  <w:r>
                    <w:rPr>
                      <w:rFonts w:hint="eastAsia"/>
                      <w:color w:val="auto"/>
                      <w:lang w:val="en-US" w:eastAsia="zh-CN"/>
                    </w:rPr>
                    <w:t>不合格品</w:t>
                  </w:r>
                </w:p>
              </w:tc>
              <w:tc>
                <w:tcPr>
                  <w:tcW w:w="632" w:type="dxa"/>
                  <w:vMerge w:val="continue"/>
                  <w:tcBorders>
                    <w:tl2br w:val="nil"/>
                    <w:tr2bl w:val="nil"/>
                  </w:tcBorders>
                  <w:vAlign w:val="center"/>
                </w:tcPr>
                <w:p>
                  <w:pPr>
                    <w:pStyle w:val="46"/>
                    <w:rPr>
                      <w:rFonts w:hint="eastAsia"/>
                      <w:color w:val="auto"/>
                    </w:rPr>
                  </w:pPr>
                </w:p>
              </w:tc>
              <w:tc>
                <w:tcPr>
                  <w:tcW w:w="474" w:type="dxa"/>
                  <w:vMerge w:val="continue"/>
                  <w:tcBorders>
                    <w:tl2br w:val="nil"/>
                    <w:tr2bl w:val="nil"/>
                  </w:tcBorders>
                  <w:shd w:val="clear" w:color="auto" w:fill="auto"/>
                  <w:vAlign w:val="center"/>
                </w:tcPr>
                <w:p>
                  <w:pPr>
                    <w:pStyle w:val="46"/>
                    <w:rPr>
                      <w:rFonts w:ascii="Times New Roman" w:hAnsi="Times New Roman" w:eastAsia="宋体" w:cs="Times New Roman"/>
                      <w:color w:val="auto"/>
                      <w:kern w:val="2"/>
                      <w:sz w:val="21"/>
                      <w:szCs w:val="22"/>
                      <w:lang w:val="en-US" w:eastAsia="zh-CN" w:bidi="ar-SA"/>
                    </w:rPr>
                  </w:pPr>
                </w:p>
              </w:tc>
              <w:tc>
                <w:tcPr>
                  <w:tcW w:w="686" w:type="dxa"/>
                  <w:tcBorders>
                    <w:tl2br w:val="nil"/>
                    <w:tr2bl w:val="nil"/>
                  </w:tcBorders>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SW17</w:t>
                  </w:r>
                </w:p>
              </w:tc>
              <w:tc>
                <w:tcPr>
                  <w:tcW w:w="1204" w:type="dxa"/>
                  <w:tcBorders>
                    <w:tl2br w:val="nil"/>
                    <w:tr2bl w:val="nil"/>
                  </w:tcBorders>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900-</w:t>
                  </w:r>
                  <w:r>
                    <w:rPr>
                      <w:color w:val="auto"/>
                    </w:rPr>
                    <w:t>003-S17</w:t>
                  </w:r>
                </w:p>
              </w:tc>
              <w:tc>
                <w:tcPr>
                  <w:tcW w:w="637" w:type="dxa"/>
                  <w:tcBorders>
                    <w:tl2br w:val="nil"/>
                    <w:tr2bl w:val="nil"/>
                  </w:tcBorders>
                  <w:vAlign w:val="center"/>
                </w:tcPr>
                <w:p>
                  <w:pPr>
                    <w:pStyle w:val="46"/>
                    <w:rPr>
                      <w:rFonts w:hint="default" w:eastAsia="宋体"/>
                      <w:color w:val="auto"/>
                      <w:lang w:val="en-US" w:eastAsia="zh-CN"/>
                    </w:rPr>
                  </w:pPr>
                  <w:r>
                    <w:rPr>
                      <w:rFonts w:hint="eastAsia"/>
                      <w:color w:val="auto"/>
                      <w:lang w:val="en-US" w:eastAsia="zh-CN"/>
                    </w:rPr>
                    <w:t>2.5</w:t>
                  </w:r>
                </w:p>
              </w:tc>
              <w:tc>
                <w:tcPr>
                  <w:tcW w:w="525" w:type="dxa"/>
                  <w:tcBorders>
                    <w:tl2br w:val="nil"/>
                    <w:tr2bl w:val="nil"/>
                  </w:tcBorders>
                  <w:vAlign w:val="center"/>
                </w:tcPr>
                <w:p>
                  <w:pPr>
                    <w:pStyle w:val="46"/>
                    <w:rPr>
                      <w:rFonts w:hint="eastAsia"/>
                      <w:color w:val="auto"/>
                    </w:rPr>
                  </w:pPr>
                  <w:r>
                    <w:rPr>
                      <w:rFonts w:hint="eastAsia"/>
                      <w:color w:val="auto"/>
                    </w:rPr>
                    <w:t>/</w:t>
                  </w:r>
                </w:p>
              </w:tc>
              <w:tc>
                <w:tcPr>
                  <w:tcW w:w="630" w:type="dxa"/>
                  <w:vMerge w:val="continue"/>
                  <w:tcBorders>
                    <w:tl2br w:val="nil"/>
                    <w:tr2bl w:val="nil"/>
                  </w:tcBorders>
                  <w:vAlign w:val="center"/>
                </w:tcPr>
                <w:p>
                  <w:pPr>
                    <w:pStyle w:val="46"/>
                    <w:rPr>
                      <w:color w:val="auto"/>
                    </w:rPr>
                  </w:pPr>
                </w:p>
              </w:tc>
              <w:tc>
                <w:tcPr>
                  <w:tcW w:w="1300" w:type="dxa"/>
                  <w:vMerge w:val="continue"/>
                  <w:tcBorders>
                    <w:tl2br w:val="nil"/>
                    <w:tr2bl w:val="nil"/>
                  </w:tcBorders>
                  <w:vAlign w:val="center"/>
                </w:tcPr>
                <w:p>
                  <w:pPr>
                    <w:pStyle w:val="46"/>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vMerge w:val="restart"/>
                  <w:tcBorders>
                    <w:tl2br w:val="nil"/>
                    <w:tr2bl w:val="nil"/>
                  </w:tcBorders>
                  <w:vAlign w:val="center"/>
                </w:tcPr>
                <w:p>
                  <w:pPr>
                    <w:pStyle w:val="46"/>
                    <w:rPr>
                      <w:color w:val="auto"/>
                    </w:rPr>
                  </w:pPr>
                  <w:r>
                    <w:rPr>
                      <w:rFonts w:hint="eastAsia"/>
                      <w:color w:val="auto"/>
                    </w:rPr>
                    <w:t>4</w:t>
                  </w:r>
                </w:p>
              </w:tc>
              <w:tc>
                <w:tcPr>
                  <w:tcW w:w="793" w:type="dxa"/>
                  <w:vMerge w:val="restart"/>
                  <w:tcBorders>
                    <w:tl2br w:val="nil"/>
                    <w:tr2bl w:val="nil"/>
                  </w:tcBorders>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油墨调配、印刷、粘合剂调配、复合</w:t>
                  </w:r>
                </w:p>
              </w:tc>
              <w:tc>
                <w:tcPr>
                  <w:tcW w:w="1184" w:type="dxa"/>
                  <w:tcBorders>
                    <w:tl2br w:val="nil"/>
                    <w:tr2bl w:val="nil"/>
                  </w:tcBorders>
                  <w:vAlign w:val="center"/>
                </w:tcPr>
                <w:p>
                  <w:pPr>
                    <w:pStyle w:val="46"/>
                    <w:rPr>
                      <w:color w:val="auto"/>
                    </w:rPr>
                  </w:pPr>
                  <w:r>
                    <w:rPr>
                      <w:rFonts w:hint="eastAsia"/>
                      <w:color w:val="auto"/>
                    </w:rPr>
                    <w:t>废溶剂桶</w:t>
                  </w:r>
                </w:p>
              </w:tc>
              <w:tc>
                <w:tcPr>
                  <w:tcW w:w="632" w:type="dxa"/>
                  <w:tcBorders>
                    <w:tl2br w:val="nil"/>
                    <w:tr2bl w:val="nil"/>
                  </w:tcBorders>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有机溶剂</w:t>
                  </w:r>
                </w:p>
              </w:tc>
              <w:tc>
                <w:tcPr>
                  <w:tcW w:w="474" w:type="dxa"/>
                  <w:vMerge w:val="restart"/>
                  <w:tcBorders>
                    <w:tl2br w:val="nil"/>
                    <w:tr2bl w:val="nil"/>
                  </w:tcBorders>
                  <w:vAlign w:val="center"/>
                </w:tcPr>
                <w:p>
                  <w:pPr>
                    <w:pStyle w:val="46"/>
                    <w:rPr>
                      <w:color w:val="auto"/>
                    </w:rPr>
                  </w:pPr>
                  <w:r>
                    <w:rPr>
                      <w:rFonts w:hint="eastAsia"/>
                      <w:color w:val="auto"/>
                    </w:rPr>
                    <w:t>危险废物</w:t>
                  </w:r>
                </w:p>
              </w:tc>
              <w:tc>
                <w:tcPr>
                  <w:tcW w:w="686" w:type="dxa"/>
                  <w:vMerge w:val="restart"/>
                  <w:tcBorders>
                    <w:tl2br w:val="nil"/>
                    <w:tr2bl w:val="nil"/>
                  </w:tcBorders>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HW49</w:t>
                  </w:r>
                </w:p>
              </w:tc>
              <w:tc>
                <w:tcPr>
                  <w:tcW w:w="1204" w:type="dxa"/>
                  <w:vMerge w:val="restart"/>
                  <w:tcBorders>
                    <w:tl2br w:val="nil"/>
                    <w:tr2bl w:val="nil"/>
                  </w:tcBorders>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900-041-49</w:t>
                  </w:r>
                </w:p>
              </w:tc>
              <w:tc>
                <w:tcPr>
                  <w:tcW w:w="637" w:type="dxa"/>
                  <w:tcBorders>
                    <w:tl2br w:val="nil"/>
                    <w:tr2bl w:val="nil"/>
                  </w:tcBorders>
                  <w:vAlign w:val="center"/>
                </w:tcPr>
                <w:p>
                  <w:pPr>
                    <w:pStyle w:val="46"/>
                    <w:rPr>
                      <w:rFonts w:hint="default" w:eastAsia="宋体"/>
                      <w:color w:val="auto"/>
                      <w:lang w:val="en-US" w:eastAsia="zh-CN"/>
                    </w:rPr>
                  </w:pPr>
                  <w:r>
                    <w:rPr>
                      <w:rFonts w:hint="eastAsia"/>
                      <w:color w:val="auto"/>
                      <w:lang w:val="en-US" w:eastAsia="zh-CN"/>
                    </w:rPr>
                    <w:t>0.15</w:t>
                  </w:r>
                </w:p>
              </w:tc>
              <w:tc>
                <w:tcPr>
                  <w:tcW w:w="525" w:type="dxa"/>
                  <w:vMerge w:val="restart"/>
                  <w:tcBorders>
                    <w:tl2br w:val="nil"/>
                    <w:tr2bl w:val="nil"/>
                  </w:tcBorders>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T/In</w:t>
                  </w:r>
                </w:p>
              </w:tc>
              <w:tc>
                <w:tcPr>
                  <w:tcW w:w="630" w:type="dxa"/>
                  <w:tcBorders>
                    <w:tl2br w:val="nil"/>
                    <w:tr2bl w:val="nil"/>
                  </w:tcBorders>
                  <w:vAlign w:val="center"/>
                </w:tcPr>
                <w:p>
                  <w:pPr>
                    <w:pStyle w:val="46"/>
                    <w:rPr>
                      <w:rFonts w:hint="default" w:eastAsia="宋体"/>
                      <w:color w:val="auto"/>
                      <w:lang w:val="en-US" w:eastAsia="zh-CN"/>
                    </w:rPr>
                  </w:pPr>
                  <w:r>
                    <w:rPr>
                      <w:rFonts w:hint="eastAsia"/>
                      <w:color w:val="auto"/>
                      <w:lang w:val="en-US" w:eastAsia="zh-CN"/>
                    </w:rPr>
                    <w:t>直接回收</w:t>
                  </w:r>
                </w:p>
              </w:tc>
              <w:tc>
                <w:tcPr>
                  <w:tcW w:w="1300" w:type="dxa"/>
                  <w:tcBorders>
                    <w:tl2br w:val="nil"/>
                    <w:tr2bl w:val="nil"/>
                  </w:tcBorders>
                  <w:vAlign w:val="center"/>
                </w:tcPr>
                <w:p>
                  <w:pPr>
                    <w:pStyle w:val="46"/>
                    <w:rPr>
                      <w:color w:val="auto"/>
                    </w:rPr>
                  </w:pPr>
                  <w:r>
                    <w:rPr>
                      <w:rFonts w:hint="default"/>
                      <w:color w:val="auto"/>
                      <w:highlight w:val="none"/>
                      <w:lang w:val="en-US" w:eastAsia="zh-CN"/>
                    </w:rPr>
                    <w:t>由供应商回收重复利用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vMerge w:val="continue"/>
                  <w:tcBorders>
                    <w:tl2br w:val="nil"/>
                    <w:tr2bl w:val="nil"/>
                  </w:tcBorders>
                  <w:vAlign w:val="center"/>
                </w:tcPr>
                <w:p>
                  <w:pPr>
                    <w:pStyle w:val="46"/>
                    <w:rPr>
                      <w:rFonts w:hint="eastAsia"/>
                      <w:color w:val="auto"/>
                    </w:rPr>
                  </w:pPr>
                </w:p>
              </w:tc>
              <w:tc>
                <w:tcPr>
                  <w:tcW w:w="793" w:type="dxa"/>
                  <w:vMerge w:val="continue"/>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p>
              </w:tc>
              <w:tc>
                <w:tcPr>
                  <w:tcW w:w="1184" w:type="dxa"/>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废油墨桶、废粘合剂桶</w:t>
                  </w:r>
                </w:p>
              </w:tc>
              <w:tc>
                <w:tcPr>
                  <w:tcW w:w="632" w:type="dxa"/>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油墨、粘合剂</w:t>
                  </w:r>
                </w:p>
              </w:tc>
              <w:tc>
                <w:tcPr>
                  <w:tcW w:w="474" w:type="dxa"/>
                  <w:vMerge w:val="continue"/>
                  <w:tcBorders>
                    <w:tl2br w:val="nil"/>
                    <w:tr2bl w:val="nil"/>
                  </w:tcBorders>
                  <w:vAlign w:val="center"/>
                </w:tcPr>
                <w:p>
                  <w:pPr>
                    <w:pStyle w:val="46"/>
                    <w:rPr>
                      <w:rFonts w:hint="eastAsia"/>
                      <w:color w:val="auto"/>
                    </w:rPr>
                  </w:pPr>
                </w:p>
              </w:tc>
              <w:tc>
                <w:tcPr>
                  <w:tcW w:w="686" w:type="dxa"/>
                  <w:vMerge w:val="continue"/>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p>
              </w:tc>
              <w:tc>
                <w:tcPr>
                  <w:tcW w:w="1204" w:type="dxa"/>
                  <w:vMerge w:val="continue"/>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p>
              </w:tc>
              <w:tc>
                <w:tcPr>
                  <w:tcW w:w="637" w:type="dxa"/>
                  <w:tcBorders>
                    <w:tl2br w:val="nil"/>
                    <w:tr2bl w:val="nil"/>
                  </w:tcBorders>
                  <w:shd w:val="clear" w:color="auto" w:fill="auto"/>
                  <w:vAlign w:val="center"/>
                </w:tcPr>
                <w:p>
                  <w:pPr>
                    <w:pStyle w:val="46"/>
                    <w:rPr>
                      <w:rFonts w:hint="default" w:ascii="Times New Roman" w:hAnsi="Times New Roman" w:eastAsia="宋体" w:cs="Times New Roman"/>
                      <w:color w:val="auto"/>
                      <w:kern w:val="2"/>
                      <w:sz w:val="21"/>
                      <w:szCs w:val="22"/>
                      <w:lang w:val="en-US" w:eastAsia="zh-CN" w:bidi="ar-SA"/>
                    </w:rPr>
                  </w:pPr>
                  <w:r>
                    <w:rPr>
                      <w:rFonts w:hint="eastAsia"/>
                      <w:color w:val="auto"/>
                      <w:lang w:val="en-US" w:eastAsia="zh-CN"/>
                    </w:rPr>
                    <w:t>2.85</w:t>
                  </w:r>
                </w:p>
              </w:tc>
              <w:tc>
                <w:tcPr>
                  <w:tcW w:w="525" w:type="dxa"/>
                  <w:vMerge w:val="continue"/>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p>
              </w:tc>
              <w:tc>
                <w:tcPr>
                  <w:tcW w:w="630" w:type="dxa"/>
                  <w:vMerge w:val="restart"/>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危废仓库20m</w:t>
                  </w:r>
                  <w:r>
                    <w:rPr>
                      <w:rFonts w:hint="eastAsia"/>
                      <w:color w:val="auto"/>
                      <w:vertAlign w:val="superscript"/>
                    </w:rPr>
                    <w:t>2</w:t>
                  </w:r>
                </w:p>
              </w:tc>
              <w:tc>
                <w:tcPr>
                  <w:tcW w:w="1300" w:type="dxa"/>
                  <w:vMerge w:val="restart"/>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定期委托有危废资质单位处置</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tcBorders>
                    <w:tl2br w:val="nil"/>
                    <w:tr2bl w:val="nil"/>
                  </w:tcBorders>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5</w:t>
                  </w:r>
                </w:p>
              </w:tc>
              <w:tc>
                <w:tcPr>
                  <w:tcW w:w="793" w:type="dxa"/>
                  <w:tcBorders>
                    <w:tl2br w:val="nil"/>
                    <w:tr2bl w:val="nil"/>
                  </w:tcBorders>
                  <w:vAlign w:val="center"/>
                </w:tcPr>
                <w:p>
                  <w:pPr>
                    <w:pStyle w:val="46"/>
                    <w:rPr>
                      <w:color w:val="auto"/>
                    </w:rPr>
                  </w:pPr>
                  <w:r>
                    <w:rPr>
                      <w:rFonts w:hint="eastAsia"/>
                      <w:color w:val="auto"/>
                    </w:rPr>
                    <w:t>印刷</w:t>
                  </w:r>
                </w:p>
              </w:tc>
              <w:tc>
                <w:tcPr>
                  <w:tcW w:w="1184" w:type="dxa"/>
                  <w:tcBorders>
                    <w:tl2br w:val="nil"/>
                    <w:tr2bl w:val="nil"/>
                  </w:tcBorders>
                  <w:vAlign w:val="center"/>
                </w:tcPr>
                <w:p>
                  <w:pPr>
                    <w:pStyle w:val="46"/>
                    <w:rPr>
                      <w:color w:val="auto"/>
                    </w:rPr>
                  </w:pPr>
                  <w:r>
                    <w:rPr>
                      <w:rFonts w:hint="eastAsia"/>
                      <w:color w:val="auto"/>
                    </w:rPr>
                    <w:t>废油墨</w:t>
                  </w:r>
                </w:p>
              </w:tc>
              <w:tc>
                <w:tcPr>
                  <w:tcW w:w="632" w:type="dxa"/>
                  <w:tcBorders>
                    <w:tl2br w:val="nil"/>
                    <w:tr2bl w:val="nil"/>
                  </w:tcBorders>
                  <w:vAlign w:val="center"/>
                </w:tcPr>
                <w:p>
                  <w:pPr>
                    <w:pStyle w:val="46"/>
                    <w:rPr>
                      <w:color w:val="auto"/>
                    </w:rPr>
                  </w:pPr>
                  <w:r>
                    <w:rPr>
                      <w:rFonts w:hint="eastAsia"/>
                      <w:color w:val="auto"/>
                    </w:rPr>
                    <w:t>废油墨</w:t>
                  </w:r>
                </w:p>
              </w:tc>
              <w:tc>
                <w:tcPr>
                  <w:tcW w:w="474" w:type="dxa"/>
                  <w:vMerge w:val="continue"/>
                  <w:tcBorders>
                    <w:tl2br w:val="nil"/>
                    <w:tr2bl w:val="nil"/>
                  </w:tcBorders>
                  <w:vAlign w:val="center"/>
                </w:tcPr>
                <w:p>
                  <w:pPr>
                    <w:pStyle w:val="46"/>
                    <w:rPr>
                      <w:color w:val="auto"/>
                    </w:rPr>
                  </w:pPr>
                </w:p>
              </w:tc>
              <w:tc>
                <w:tcPr>
                  <w:tcW w:w="686" w:type="dxa"/>
                  <w:tcBorders>
                    <w:tl2br w:val="nil"/>
                    <w:tr2bl w:val="nil"/>
                  </w:tcBorders>
                  <w:vAlign w:val="center"/>
                </w:tcPr>
                <w:p>
                  <w:pPr>
                    <w:pStyle w:val="46"/>
                    <w:rPr>
                      <w:color w:val="auto"/>
                    </w:rPr>
                  </w:pPr>
                  <w:r>
                    <w:rPr>
                      <w:rFonts w:hint="eastAsia"/>
                      <w:color w:val="auto"/>
                    </w:rPr>
                    <w:t>HW12</w:t>
                  </w:r>
                </w:p>
              </w:tc>
              <w:tc>
                <w:tcPr>
                  <w:tcW w:w="1204" w:type="dxa"/>
                  <w:tcBorders>
                    <w:tl2br w:val="nil"/>
                    <w:tr2bl w:val="nil"/>
                  </w:tcBorders>
                  <w:vAlign w:val="center"/>
                </w:tcPr>
                <w:p>
                  <w:pPr>
                    <w:pStyle w:val="46"/>
                    <w:rPr>
                      <w:color w:val="auto"/>
                    </w:rPr>
                  </w:pPr>
                  <w:r>
                    <w:rPr>
                      <w:rFonts w:hint="eastAsia"/>
                      <w:color w:val="auto"/>
                    </w:rPr>
                    <w:t>900-256-12</w:t>
                  </w:r>
                </w:p>
              </w:tc>
              <w:tc>
                <w:tcPr>
                  <w:tcW w:w="637" w:type="dxa"/>
                  <w:tcBorders>
                    <w:tl2br w:val="nil"/>
                    <w:tr2bl w:val="nil"/>
                  </w:tcBorders>
                  <w:vAlign w:val="center"/>
                </w:tcPr>
                <w:p>
                  <w:pPr>
                    <w:pStyle w:val="46"/>
                    <w:rPr>
                      <w:color w:val="auto"/>
                    </w:rPr>
                  </w:pPr>
                  <w:r>
                    <w:rPr>
                      <w:rFonts w:hint="eastAsia"/>
                      <w:color w:val="auto"/>
                    </w:rPr>
                    <w:t>0.033</w:t>
                  </w:r>
                </w:p>
              </w:tc>
              <w:tc>
                <w:tcPr>
                  <w:tcW w:w="525" w:type="dxa"/>
                  <w:tcBorders>
                    <w:tl2br w:val="nil"/>
                    <w:tr2bl w:val="nil"/>
                  </w:tcBorders>
                  <w:vAlign w:val="center"/>
                </w:tcPr>
                <w:p>
                  <w:pPr>
                    <w:pStyle w:val="46"/>
                    <w:rPr>
                      <w:color w:val="auto"/>
                    </w:rPr>
                  </w:pPr>
                  <w:r>
                    <w:rPr>
                      <w:rFonts w:hint="eastAsia"/>
                      <w:color w:val="auto"/>
                    </w:rPr>
                    <w:t>T/I/C</w:t>
                  </w:r>
                </w:p>
              </w:tc>
              <w:tc>
                <w:tcPr>
                  <w:tcW w:w="630" w:type="dxa"/>
                  <w:vMerge w:val="continue"/>
                  <w:tcBorders>
                    <w:tl2br w:val="nil"/>
                    <w:tr2bl w:val="nil"/>
                  </w:tcBorders>
                  <w:vAlign w:val="center"/>
                </w:tcPr>
                <w:p>
                  <w:pPr>
                    <w:pStyle w:val="46"/>
                    <w:rPr>
                      <w:color w:val="auto"/>
                    </w:rPr>
                  </w:pPr>
                </w:p>
              </w:tc>
              <w:tc>
                <w:tcPr>
                  <w:tcW w:w="1300" w:type="dxa"/>
                  <w:vMerge w:val="continue"/>
                  <w:tcBorders>
                    <w:tl2br w:val="nil"/>
                    <w:tr2bl w:val="nil"/>
                  </w:tcBorders>
                  <w:vAlign w:val="center"/>
                </w:tcPr>
                <w:p>
                  <w:pPr>
                    <w:pStyle w:val="46"/>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tcBorders>
                    <w:tl2br w:val="nil"/>
                    <w:tr2bl w:val="nil"/>
                  </w:tcBorders>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6</w:t>
                  </w:r>
                </w:p>
              </w:tc>
              <w:tc>
                <w:tcPr>
                  <w:tcW w:w="793" w:type="dxa"/>
                  <w:tcBorders>
                    <w:tl2br w:val="nil"/>
                    <w:tr2bl w:val="nil"/>
                  </w:tcBorders>
                  <w:vAlign w:val="center"/>
                </w:tcPr>
                <w:p>
                  <w:pPr>
                    <w:pStyle w:val="46"/>
                    <w:rPr>
                      <w:color w:val="auto"/>
                    </w:rPr>
                  </w:pPr>
                  <w:r>
                    <w:rPr>
                      <w:rFonts w:hint="eastAsia"/>
                      <w:color w:val="auto"/>
                    </w:rPr>
                    <w:t>复合</w:t>
                  </w:r>
                </w:p>
              </w:tc>
              <w:tc>
                <w:tcPr>
                  <w:tcW w:w="1184" w:type="dxa"/>
                  <w:tcBorders>
                    <w:tl2br w:val="nil"/>
                    <w:tr2bl w:val="nil"/>
                  </w:tcBorders>
                  <w:vAlign w:val="center"/>
                </w:tcPr>
                <w:p>
                  <w:pPr>
                    <w:pStyle w:val="46"/>
                    <w:rPr>
                      <w:color w:val="auto"/>
                    </w:rPr>
                  </w:pPr>
                  <w:r>
                    <w:rPr>
                      <w:rFonts w:hint="eastAsia"/>
                      <w:color w:val="auto"/>
                    </w:rPr>
                    <w:t>废粘合剂</w:t>
                  </w:r>
                </w:p>
              </w:tc>
              <w:tc>
                <w:tcPr>
                  <w:tcW w:w="632" w:type="dxa"/>
                  <w:tcBorders>
                    <w:tl2br w:val="nil"/>
                    <w:tr2bl w:val="nil"/>
                  </w:tcBorders>
                  <w:vAlign w:val="center"/>
                </w:tcPr>
                <w:p>
                  <w:pPr>
                    <w:pStyle w:val="46"/>
                    <w:rPr>
                      <w:color w:val="auto"/>
                    </w:rPr>
                  </w:pPr>
                  <w:r>
                    <w:rPr>
                      <w:rFonts w:hint="eastAsia"/>
                      <w:color w:val="auto"/>
                    </w:rPr>
                    <w:t>废粘合剂</w:t>
                  </w:r>
                </w:p>
              </w:tc>
              <w:tc>
                <w:tcPr>
                  <w:tcW w:w="474" w:type="dxa"/>
                  <w:vMerge w:val="continue"/>
                  <w:tcBorders>
                    <w:tl2br w:val="nil"/>
                    <w:tr2bl w:val="nil"/>
                  </w:tcBorders>
                  <w:vAlign w:val="center"/>
                </w:tcPr>
                <w:p>
                  <w:pPr>
                    <w:pStyle w:val="46"/>
                    <w:rPr>
                      <w:color w:val="auto"/>
                    </w:rPr>
                  </w:pPr>
                </w:p>
              </w:tc>
              <w:tc>
                <w:tcPr>
                  <w:tcW w:w="686" w:type="dxa"/>
                  <w:tcBorders>
                    <w:tl2br w:val="nil"/>
                    <w:tr2bl w:val="nil"/>
                  </w:tcBorders>
                  <w:vAlign w:val="center"/>
                </w:tcPr>
                <w:p>
                  <w:pPr>
                    <w:pStyle w:val="46"/>
                    <w:rPr>
                      <w:color w:val="auto"/>
                    </w:rPr>
                  </w:pPr>
                  <w:r>
                    <w:rPr>
                      <w:rFonts w:hint="eastAsia"/>
                      <w:color w:val="auto"/>
                    </w:rPr>
                    <w:t>HW13</w:t>
                  </w:r>
                </w:p>
              </w:tc>
              <w:tc>
                <w:tcPr>
                  <w:tcW w:w="1204" w:type="dxa"/>
                  <w:tcBorders>
                    <w:tl2br w:val="nil"/>
                    <w:tr2bl w:val="nil"/>
                  </w:tcBorders>
                  <w:vAlign w:val="center"/>
                </w:tcPr>
                <w:p>
                  <w:pPr>
                    <w:pStyle w:val="46"/>
                    <w:rPr>
                      <w:color w:val="auto"/>
                    </w:rPr>
                  </w:pPr>
                  <w:r>
                    <w:rPr>
                      <w:rFonts w:hint="eastAsia"/>
                      <w:color w:val="auto"/>
                    </w:rPr>
                    <w:t>900-014-13</w:t>
                  </w:r>
                </w:p>
              </w:tc>
              <w:tc>
                <w:tcPr>
                  <w:tcW w:w="637" w:type="dxa"/>
                  <w:tcBorders>
                    <w:tl2br w:val="nil"/>
                    <w:tr2bl w:val="nil"/>
                  </w:tcBorders>
                  <w:vAlign w:val="center"/>
                </w:tcPr>
                <w:p>
                  <w:pPr>
                    <w:pStyle w:val="46"/>
                    <w:rPr>
                      <w:color w:val="auto"/>
                    </w:rPr>
                  </w:pPr>
                  <w:r>
                    <w:rPr>
                      <w:rFonts w:hint="eastAsia"/>
                      <w:color w:val="auto"/>
                    </w:rPr>
                    <w:t>0.26</w:t>
                  </w:r>
                </w:p>
              </w:tc>
              <w:tc>
                <w:tcPr>
                  <w:tcW w:w="525" w:type="dxa"/>
                  <w:tcBorders>
                    <w:tl2br w:val="nil"/>
                    <w:tr2bl w:val="nil"/>
                  </w:tcBorders>
                  <w:vAlign w:val="center"/>
                </w:tcPr>
                <w:p>
                  <w:pPr>
                    <w:pStyle w:val="46"/>
                    <w:rPr>
                      <w:color w:val="auto"/>
                    </w:rPr>
                  </w:pPr>
                  <w:r>
                    <w:rPr>
                      <w:rFonts w:hint="eastAsia"/>
                      <w:color w:val="auto"/>
                    </w:rPr>
                    <w:t>T</w:t>
                  </w:r>
                </w:p>
              </w:tc>
              <w:tc>
                <w:tcPr>
                  <w:tcW w:w="630" w:type="dxa"/>
                  <w:vMerge w:val="continue"/>
                  <w:tcBorders>
                    <w:tl2br w:val="nil"/>
                    <w:tr2bl w:val="nil"/>
                  </w:tcBorders>
                  <w:vAlign w:val="center"/>
                </w:tcPr>
                <w:p>
                  <w:pPr>
                    <w:pStyle w:val="46"/>
                    <w:rPr>
                      <w:color w:val="auto"/>
                    </w:rPr>
                  </w:pPr>
                </w:p>
              </w:tc>
              <w:tc>
                <w:tcPr>
                  <w:tcW w:w="1300" w:type="dxa"/>
                  <w:vMerge w:val="continue"/>
                  <w:tcBorders>
                    <w:tl2br w:val="nil"/>
                    <w:tr2bl w:val="nil"/>
                  </w:tcBorders>
                  <w:vAlign w:val="center"/>
                </w:tcPr>
                <w:p>
                  <w:pPr>
                    <w:pStyle w:val="46"/>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tcBorders>
                    <w:tl2br w:val="nil"/>
                    <w:tr2bl w:val="nil"/>
                  </w:tcBorders>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7</w:t>
                  </w:r>
                </w:p>
              </w:tc>
              <w:tc>
                <w:tcPr>
                  <w:tcW w:w="793" w:type="dxa"/>
                  <w:tcBorders>
                    <w:tl2br w:val="nil"/>
                    <w:tr2bl w:val="nil"/>
                  </w:tcBorders>
                  <w:vAlign w:val="center"/>
                </w:tcPr>
                <w:p>
                  <w:pPr>
                    <w:pStyle w:val="46"/>
                    <w:rPr>
                      <w:color w:val="auto"/>
                    </w:rPr>
                  </w:pPr>
                  <w:r>
                    <w:rPr>
                      <w:rFonts w:hint="eastAsia"/>
                      <w:color w:val="auto"/>
                    </w:rPr>
                    <w:t>有机废气处理设施</w:t>
                  </w:r>
                </w:p>
              </w:tc>
              <w:tc>
                <w:tcPr>
                  <w:tcW w:w="1184" w:type="dxa"/>
                  <w:tcBorders>
                    <w:tl2br w:val="nil"/>
                    <w:tr2bl w:val="nil"/>
                  </w:tcBorders>
                  <w:vAlign w:val="center"/>
                </w:tcPr>
                <w:p>
                  <w:pPr>
                    <w:pStyle w:val="46"/>
                    <w:rPr>
                      <w:color w:val="auto"/>
                    </w:rPr>
                  </w:pPr>
                  <w:r>
                    <w:rPr>
                      <w:rFonts w:hint="eastAsia"/>
                      <w:color w:val="auto"/>
                    </w:rPr>
                    <w:t>废活性炭</w:t>
                  </w:r>
                </w:p>
              </w:tc>
              <w:tc>
                <w:tcPr>
                  <w:tcW w:w="632" w:type="dxa"/>
                  <w:tcBorders>
                    <w:tl2br w:val="nil"/>
                    <w:tr2bl w:val="nil"/>
                  </w:tcBorders>
                  <w:vAlign w:val="center"/>
                </w:tcPr>
                <w:p>
                  <w:pPr>
                    <w:pStyle w:val="46"/>
                    <w:rPr>
                      <w:color w:val="auto"/>
                    </w:rPr>
                  </w:pPr>
                  <w:r>
                    <w:rPr>
                      <w:rFonts w:hint="eastAsia"/>
                      <w:color w:val="auto"/>
                    </w:rPr>
                    <w:t>有机废气</w:t>
                  </w:r>
                </w:p>
              </w:tc>
              <w:tc>
                <w:tcPr>
                  <w:tcW w:w="474" w:type="dxa"/>
                  <w:vMerge w:val="continue"/>
                  <w:tcBorders>
                    <w:tl2br w:val="nil"/>
                    <w:tr2bl w:val="nil"/>
                  </w:tcBorders>
                  <w:vAlign w:val="center"/>
                </w:tcPr>
                <w:p>
                  <w:pPr>
                    <w:pStyle w:val="46"/>
                    <w:rPr>
                      <w:color w:val="auto"/>
                    </w:rPr>
                  </w:pPr>
                </w:p>
              </w:tc>
              <w:tc>
                <w:tcPr>
                  <w:tcW w:w="686" w:type="dxa"/>
                  <w:tcBorders>
                    <w:tl2br w:val="nil"/>
                    <w:tr2bl w:val="nil"/>
                  </w:tcBorders>
                  <w:vAlign w:val="center"/>
                </w:tcPr>
                <w:p>
                  <w:pPr>
                    <w:pStyle w:val="46"/>
                    <w:rPr>
                      <w:color w:val="auto"/>
                    </w:rPr>
                  </w:pPr>
                  <w:r>
                    <w:rPr>
                      <w:rFonts w:hint="eastAsia"/>
                      <w:color w:val="auto"/>
                    </w:rPr>
                    <w:t>HW49</w:t>
                  </w:r>
                </w:p>
              </w:tc>
              <w:tc>
                <w:tcPr>
                  <w:tcW w:w="1204" w:type="dxa"/>
                  <w:tcBorders>
                    <w:tl2br w:val="nil"/>
                    <w:tr2bl w:val="nil"/>
                  </w:tcBorders>
                  <w:vAlign w:val="center"/>
                </w:tcPr>
                <w:p>
                  <w:pPr>
                    <w:pStyle w:val="46"/>
                    <w:rPr>
                      <w:color w:val="auto"/>
                    </w:rPr>
                  </w:pPr>
                  <w:r>
                    <w:rPr>
                      <w:rFonts w:hint="eastAsia"/>
                      <w:color w:val="auto"/>
                    </w:rPr>
                    <w:t>900-039-49</w:t>
                  </w:r>
                </w:p>
              </w:tc>
              <w:tc>
                <w:tcPr>
                  <w:tcW w:w="637" w:type="dxa"/>
                  <w:tcBorders>
                    <w:tl2br w:val="nil"/>
                    <w:tr2bl w:val="nil"/>
                  </w:tcBorders>
                  <w:vAlign w:val="center"/>
                </w:tcPr>
                <w:p>
                  <w:pPr>
                    <w:pStyle w:val="46"/>
                    <w:rPr>
                      <w:rFonts w:hint="default" w:eastAsia="宋体"/>
                      <w:color w:val="auto"/>
                      <w:lang w:val="en-US" w:eastAsia="zh-CN"/>
                    </w:rPr>
                  </w:pPr>
                  <w:r>
                    <w:rPr>
                      <w:rFonts w:hint="eastAsia"/>
                      <w:color w:val="auto"/>
                      <w:lang w:val="en-US" w:eastAsia="zh-CN"/>
                    </w:rPr>
                    <w:t>11.989</w:t>
                  </w:r>
                </w:p>
              </w:tc>
              <w:tc>
                <w:tcPr>
                  <w:tcW w:w="525" w:type="dxa"/>
                  <w:tcBorders>
                    <w:tl2br w:val="nil"/>
                    <w:tr2bl w:val="nil"/>
                  </w:tcBorders>
                  <w:vAlign w:val="center"/>
                </w:tcPr>
                <w:p>
                  <w:pPr>
                    <w:pStyle w:val="46"/>
                    <w:rPr>
                      <w:color w:val="auto"/>
                    </w:rPr>
                  </w:pPr>
                  <w:r>
                    <w:rPr>
                      <w:rFonts w:hint="eastAsia"/>
                      <w:color w:val="auto"/>
                    </w:rPr>
                    <w:t>T</w:t>
                  </w:r>
                </w:p>
              </w:tc>
              <w:tc>
                <w:tcPr>
                  <w:tcW w:w="630" w:type="dxa"/>
                  <w:vMerge w:val="continue"/>
                  <w:tcBorders>
                    <w:tl2br w:val="nil"/>
                    <w:tr2bl w:val="nil"/>
                  </w:tcBorders>
                  <w:vAlign w:val="center"/>
                </w:tcPr>
                <w:p>
                  <w:pPr>
                    <w:pStyle w:val="46"/>
                    <w:rPr>
                      <w:color w:val="auto"/>
                    </w:rPr>
                  </w:pPr>
                </w:p>
              </w:tc>
              <w:tc>
                <w:tcPr>
                  <w:tcW w:w="1300" w:type="dxa"/>
                  <w:vMerge w:val="continue"/>
                  <w:tcBorders>
                    <w:tl2br w:val="nil"/>
                    <w:tr2bl w:val="nil"/>
                  </w:tcBorders>
                  <w:vAlign w:val="center"/>
                </w:tcPr>
                <w:p>
                  <w:pPr>
                    <w:pStyle w:val="46"/>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tcBorders>
                    <w:tl2br w:val="nil"/>
                    <w:tr2bl w:val="nil"/>
                  </w:tcBorders>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8</w:t>
                  </w:r>
                </w:p>
              </w:tc>
              <w:tc>
                <w:tcPr>
                  <w:tcW w:w="793" w:type="dxa"/>
                  <w:tcBorders>
                    <w:tl2br w:val="nil"/>
                    <w:tr2bl w:val="nil"/>
                  </w:tcBorders>
                  <w:vAlign w:val="center"/>
                </w:tcPr>
                <w:p>
                  <w:pPr>
                    <w:pStyle w:val="46"/>
                    <w:rPr>
                      <w:color w:val="auto"/>
                    </w:rPr>
                  </w:pPr>
                  <w:r>
                    <w:rPr>
                      <w:rFonts w:hint="eastAsia"/>
                      <w:color w:val="auto"/>
                    </w:rPr>
                    <w:t>擦拭印刷辊筒</w:t>
                  </w:r>
                </w:p>
              </w:tc>
              <w:tc>
                <w:tcPr>
                  <w:tcW w:w="1184" w:type="dxa"/>
                  <w:tcBorders>
                    <w:tl2br w:val="nil"/>
                    <w:tr2bl w:val="nil"/>
                  </w:tcBorders>
                  <w:vAlign w:val="center"/>
                </w:tcPr>
                <w:p>
                  <w:pPr>
                    <w:pStyle w:val="46"/>
                    <w:rPr>
                      <w:color w:val="auto"/>
                    </w:rPr>
                  </w:pPr>
                  <w:r>
                    <w:rPr>
                      <w:rFonts w:hint="eastAsia"/>
                      <w:color w:val="auto"/>
                    </w:rPr>
                    <w:t>印刷滚筒擦拭废布</w:t>
                  </w:r>
                </w:p>
              </w:tc>
              <w:tc>
                <w:tcPr>
                  <w:tcW w:w="632" w:type="dxa"/>
                  <w:tcBorders>
                    <w:tl2br w:val="nil"/>
                    <w:tr2bl w:val="nil"/>
                  </w:tcBorders>
                  <w:vAlign w:val="center"/>
                </w:tcPr>
                <w:p>
                  <w:pPr>
                    <w:pStyle w:val="46"/>
                    <w:rPr>
                      <w:color w:val="auto"/>
                    </w:rPr>
                  </w:pPr>
                  <w:r>
                    <w:rPr>
                      <w:rFonts w:hint="eastAsia"/>
                      <w:color w:val="auto"/>
                    </w:rPr>
                    <w:t>油墨、有机溶剂</w:t>
                  </w:r>
                </w:p>
              </w:tc>
              <w:tc>
                <w:tcPr>
                  <w:tcW w:w="474" w:type="dxa"/>
                  <w:vMerge w:val="continue"/>
                  <w:tcBorders>
                    <w:tl2br w:val="nil"/>
                    <w:tr2bl w:val="nil"/>
                  </w:tcBorders>
                  <w:vAlign w:val="center"/>
                </w:tcPr>
                <w:p>
                  <w:pPr>
                    <w:pStyle w:val="46"/>
                    <w:rPr>
                      <w:color w:val="auto"/>
                    </w:rPr>
                  </w:pPr>
                </w:p>
              </w:tc>
              <w:tc>
                <w:tcPr>
                  <w:tcW w:w="686" w:type="dxa"/>
                  <w:tcBorders>
                    <w:tl2br w:val="nil"/>
                    <w:tr2bl w:val="nil"/>
                  </w:tcBorders>
                  <w:vAlign w:val="center"/>
                </w:tcPr>
                <w:p>
                  <w:pPr>
                    <w:pStyle w:val="46"/>
                    <w:rPr>
                      <w:color w:val="auto"/>
                    </w:rPr>
                  </w:pPr>
                  <w:r>
                    <w:rPr>
                      <w:rFonts w:hint="eastAsia"/>
                      <w:color w:val="auto"/>
                    </w:rPr>
                    <w:t>HW49</w:t>
                  </w:r>
                </w:p>
              </w:tc>
              <w:tc>
                <w:tcPr>
                  <w:tcW w:w="1204" w:type="dxa"/>
                  <w:tcBorders>
                    <w:tl2br w:val="nil"/>
                    <w:tr2bl w:val="nil"/>
                  </w:tcBorders>
                  <w:vAlign w:val="center"/>
                </w:tcPr>
                <w:p>
                  <w:pPr>
                    <w:pStyle w:val="46"/>
                    <w:rPr>
                      <w:color w:val="auto"/>
                    </w:rPr>
                  </w:pPr>
                  <w:r>
                    <w:rPr>
                      <w:rFonts w:hint="eastAsia"/>
                      <w:color w:val="auto"/>
                    </w:rPr>
                    <w:t>900-041-49</w:t>
                  </w:r>
                </w:p>
              </w:tc>
              <w:tc>
                <w:tcPr>
                  <w:tcW w:w="637" w:type="dxa"/>
                  <w:tcBorders>
                    <w:tl2br w:val="nil"/>
                    <w:tr2bl w:val="nil"/>
                  </w:tcBorders>
                  <w:vAlign w:val="center"/>
                </w:tcPr>
                <w:p>
                  <w:pPr>
                    <w:pStyle w:val="46"/>
                    <w:rPr>
                      <w:color w:val="auto"/>
                    </w:rPr>
                  </w:pPr>
                  <w:r>
                    <w:rPr>
                      <w:rFonts w:hint="eastAsia"/>
                      <w:color w:val="auto"/>
                    </w:rPr>
                    <w:t>0.45</w:t>
                  </w:r>
                </w:p>
              </w:tc>
              <w:tc>
                <w:tcPr>
                  <w:tcW w:w="525" w:type="dxa"/>
                  <w:tcBorders>
                    <w:tl2br w:val="nil"/>
                    <w:tr2bl w:val="nil"/>
                  </w:tcBorders>
                  <w:vAlign w:val="center"/>
                </w:tcPr>
                <w:p>
                  <w:pPr>
                    <w:pStyle w:val="46"/>
                    <w:rPr>
                      <w:color w:val="auto"/>
                    </w:rPr>
                  </w:pPr>
                  <w:r>
                    <w:rPr>
                      <w:rFonts w:hint="eastAsia"/>
                      <w:color w:val="auto"/>
                    </w:rPr>
                    <w:t>T/In</w:t>
                  </w:r>
                </w:p>
              </w:tc>
              <w:tc>
                <w:tcPr>
                  <w:tcW w:w="630" w:type="dxa"/>
                  <w:vMerge w:val="continue"/>
                  <w:tcBorders>
                    <w:tl2br w:val="nil"/>
                    <w:tr2bl w:val="nil"/>
                  </w:tcBorders>
                  <w:vAlign w:val="center"/>
                </w:tcPr>
                <w:p>
                  <w:pPr>
                    <w:pStyle w:val="46"/>
                    <w:rPr>
                      <w:color w:val="auto"/>
                    </w:rPr>
                  </w:pPr>
                </w:p>
              </w:tc>
              <w:tc>
                <w:tcPr>
                  <w:tcW w:w="1300" w:type="dxa"/>
                  <w:vMerge w:val="continue"/>
                  <w:tcBorders>
                    <w:tl2br w:val="nil"/>
                    <w:tr2bl w:val="nil"/>
                  </w:tcBorders>
                  <w:vAlign w:val="center"/>
                </w:tcPr>
                <w:p>
                  <w:pPr>
                    <w:pStyle w:val="46"/>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tcBorders>
                    <w:tl2br w:val="nil"/>
                    <w:tr2bl w:val="nil"/>
                  </w:tcBorders>
                  <w:shd w:val="clear" w:color="auto" w:fill="auto"/>
                  <w:vAlign w:val="center"/>
                </w:tcPr>
                <w:p>
                  <w:pPr>
                    <w:pStyle w:val="46"/>
                    <w:rPr>
                      <w:rFonts w:hint="eastAsia" w:eastAsia="宋体"/>
                      <w:color w:val="auto"/>
                      <w:lang w:val="en-US" w:eastAsia="zh-CN"/>
                    </w:rPr>
                  </w:pPr>
                  <w:r>
                    <w:rPr>
                      <w:rFonts w:hint="eastAsia"/>
                      <w:color w:val="auto"/>
                      <w:lang w:val="en-US" w:eastAsia="zh-CN"/>
                    </w:rPr>
                    <w:t>9</w:t>
                  </w:r>
                </w:p>
              </w:tc>
              <w:tc>
                <w:tcPr>
                  <w:tcW w:w="793" w:type="dxa"/>
                  <w:tcBorders>
                    <w:tl2br w:val="nil"/>
                    <w:tr2bl w:val="nil"/>
                  </w:tcBorders>
                  <w:vAlign w:val="center"/>
                </w:tcPr>
                <w:p>
                  <w:pPr>
                    <w:pStyle w:val="46"/>
                    <w:jc w:val="center"/>
                    <w:rPr>
                      <w:rFonts w:hint="default" w:eastAsia="宋体"/>
                      <w:color w:val="auto"/>
                      <w:lang w:val="en-US" w:eastAsia="zh-CN"/>
                    </w:rPr>
                  </w:pPr>
                  <w:r>
                    <w:rPr>
                      <w:rFonts w:hint="eastAsia"/>
                      <w:color w:val="auto"/>
                      <w:lang w:val="en-US" w:eastAsia="zh-CN"/>
                    </w:rPr>
                    <w:t>有机废气处理措施</w:t>
                  </w:r>
                </w:p>
              </w:tc>
              <w:tc>
                <w:tcPr>
                  <w:tcW w:w="1184" w:type="dxa"/>
                  <w:tcBorders>
                    <w:tl2br w:val="nil"/>
                    <w:tr2bl w:val="nil"/>
                  </w:tcBorders>
                  <w:vAlign w:val="center"/>
                </w:tcPr>
                <w:p>
                  <w:pPr>
                    <w:pStyle w:val="46"/>
                    <w:rPr>
                      <w:rFonts w:hint="default" w:eastAsia="宋体"/>
                      <w:color w:val="auto"/>
                      <w:lang w:val="en-US" w:eastAsia="zh-CN"/>
                    </w:rPr>
                  </w:pPr>
                  <w:r>
                    <w:rPr>
                      <w:rFonts w:hint="eastAsia"/>
                      <w:color w:val="auto"/>
                      <w:lang w:val="en-US" w:eastAsia="zh-CN"/>
                    </w:rPr>
                    <w:t>喷淋废液</w:t>
                  </w:r>
                </w:p>
              </w:tc>
              <w:tc>
                <w:tcPr>
                  <w:tcW w:w="632" w:type="dxa"/>
                  <w:tcBorders>
                    <w:tl2br w:val="nil"/>
                    <w:tr2bl w:val="nil"/>
                  </w:tcBorders>
                  <w:vAlign w:val="center"/>
                </w:tcPr>
                <w:p>
                  <w:pPr>
                    <w:pStyle w:val="46"/>
                    <w:rPr>
                      <w:rFonts w:hint="eastAsia"/>
                      <w:color w:val="auto"/>
                    </w:rPr>
                  </w:pPr>
                  <w:r>
                    <w:rPr>
                      <w:rFonts w:hint="eastAsia"/>
                      <w:color w:val="auto"/>
                    </w:rPr>
                    <w:t>有机废气</w:t>
                  </w:r>
                </w:p>
              </w:tc>
              <w:tc>
                <w:tcPr>
                  <w:tcW w:w="474" w:type="dxa"/>
                  <w:vMerge w:val="continue"/>
                  <w:tcBorders>
                    <w:tl2br w:val="nil"/>
                    <w:tr2bl w:val="nil"/>
                  </w:tcBorders>
                  <w:vAlign w:val="center"/>
                </w:tcPr>
                <w:p>
                  <w:pPr>
                    <w:pStyle w:val="46"/>
                    <w:rPr>
                      <w:color w:val="auto"/>
                    </w:rPr>
                  </w:pPr>
                </w:p>
              </w:tc>
              <w:tc>
                <w:tcPr>
                  <w:tcW w:w="686" w:type="dxa"/>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HW49</w:t>
                  </w:r>
                </w:p>
              </w:tc>
              <w:tc>
                <w:tcPr>
                  <w:tcW w:w="1204" w:type="dxa"/>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lang w:val="en-US" w:eastAsia="zh-CN"/>
                    </w:rPr>
                    <w:t>722</w:t>
                  </w:r>
                  <w:r>
                    <w:rPr>
                      <w:rFonts w:hint="eastAsia"/>
                      <w:color w:val="auto"/>
                    </w:rPr>
                    <w:t>-0</w:t>
                  </w:r>
                  <w:r>
                    <w:rPr>
                      <w:rFonts w:hint="eastAsia"/>
                      <w:color w:val="auto"/>
                      <w:lang w:val="en-US" w:eastAsia="zh-CN"/>
                    </w:rPr>
                    <w:t>06</w:t>
                  </w:r>
                  <w:r>
                    <w:rPr>
                      <w:rFonts w:hint="eastAsia"/>
                      <w:color w:val="auto"/>
                    </w:rPr>
                    <w:t>-49</w:t>
                  </w:r>
                </w:p>
              </w:tc>
              <w:tc>
                <w:tcPr>
                  <w:tcW w:w="637" w:type="dxa"/>
                  <w:tcBorders>
                    <w:tl2br w:val="nil"/>
                    <w:tr2bl w:val="nil"/>
                  </w:tcBorders>
                  <w:shd w:val="clear" w:color="auto" w:fill="auto"/>
                  <w:vAlign w:val="center"/>
                </w:tcPr>
                <w:p>
                  <w:pPr>
                    <w:pStyle w:val="46"/>
                    <w:rPr>
                      <w:rFonts w:hint="default" w:ascii="Times New Roman" w:hAnsi="Times New Roman" w:eastAsia="宋体" w:cs="Times New Roman"/>
                      <w:color w:val="auto"/>
                      <w:kern w:val="2"/>
                      <w:sz w:val="21"/>
                      <w:szCs w:val="22"/>
                      <w:lang w:val="en-US" w:eastAsia="zh-CN" w:bidi="ar-SA"/>
                    </w:rPr>
                  </w:pPr>
                  <w:r>
                    <w:rPr>
                      <w:rFonts w:hint="eastAsia"/>
                      <w:color w:val="auto"/>
                      <w:lang w:val="en-US" w:eastAsia="zh-CN"/>
                    </w:rPr>
                    <w:t>8</w:t>
                  </w:r>
                </w:p>
              </w:tc>
              <w:tc>
                <w:tcPr>
                  <w:tcW w:w="525" w:type="dxa"/>
                  <w:tcBorders>
                    <w:tl2br w:val="nil"/>
                    <w:tr2bl w:val="nil"/>
                  </w:tcBorders>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T/In</w:t>
                  </w:r>
                </w:p>
              </w:tc>
              <w:tc>
                <w:tcPr>
                  <w:tcW w:w="630" w:type="dxa"/>
                  <w:vMerge w:val="continue"/>
                  <w:tcBorders>
                    <w:tl2br w:val="nil"/>
                    <w:tr2bl w:val="nil"/>
                  </w:tcBorders>
                  <w:vAlign w:val="center"/>
                </w:tcPr>
                <w:p>
                  <w:pPr>
                    <w:pStyle w:val="46"/>
                    <w:rPr>
                      <w:color w:val="auto"/>
                    </w:rPr>
                  </w:pPr>
                </w:p>
              </w:tc>
              <w:tc>
                <w:tcPr>
                  <w:tcW w:w="1300" w:type="dxa"/>
                  <w:vMerge w:val="continue"/>
                  <w:tcBorders>
                    <w:tl2br w:val="nil"/>
                    <w:tr2bl w:val="nil"/>
                  </w:tcBorders>
                  <w:vAlign w:val="center"/>
                </w:tcPr>
                <w:p>
                  <w:pPr>
                    <w:pStyle w:val="46"/>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439" w:type="dxa"/>
                  <w:tcBorders>
                    <w:tl2br w:val="nil"/>
                    <w:tr2bl w:val="nil"/>
                  </w:tcBorders>
                  <w:shd w:val="clear" w:color="auto" w:fill="auto"/>
                  <w:vAlign w:val="center"/>
                </w:tcPr>
                <w:p>
                  <w:pPr>
                    <w:pStyle w:val="46"/>
                    <w:rPr>
                      <w:rFonts w:hint="default" w:ascii="Times New Roman" w:hAnsi="Times New Roman" w:eastAsia="宋体" w:cs="Times New Roman"/>
                      <w:color w:val="auto"/>
                      <w:kern w:val="2"/>
                      <w:sz w:val="21"/>
                      <w:szCs w:val="22"/>
                      <w:lang w:val="en-US" w:eastAsia="zh-CN" w:bidi="ar-SA"/>
                    </w:rPr>
                  </w:pPr>
                  <w:r>
                    <w:rPr>
                      <w:rFonts w:hint="eastAsia" w:cs="Times New Roman"/>
                      <w:color w:val="auto"/>
                      <w:kern w:val="2"/>
                      <w:sz w:val="21"/>
                      <w:szCs w:val="22"/>
                      <w:lang w:val="en-US" w:eastAsia="zh-CN" w:bidi="ar-SA"/>
                    </w:rPr>
                    <w:t>10</w:t>
                  </w:r>
                </w:p>
              </w:tc>
              <w:tc>
                <w:tcPr>
                  <w:tcW w:w="793" w:type="dxa"/>
                  <w:tcBorders>
                    <w:tl2br w:val="nil"/>
                    <w:tr2bl w:val="nil"/>
                  </w:tcBorders>
                  <w:vAlign w:val="center"/>
                </w:tcPr>
                <w:p>
                  <w:pPr>
                    <w:pStyle w:val="46"/>
                    <w:rPr>
                      <w:color w:val="auto"/>
                    </w:rPr>
                  </w:pPr>
                  <w:r>
                    <w:rPr>
                      <w:rFonts w:hint="eastAsia"/>
                      <w:color w:val="auto"/>
                    </w:rPr>
                    <w:t>职工</w:t>
                  </w:r>
                </w:p>
                <w:p>
                  <w:pPr>
                    <w:pStyle w:val="46"/>
                    <w:rPr>
                      <w:color w:val="auto"/>
                    </w:rPr>
                  </w:pPr>
                  <w:r>
                    <w:rPr>
                      <w:rFonts w:hint="eastAsia"/>
                      <w:color w:val="auto"/>
                    </w:rPr>
                    <w:t>生活</w:t>
                  </w:r>
                </w:p>
              </w:tc>
              <w:tc>
                <w:tcPr>
                  <w:tcW w:w="1184" w:type="dxa"/>
                  <w:tcBorders>
                    <w:tl2br w:val="nil"/>
                    <w:tr2bl w:val="nil"/>
                  </w:tcBorders>
                  <w:vAlign w:val="center"/>
                </w:tcPr>
                <w:p>
                  <w:pPr>
                    <w:pStyle w:val="46"/>
                    <w:rPr>
                      <w:color w:val="auto"/>
                    </w:rPr>
                  </w:pPr>
                  <w:r>
                    <w:rPr>
                      <w:rFonts w:hint="eastAsia"/>
                      <w:color w:val="auto"/>
                    </w:rPr>
                    <w:t>生活垃圾</w:t>
                  </w:r>
                </w:p>
              </w:tc>
              <w:tc>
                <w:tcPr>
                  <w:tcW w:w="632" w:type="dxa"/>
                  <w:tcBorders>
                    <w:tl2br w:val="nil"/>
                    <w:tr2bl w:val="nil"/>
                  </w:tcBorders>
                  <w:vAlign w:val="center"/>
                </w:tcPr>
                <w:p>
                  <w:pPr>
                    <w:pStyle w:val="46"/>
                    <w:rPr>
                      <w:color w:val="auto"/>
                    </w:rPr>
                  </w:pPr>
                  <w:r>
                    <w:rPr>
                      <w:rFonts w:hint="eastAsia"/>
                      <w:color w:val="auto"/>
                    </w:rPr>
                    <w:t>果皮、纸屑</w:t>
                  </w:r>
                </w:p>
              </w:tc>
              <w:tc>
                <w:tcPr>
                  <w:tcW w:w="474" w:type="dxa"/>
                  <w:tcBorders>
                    <w:tl2br w:val="nil"/>
                    <w:tr2bl w:val="nil"/>
                  </w:tcBorders>
                  <w:vAlign w:val="center"/>
                </w:tcPr>
                <w:p>
                  <w:pPr>
                    <w:pStyle w:val="46"/>
                    <w:rPr>
                      <w:color w:val="auto"/>
                    </w:rPr>
                  </w:pPr>
                  <w:r>
                    <w:rPr>
                      <w:rFonts w:hint="eastAsia"/>
                      <w:color w:val="auto"/>
                    </w:rPr>
                    <w:t>/</w:t>
                  </w:r>
                </w:p>
              </w:tc>
              <w:tc>
                <w:tcPr>
                  <w:tcW w:w="686" w:type="dxa"/>
                  <w:tcBorders>
                    <w:tl2br w:val="nil"/>
                    <w:tr2bl w:val="nil"/>
                  </w:tcBorders>
                  <w:vAlign w:val="center"/>
                </w:tcPr>
                <w:p>
                  <w:pPr>
                    <w:pStyle w:val="46"/>
                    <w:rPr>
                      <w:color w:val="auto"/>
                    </w:rPr>
                  </w:pPr>
                  <w:r>
                    <w:rPr>
                      <w:rFonts w:hint="eastAsia"/>
                      <w:color w:val="auto"/>
                    </w:rPr>
                    <w:t>/</w:t>
                  </w:r>
                </w:p>
              </w:tc>
              <w:tc>
                <w:tcPr>
                  <w:tcW w:w="1204" w:type="dxa"/>
                  <w:tcBorders>
                    <w:tl2br w:val="nil"/>
                    <w:tr2bl w:val="nil"/>
                  </w:tcBorders>
                  <w:vAlign w:val="center"/>
                </w:tcPr>
                <w:p>
                  <w:pPr>
                    <w:pStyle w:val="46"/>
                    <w:rPr>
                      <w:color w:val="auto"/>
                    </w:rPr>
                  </w:pPr>
                  <w:r>
                    <w:rPr>
                      <w:rFonts w:hint="eastAsia"/>
                      <w:color w:val="auto"/>
                    </w:rPr>
                    <w:t>/</w:t>
                  </w:r>
                </w:p>
              </w:tc>
              <w:tc>
                <w:tcPr>
                  <w:tcW w:w="637" w:type="dxa"/>
                  <w:tcBorders>
                    <w:tl2br w:val="nil"/>
                    <w:tr2bl w:val="nil"/>
                  </w:tcBorders>
                  <w:vAlign w:val="center"/>
                </w:tcPr>
                <w:p>
                  <w:pPr>
                    <w:pStyle w:val="46"/>
                    <w:rPr>
                      <w:color w:val="auto"/>
                    </w:rPr>
                  </w:pPr>
                  <w:r>
                    <w:rPr>
                      <w:rFonts w:hint="eastAsia"/>
                      <w:color w:val="auto"/>
                    </w:rPr>
                    <w:t>18</w:t>
                  </w:r>
                </w:p>
              </w:tc>
              <w:tc>
                <w:tcPr>
                  <w:tcW w:w="525" w:type="dxa"/>
                  <w:tcBorders>
                    <w:tl2br w:val="nil"/>
                    <w:tr2bl w:val="nil"/>
                  </w:tcBorders>
                  <w:vAlign w:val="center"/>
                </w:tcPr>
                <w:p>
                  <w:pPr>
                    <w:pStyle w:val="46"/>
                    <w:rPr>
                      <w:color w:val="auto"/>
                    </w:rPr>
                  </w:pPr>
                  <w:r>
                    <w:rPr>
                      <w:rFonts w:hint="eastAsia"/>
                      <w:color w:val="auto"/>
                    </w:rPr>
                    <w:t>/</w:t>
                  </w:r>
                </w:p>
              </w:tc>
              <w:tc>
                <w:tcPr>
                  <w:tcW w:w="630" w:type="dxa"/>
                  <w:tcBorders>
                    <w:tl2br w:val="nil"/>
                    <w:tr2bl w:val="nil"/>
                  </w:tcBorders>
                  <w:vAlign w:val="center"/>
                </w:tcPr>
                <w:p>
                  <w:pPr>
                    <w:pStyle w:val="46"/>
                    <w:rPr>
                      <w:color w:val="auto"/>
                    </w:rPr>
                  </w:pPr>
                  <w:r>
                    <w:rPr>
                      <w:rFonts w:hint="eastAsia"/>
                      <w:color w:val="auto"/>
                    </w:rPr>
                    <w:t>垃圾桶</w:t>
                  </w:r>
                </w:p>
              </w:tc>
              <w:tc>
                <w:tcPr>
                  <w:tcW w:w="1300" w:type="dxa"/>
                  <w:tcBorders>
                    <w:tl2br w:val="nil"/>
                    <w:tr2bl w:val="nil"/>
                  </w:tcBorders>
                  <w:vAlign w:val="center"/>
                </w:tcPr>
                <w:p>
                  <w:pPr>
                    <w:pStyle w:val="46"/>
                    <w:rPr>
                      <w:color w:val="auto"/>
                    </w:rPr>
                  </w:pPr>
                  <w:r>
                    <w:rPr>
                      <w:color w:val="auto"/>
                    </w:rPr>
                    <w:t>由当地环卫部门定期清运处理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40" w:hRule="atLeast"/>
                <w:jc w:val="center"/>
              </w:trPr>
              <w:tc>
                <w:tcPr>
                  <w:tcW w:w="8504" w:type="dxa"/>
                  <w:gridSpan w:val="11"/>
                  <w:tcBorders>
                    <w:tl2br w:val="nil"/>
                    <w:tr2bl w:val="nil"/>
                  </w:tcBorders>
                  <w:shd w:val="clear" w:color="auto" w:fill="auto"/>
                  <w:vAlign w:val="center"/>
                </w:tcPr>
                <w:p>
                  <w:pPr>
                    <w:pStyle w:val="46"/>
                    <w:jc w:val="both"/>
                    <w:rPr>
                      <w:rFonts w:hint="eastAsia" w:eastAsia="宋体"/>
                      <w:color w:val="auto"/>
                      <w:lang w:val="en-US" w:eastAsia="zh-CN"/>
                    </w:rPr>
                  </w:pPr>
                  <w:r>
                    <w:rPr>
                      <w:rFonts w:hint="eastAsia"/>
                      <w:color w:val="auto"/>
                      <w:lang w:val="en-US" w:eastAsia="zh-CN"/>
                    </w:rPr>
                    <w:t>注：</w:t>
                  </w:r>
                  <w:r>
                    <w:rPr>
                      <w:rFonts w:hint="default"/>
                      <w:color w:val="auto"/>
                      <w:highlight w:val="none"/>
                      <w:lang w:val="en-US" w:eastAsia="zh-CN"/>
                    </w:rPr>
                    <w:t>根据《固体废物鉴别标准 通则》（GB34330-2017），任何不需要修复和加工即可用于其原始用途的物质，可不作为固体废物管理，废溶剂桶由供应商回收重复利用，可不按照固体废物管理。</w:t>
                  </w:r>
                </w:p>
              </w:tc>
            </w:tr>
          </w:tbl>
          <w:p>
            <w:pPr>
              <w:pStyle w:val="149"/>
              <w:spacing w:line="360" w:lineRule="auto"/>
              <w:ind w:firstLine="480" w:firstLineChars="200"/>
              <w:rPr>
                <w:rFonts w:ascii="Times New Roman" w:cs="Times New Roman"/>
                <w:color w:val="auto"/>
              </w:rPr>
            </w:pPr>
            <w:r>
              <w:rPr>
                <w:rFonts w:hint="eastAsia" w:ascii="Times New Roman" w:cs="Times New Roman"/>
                <w:color w:val="auto"/>
              </w:rPr>
              <w:t>扩建</w:t>
            </w:r>
            <w:r>
              <w:rPr>
                <w:rFonts w:ascii="Times New Roman" w:cs="Times New Roman"/>
                <w:color w:val="auto"/>
              </w:rPr>
              <w:t>项目的危险废物主要是</w:t>
            </w:r>
            <w:r>
              <w:rPr>
                <w:rFonts w:hint="eastAsia"/>
                <w:color w:val="auto"/>
              </w:rPr>
              <w:t>废油墨桶、废溶剂桶、废油墨、废粘合剂桶、废粘合剂、废活性炭、印刷滚筒擦拭废布</w:t>
            </w:r>
            <w:r>
              <w:rPr>
                <w:rFonts w:hint="eastAsia"/>
                <w:color w:val="auto"/>
                <w:lang w:eastAsia="zh-CN"/>
              </w:rPr>
              <w:t>、</w:t>
            </w:r>
            <w:r>
              <w:rPr>
                <w:rFonts w:hint="eastAsia"/>
                <w:color w:val="auto"/>
                <w:lang w:val="en-US" w:eastAsia="zh-CN"/>
              </w:rPr>
              <w:t>喷淋废液，</w:t>
            </w:r>
            <w:r>
              <w:rPr>
                <w:rFonts w:ascii="Times New Roman" w:cs="Times New Roman"/>
                <w:color w:val="auto"/>
              </w:rPr>
              <w:t>其名称、数量、类别、形态、危险特性和污染防治措施等内容，详见下</w:t>
            </w:r>
            <w:r>
              <w:rPr>
                <w:rFonts w:ascii="Times New Roman" w:cs="Times New Roman"/>
                <w:b/>
                <w:bCs/>
                <w:color w:val="auto"/>
              </w:rPr>
              <w:t>表</w:t>
            </w:r>
            <w:r>
              <w:rPr>
                <w:rFonts w:hint="eastAsia" w:ascii="Times New Roman" w:cs="Times New Roman"/>
                <w:b/>
                <w:bCs/>
                <w:color w:val="auto"/>
              </w:rPr>
              <w:t>4.4-2</w:t>
            </w:r>
            <w:r>
              <w:rPr>
                <w:rFonts w:ascii="Times New Roman" w:cs="Times New Roman"/>
                <w:color w:val="auto"/>
              </w:rPr>
              <w:t>。</w:t>
            </w:r>
          </w:p>
          <w:p>
            <w:pPr>
              <w:jc w:val="center"/>
              <w:rPr>
                <w:b/>
                <w:bCs/>
                <w:color w:val="auto"/>
                <w:sz w:val="24"/>
              </w:rPr>
            </w:pPr>
            <w:r>
              <w:rPr>
                <w:b/>
                <w:bCs/>
                <w:color w:val="auto"/>
                <w:sz w:val="24"/>
              </w:rPr>
              <w:t xml:space="preserve">表4.4-2 </w:t>
            </w:r>
            <w:r>
              <w:rPr>
                <w:rFonts w:hint="eastAsia"/>
                <w:b/>
                <w:bCs/>
                <w:color w:val="auto"/>
                <w:sz w:val="24"/>
              </w:rPr>
              <w:t xml:space="preserve"> 扩建</w:t>
            </w:r>
            <w:r>
              <w:rPr>
                <w:b/>
                <w:bCs/>
                <w:color w:val="auto"/>
                <w:sz w:val="24"/>
              </w:rPr>
              <w:t>项目危险废物汇总</w:t>
            </w:r>
            <w:r>
              <w:rPr>
                <w:rFonts w:hint="eastAsia"/>
                <w:b/>
                <w:bCs/>
                <w:color w:val="auto"/>
                <w:sz w:val="24"/>
              </w:rPr>
              <w:t>一览</w:t>
            </w:r>
            <w:r>
              <w:rPr>
                <w:b/>
                <w:bCs/>
                <w:color w:val="auto"/>
                <w:sz w:val="24"/>
              </w:rPr>
              <w:t>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9"/>
              <w:gridCol w:w="765"/>
              <w:gridCol w:w="814"/>
              <w:gridCol w:w="1156"/>
              <w:gridCol w:w="759"/>
              <w:gridCol w:w="634"/>
              <w:gridCol w:w="450"/>
              <w:gridCol w:w="780"/>
              <w:gridCol w:w="642"/>
              <w:gridCol w:w="650"/>
              <w:gridCol w:w="820"/>
              <w:gridCol w:w="58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序号</w:t>
                  </w:r>
                </w:p>
              </w:tc>
              <w:tc>
                <w:tcPr>
                  <w:tcW w:w="765"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危险废物名称</w:t>
                  </w:r>
                </w:p>
              </w:tc>
              <w:tc>
                <w:tcPr>
                  <w:tcW w:w="814"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危险废物类别</w:t>
                  </w:r>
                </w:p>
              </w:tc>
              <w:tc>
                <w:tcPr>
                  <w:tcW w:w="1156"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危险废物代码</w:t>
                  </w:r>
                </w:p>
              </w:tc>
              <w:tc>
                <w:tcPr>
                  <w:tcW w:w="759"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产生量</w:t>
                  </w:r>
                </w:p>
                <w:p>
                  <w:pPr>
                    <w:wordWrap w:val="0"/>
                    <w:overflowPunct w:val="0"/>
                    <w:topLinePunct/>
                    <w:jc w:val="center"/>
                    <w:rPr>
                      <w:color w:val="auto"/>
                      <w:kern w:val="0"/>
                      <w:sz w:val="18"/>
                      <w:szCs w:val="18"/>
                    </w:rPr>
                  </w:pPr>
                  <w:r>
                    <w:rPr>
                      <w:color w:val="auto"/>
                      <w:kern w:val="0"/>
                      <w:sz w:val="18"/>
                      <w:szCs w:val="18"/>
                    </w:rPr>
                    <w:t>（吨/年）</w:t>
                  </w:r>
                </w:p>
              </w:tc>
              <w:tc>
                <w:tcPr>
                  <w:tcW w:w="634"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产生工序及装置</w:t>
                  </w:r>
                </w:p>
              </w:tc>
              <w:tc>
                <w:tcPr>
                  <w:tcW w:w="450"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形态</w:t>
                  </w:r>
                </w:p>
              </w:tc>
              <w:tc>
                <w:tcPr>
                  <w:tcW w:w="780"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主要成分</w:t>
                  </w:r>
                </w:p>
              </w:tc>
              <w:tc>
                <w:tcPr>
                  <w:tcW w:w="642"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产废周期</w:t>
                  </w:r>
                </w:p>
              </w:tc>
              <w:tc>
                <w:tcPr>
                  <w:tcW w:w="650" w:type="dxa"/>
                  <w:tcBorders>
                    <w:tl2br w:val="nil"/>
                    <w:tr2bl w:val="nil"/>
                  </w:tcBorders>
                  <w:vAlign w:val="center"/>
                </w:tcPr>
                <w:p>
                  <w:pPr>
                    <w:wordWrap w:val="0"/>
                    <w:overflowPunct w:val="0"/>
                    <w:topLinePunct/>
                    <w:jc w:val="center"/>
                    <w:rPr>
                      <w:color w:val="auto"/>
                      <w:kern w:val="0"/>
                      <w:sz w:val="18"/>
                      <w:szCs w:val="18"/>
                    </w:rPr>
                  </w:pPr>
                  <w:r>
                    <w:rPr>
                      <w:color w:val="auto"/>
                      <w:kern w:val="0"/>
                      <w:sz w:val="18"/>
                      <w:szCs w:val="18"/>
                    </w:rPr>
                    <w:t>危险</w:t>
                  </w:r>
                </w:p>
                <w:p>
                  <w:pPr>
                    <w:wordWrap w:val="0"/>
                    <w:overflowPunct w:val="0"/>
                    <w:topLinePunct/>
                    <w:jc w:val="center"/>
                    <w:rPr>
                      <w:color w:val="auto"/>
                      <w:kern w:val="0"/>
                      <w:sz w:val="18"/>
                      <w:szCs w:val="18"/>
                    </w:rPr>
                  </w:pPr>
                  <w:r>
                    <w:rPr>
                      <w:color w:val="auto"/>
                      <w:kern w:val="0"/>
                      <w:sz w:val="18"/>
                      <w:szCs w:val="18"/>
                    </w:rPr>
                    <w:t>特性</w:t>
                  </w:r>
                </w:p>
              </w:tc>
              <w:tc>
                <w:tcPr>
                  <w:tcW w:w="820"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储存</w:t>
                  </w:r>
                </w:p>
                <w:p>
                  <w:pPr>
                    <w:wordWrap w:val="0"/>
                    <w:overflowPunct w:val="0"/>
                    <w:topLinePunct/>
                    <w:jc w:val="center"/>
                    <w:rPr>
                      <w:color w:val="auto"/>
                      <w:kern w:val="0"/>
                      <w:sz w:val="18"/>
                      <w:szCs w:val="18"/>
                    </w:rPr>
                  </w:pPr>
                  <w:r>
                    <w:rPr>
                      <w:rFonts w:hint="eastAsia"/>
                      <w:color w:val="auto"/>
                      <w:kern w:val="0"/>
                      <w:sz w:val="18"/>
                      <w:szCs w:val="18"/>
                    </w:rPr>
                    <w:t>设施</w:t>
                  </w:r>
                </w:p>
              </w:tc>
              <w:tc>
                <w:tcPr>
                  <w:tcW w:w="585"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贮存周期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tcBorders>
                    <w:tl2br w:val="nil"/>
                    <w:tr2bl w:val="nil"/>
                  </w:tcBorders>
                  <w:shd w:val="clear" w:color="auto" w:fill="auto"/>
                  <w:vAlign w:val="center"/>
                </w:tcPr>
                <w:p>
                  <w:pPr>
                    <w:wordWrap w:val="0"/>
                    <w:overflowPunct w:val="0"/>
                    <w:topLinePunct/>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1</w:t>
                  </w:r>
                </w:p>
              </w:tc>
              <w:tc>
                <w:tcPr>
                  <w:tcW w:w="765" w:type="dxa"/>
                  <w:tcBorders>
                    <w:tl2br w:val="nil"/>
                    <w:tr2bl w:val="nil"/>
                  </w:tcBorders>
                  <w:shd w:val="clear" w:color="auto" w:fill="auto"/>
                  <w:vAlign w:val="center"/>
                </w:tcPr>
                <w:p>
                  <w:pPr>
                    <w:wordWrap w:val="0"/>
                    <w:overflowPunct w:val="0"/>
                    <w:topLinePunct/>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废溶剂桶</w:t>
                  </w:r>
                </w:p>
              </w:tc>
              <w:tc>
                <w:tcPr>
                  <w:tcW w:w="814" w:type="dxa"/>
                  <w:tcBorders>
                    <w:tl2br w:val="nil"/>
                    <w:tr2bl w:val="nil"/>
                  </w:tcBorders>
                  <w:shd w:val="clear" w:color="auto" w:fill="auto"/>
                  <w:vAlign w:val="center"/>
                </w:tcPr>
                <w:p>
                  <w:pPr>
                    <w:pStyle w:val="46"/>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HW49</w:t>
                  </w:r>
                </w:p>
              </w:tc>
              <w:tc>
                <w:tcPr>
                  <w:tcW w:w="1156" w:type="dxa"/>
                  <w:tcBorders>
                    <w:tl2br w:val="nil"/>
                    <w:tr2bl w:val="nil"/>
                  </w:tcBorders>
                  <w:shd w:val="clear" w:color="auto" w:fill="auto"/>
                  <w:vAlign w:val="center"/>
                </w:tcPr>
                <w:p>
                  <w:pPr>
                    <w:pStyle w:val="46"/>
                    <w:rPr>
                      <w:rFonts w:ascii="Times New Roman" w:hAnsi="Times New Roman" w:eastAsia="宋体" w:cs="Times New Roman"/>
                      <w:color w:val="auto"/>
                      <w:kern w:val="0"/>
                      <w:sz w:val="18"/>
                      <w:szCs w:val="18"/>
                      <w:lang w:val="en-US" w:eastAsia="zh-CN" w:bidi="ar-SA"/>
                    </w:rPr>
                  </w:pPr>
                  <w:r>
                    <w:rPr>
                      <w:color w:val="auto"/>
                      <w:kern w:val="0"/>
                      <w:sz w:val="18"/>
                      <w:szCs w:val="18"/>
                    </w:rPr>
                    <w:t>900-041-49</w:t>
                  </w:r>
                </w:p>
              </w:tc>
              <w:tc>
                <w:tcPr>
                  <w:tcW w:w="759" w:type="dxa"/>
                  <w:tcBorders>
                    <w:tl2br w:val="nil"/>
                    <w:tr2bl w:val="nil"/>
                  </w:tcBorders>
                  <w:shd w:val="clear" w:color="auto" w:fill="auto"/>
                  <w:vAlign w:val="center"/>
                </w:tcPr>
                <w:p>
                  <w:pPr>
                    <w:jc w:val="center"/>
                    <w:rPr>
                      <w:rFonts w:hint="default" w:ascii="Times New Roman" w:hAnsi="Times New Roman" w:eastAsia="宋体" w:cs="Times New Roman"/>
                      <w:color w:val="auto"/>
                      <w:kern w:val="0"/>
                      <w:sz w:val="18"/>
                      <w:szCs w:val="18"/>
                      <w:lang w:val="en-US" w:eastAsia="zh-CN" w:bidi="ar-SA"/>
                    </w:rPr>
                  </w:pPr>
                  <w:r>
                    <w:rPr>
                      <w:rFonts w:hint="eastAsia"/>
                      <w:color w:val="auto"/>
                      <w:sz w:val="18"/>
                      <w:szCs w:val="18"/>
                      <w:lang w:val="en-US" w:eastAsia="zh-CN"/>
                    </w:rPr>
                    <w:t>0.15</w:t>
                  </w:r>
                </w:p>
              </w:tc>
              <w:tc>
                <w:tcPr>
                  <w:tcW w:w="634" w:type="dxa"/>
                  <w:tcBorders>
                    <w:tl2br w:val="nil"/>
                    <w:tr2bl w:val="nil"/>
                  </w:tcBorders>
                  <w:shd w:val="clear" w:color="auto" w:fill="auto"/>
                  <w:vAlign w:val="center"/>
                </w:tcPr>
                <w:p>
                  <w:pPr>
                    <w:wordWrap w:val="0"/>
                    <w:overflowPunct w:val="0"/>
                    <w:topLinePunct/>
                    <w:jc w:val="center"/>
                    <w:rPr>
                      <w:rFonts w:hint="eastAsia" w:ascii="Times New Roman" w:hAnsi="Times New Roman" w:eastAsia="宋体" w:cs="Times New Roman"/>
                      <w:color w:val="auto"/>
                      <w:kern w:val="0"/>
                      <w:sz w:val="18"/>
                      <w:szCs w:val="18"/>
                      <w:lang w:val="en-US" w:eastAsia="zh-CN" w:bidi="ar-SA"/>
                    </w:rPr>
                  </w:pPr>
                  <w:r>
                    <w:rPr>
                      <w:rFonts w:hint="eastAsia"/>
                      <w:color w:val="auto"/>
                      <w:sz w:val="18"/>
                      <w:szCs w:val="18"/>
                    </w:rPr>
                    <w:t>油墨调配</w:t>
                  </w:r>
                </w:p>
              </w:tc>
              <w:tc>
                <w:tcPr>
                  <w:tcW w:w="450" w:type="dxa"/>
                  <w:tcBorders>
                    <w:tl2br w:val="nil"/>
                    <w:tr2bl w:val="nil"/>
                  </w:tcBorders>
                  <w:shd w:val="clear" w:color="auto" w:fill="auto"/>
                  <w:vAlign w:val="center"/>
                </w:tcPr>
                <w:p>
                  <w:pPr>
                    <w:wordWrap w:val="0"/>
                    <w:overflowPunct w:val="0"/>
                    <w:topLinePunct/>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S</w:t>
                  </w:r>
                </w:p>
              </w:tc>
              <w:tc>
                <w:tcPr>
                  <w:tcW w:w="780" w:type="dxa"/>
                  <w:tcBorders>
                    <w:tl2br w:val="nil"/>
                    <w:tr2bl w:val="nil"/>
                  </w:tcBorders>
                  <w:shd w:val="clear" w:color="auto" w:fill="auto"/>
                  <w:vAlign w:val="center"/>
                </w:tcPr>
                <w:p>
                  <w:pPr>
                    <w:jc w:val="center"/>
                    <w:rPr>
                      <w:rFonts w:hint="eastAsia" w:ascii="Times New Roman" w:hAnsi="Times New Roman" w:eastAsia="宋体" w:cs="Times New Roman"/>
                      <w:bCs/>
                      <w:color w:val="auto"/>
                      <w:kern w:val="2"/>
                      <w:sz w:val="18"/>
                      <w:szCs w:val="18"/>
                      <w:lang w:val="en-US" w:eastAsia="zh-CN" w:bidi="ar-SA"/>
                    </w:rPr>
                  </w:pPr>
                  <w:r>
                    <w:rPr>
                      <w:rFonts w:hint="eastAsia"/>
                      <w:bCs/>
                      <w:color w:val="auto"/>
                      <w:sz w:val="18"/>
                      <w:szCs w:val="18"/>
                    </w:rPr>
                    <w:t>有机溶剂</w:t>
                  </w:r>
                </w:p>
              </w:tc>
              <w:tc>
                <w:tcPr>
                  <w:tcW w:w="642" w:type="dxa"/>
                  <w:tcBorders>
                    <w:tl2br w:val="nil"/>
                    <w:tr2bl w:val="nil"/>
                  </w:tcBorders>
                  <w:shd w:val="clear" w:color="auto" w:fill="auto"/>
                  <w:vAlign w:val="center"/>
                </w:tcPr>
                <w:p>
                  <w:pPr>
                    <w:wordWrap w:val="0"/>
                    <w:overflowPunct w:val="0"/>
                    <w:topLinePunct/>
                    <w:jc w:val="center"/>
                    <w:rPr>
                      <w:rFonts w:hint="eastAsia" w:ascii="Times New Roman" w:hAnsi="Times New Roman" w:eastAsia="宋体" w:cs="Times New Roman"/>
                      <w:color w:val="auto"/>
                      <w:kern w:val="0"/>
                      <w:sz w:val="18"/>
                      <w:szCs w:val="18"/>
                      <w:lang w:val="en-US" w:eastAsia="zh-CN" w:bidi="ar-SA"/>
                    </w:rPr>
                  </w:pPr>
                  <w:r>
                    <w:rPr>
                      <w:rFonts w:hint="eastAsia"/>
                      <w:color w:val="auto"/>
                      <w:kern w:val="0"/>
                      <w:sz w:val="18"/>
                      <w:szCs w:val="18"/>
                    </w:rPr>
                    <w:t>每天</w:t>
                  </w:r>
                </w:p>
              </w:tc>
              <w:tc>
                <w:tcPr>
                  <w:tcW w:w="650" w:type="dxa"/>
                  <w:tcBorders>
                    <w:tl2br w:val="nil"/>
                    <w:tr2bl w:val="nil"/>
                  </w:tcBorders>
                  <w:shd w:val="clear" w:color="auto" w:fill="auto"/>
                  <w:vAlign w:val="center"/>
                </w:tcPr>
                <w:p>
                  <w:pPr>
                    <w:wordWrap w:val="0"/>
                    <w:overflowPunct w:val="0"/>
                    <w:topLinePunct/>
                    <w:jc w:val="center"/>
                    <w:rPr>
                      <w:rFonts w:hint="eastAsia" w:ascii="Times New Roman" w:hAnsi="Times New Roman" w:eastAsia="宋体" w:cs="Times New Roman"/>
                      <w:color w:val="auto"/>
                      <w:kern w:val="0"/>
                      <w:sz w:val="18"/>
                      <w:szCs w:val="18"/>
                      <w:lang w:val="en-US" w:eastAsia="zh-CN" w:bidi="ar-SA"/>
                    </w:rPr>
                  </w:pPr>
                  <w:r>
                    <w:rPr>
                      <w:rFonts w:hint="eastAsia"/>
                      <w:color w:val="auto"/>
                    </w:rPr>
                    <w:t>T/In</w:t>
                  </w:r>
                </w:p>
              </w:tc>
              <w:tc>
                <w:tcPr>
                  <w:tcW w:w="820" w:type="dxa"/>
                  <w:tcBorders>
                    <w:tl2br w:val="nil"/>
                    <w:tr2bl w:val="nil"/>
                  </w:tcBorders>
                  <w:vAlign w:val="center"/>
                </w:tcPr>
                <w:p>
                  <w:pPr>
                    <w:wordWrap w:val="0"/>
                    <w:overflowPunct w:val="0"/>
                    <w:topLinePunct/>
                    <w:jc w:val="center"/>
                    <w:rPr>
                      <w:rFonts w:hint="default" w:eastAsia="宋体"/>
                      <w:color w:val="auto"/>
                      <w:sz w:val="18"/>
                      <w:szCs w:val="18"/>
                      <w:lang w:val="en-US" w:eastAsia="zh-CN"/>
                    </w:rPr>
                  </w:pPr>
                  <w:r>
                    <w:rPr>
                      <w:rFonts w:hint="eastAsia"/>
                      <w:color w:val="auto"/>
                      <w:sz w:val="18"/>
                      <w:szCs w:val="18"/>
                      <w:lang w:val="en-US" w:eastAsia="zh-CN"/>
                    </w:rPr>
                    <w:t>厂内不贮存</w:t>
                  </w:r>
                </w:p>
              </w:tc>
              <w:tc>
                <w:tcPr>
                  <w:tcW w:w="585" w:type="dxa"/>
                  <w:tcBorders>
                    <w:tl2br w:val="nil"/>
                    <w:tr2bl w:val="nil"/>
                  </w:tcBorders>
                  <w:vAlign w:val="center"/>
                </w:tcPr>
                <w:p>
                  <w:pPr>
                    <w:wordWrap w:val="0"/>
                    <w:overflowPunct w:val="0"/>
                    <w:topLinePunct/>
                    <w:jc w:val="center"/>
                    <w:rPr>
                      <w:rFonts w:hint="eastAsia" w:eastAsia="宋体"/>
                      <w:color w:val="auto"/>
                      <w:sz w:val="18"/>
                      <w:szCs w:val="18"/>
                      <w:lang w:val="en-US" w:eastAsia="zh-CN"/>
                    </w:rPr>
                  </w:pPr>
                  <w:r>
                    <w:rPr>
                      <w:rFonts w:hint="eastAsia"/>
                      <w:color w:val="auto"/>
                      <w:sz w:val="18"/>
                      <w:szCs w:val="18"/>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2</w:t>
                  </w:r>
                </w:p>
              </w:tc>
              <w:tc>
                <w:tcPr>
                  <w:tcW w:w="765" w:type="dxa"/>
                  <w:tcBorders>
                    <w:tl2br w:val="nil"/>
                    <w:tr2bl w:val="nil"/>
                  </w:tcBorders>
                  <w:vAlign w:val="center"/>
                </w:tcPr>
                <w:p>
                  <w:pPr>
                    <w:wordWrap w:val="0"/>
                    <w:overflowPunct w:val="0"/>
                    <w:topLinePunct/>
                    <w:jc w:val="center"/>
                    <w:rPr>
                      <w:color w:val="auto"/>
                      <w:sz w:val="18"/>
                      <w:szCs w:val="18"/>
                    </w:rPr>
                  </w:pPr>
                  <w:r>
                    <w:rPr>
                      <w:rFonts w:hint="eastAsia"/>
                      <w:color w:val="auto"/>
                      <w:sz w:val="18"/>
                      <w:szCs w:val="18"/>
                    </w:rPr>
                    <w:t>废油墨桶、废粘合剂桶</w:t>
                  </w:r>
                </w:p>
              </w:tc>
              <w:tc>
                <w:tcPr>
                  <w:tcW w:w="814" w:type="dxa"/>
                  <w:tcBorders>
                    <w:tl2br w:val="nil"/>
                    <w:tr2bl w:val="nil"/>
                  </w:tcBorders>
                  <w:vAlign w:val="center"/>
                </w:tcPr>
                <w:p>
                  <w:pPr>
                    <w:pStyle w:val="46"/>
                    <w:rPr>
                      <w:color w:val="auto"/>
                      <w:sz w:val="18"/>
                      <w:szCs w:val="18"/>
                    </w:rPr>
                  </w:pPr>
                  <w:r>
                    <w:rPr>
                      <w:rFonts w:hint="eastAsia"/>
                      <w:color w:val="auto"/>
                      <w:sz w:val="18"/>
                      <w:szCs w:val="18"/>
                    </w:rPr>
                    <w:t>HW49</w:t>
                  </w:r>
                </w:p>
              </w:tc>
              <w:tc>
                <w:tcPr>
                  <w:tcW w:w="1156" w:type="dxa"/>
                  <w:tcBorders>
                    <w:tl2br w:val="nil"/>
                    <w:tr2bl w:val="nil"/>
                  </w:tcBorders>
                  <w:vAlign w:val="center"/>
                </w:tcPr>
                <w:p>
                  <w:pPr>
                    <w:pStyle w:val="46"/>
                    <w:rPr>
                      <w:color w:val="auto"/>
                      <w:kern w:val="0"/>
                      <w:sz w:val="18"/>
                      <w:szCs w:val="18"/>
                    </w:rPr>
                  </w:pPr>
                  <w:r>
                    <w:rPr>
                      <w:color w:val="auto"/>
                      <w:kern w:val="0"/>
                      <w:sz w:val="18"/>
                      <w:szCs w:val="18"/>
                    </w:rPr>
                    <w:t>900-041-49</w:t>
                  </w:r>
                </w:p>
              </w:tc>
              <w:tc>
                <w:tcPr>
                  <w:tcW w:w="759" w:type="dxa"/>
                  <w:tcBorders>
                    <w:tl2br w:val="nil"/>
                    <w:tr2bl w:val="nil"/>
                  </w:tcBorders>
                  <w:vAlign w:val="center"/>
                </w:tcPr>
                <w:p>
                  <w:pPr>
                    <w:jc w:val="center"/>
                    <w:rPr>
                      <w:rFonts w:hint="default" w:eastAsia="宋体"/>
                      <w:color w:val="auto"/>
                      <w:kern w:val="0"/>
                      <w:sz w:val="18"/>
                      <w:szCs w:val="18"/>
                      <w:lang w:val="en-US" w:eastAsia="zh-CN"/>
                    </w:rPr>
                  </w:pPr>
                  <w:r>
                    <w:rPr>
                      <w:rFonts w:hint="eastAsia"/>
                      <w:color w:val="auto"/>
                      <w:sz w:val="18"/>
                      <w:szCs w:val="18"/>
                      <w:lang w:val="en-US" w:eastAsia="zh-CN"/>
                    </w:rPr>
                    <w:t>2.85</w:t>
                  </w:r>
                </w:p>
              </w:tc>
              <w:tc>
                <w:tcPr>
                  <w:tcW w:w="634" w:type="dxa"/>
                  <w:tcBorders>
                    <w:tl2br w:val="nil"/>
                    <w:tr2bl w:val="nil"/>
                  </w:tcBorders>
                  <w:vAlign w:val="center"/>
                </w:tcPr>
                <w:p>
                  <w:pPr>
                    <w:wordWrap w:val="0"/>
                    <w:overflowPunct w:val="0"/>
                    <w:topLinePunct/>
                    <w:jc w:val="center"/>
                    <w:rPr>
                      <w:color w:val="auto"/>
                      <w:kern w:val="0"/>
                      <w:sz w:val="18"/>
                      <w:szCs w:val="18"/>
                    </w:rPr>
                  </w:pPr>
                  <w:r>
                    <w:rPr>
                      <w:rFonts w:hint="eastAsia"/>
                      <w:color w:val="auto"/>
                      <w:sz w:val="18"/>
                      <w:szCs w:val="18"/>
                    </w:rPr>
                    <w:t>油墨调配、印刷、复合</w:t>
                  </w:r>
                </w:p>
              </w:tc>
              <w:tc>
                <w:tcPr>
                  <w:tcW w:w="450"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S</w:t>
                  </w:r>
                </w:p>
              </w:tc>
              <w:tc>
                <w:tcPr>
                  <w:tcW w:w="780" w:type="dxa"/>
                  <w:tcBorders>
                    <w:tl2br w:val="nil"/>
                    <w:tr2bl w:val="nil"/>
                  </w:tcBorders>
                  <w:vAlign w:val="center"/>
                </w:tcPr>
                <w:p>
                  <w:pPr>
                    <w:jc w:val="center"/>
                    <w:rPr>
                      <w:bCs/>
                      <w:color w:val="auto"/>
                      <w:sz w:val="18"/>
                      <w:szCs w:val="18"/>
                    </w:rPr>
                  </w:pPr>
                  <w:r>
                    <w:rPr>
                      <w:rFonts w:hint="eastAsia"/>
                      <w:bCs/>
                      <w:color w:val="auto"/>
                      <w:sz w:val="18"/>
                      <w:szCs w:val="18"/>
                    </w:rPr>
                    <w:t>油墨、粘合剂</w:t>
                  </w:r>
                </w:p>
              </w:tc>
              <w:tc>
                <w:tcPr>
                  <w:tcW w:w="642"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每天</w:t>
                  </w:r>
                </w:p>
              </w:tc>
              <w:tc>
                <w:tcPr>
                  <w:tcW w:w="650" w:type="dxa"/>
                  <w:tcBorders>
                    <w:tl2br w:val="nil"/>
                    <w:tr2bl w:val="nil"/>
                  </w:tcBorders>
                  <w:vAlign w:val="center"/>
                </w:tcPr>
                <w:p>
                  <w:pPr>
                    <w:wordWrap w:val="0"/>
                    <w:overflowPunct w:val="0"/>
                    <w:topLinePunct/>
                    <w:jc w:val="center"/>
                    <w:rPr>
                      <w:color w:val="auto"/>
                      <w:kern w:val="0"/>
                      <w:sz w:val="18"/>
                      <w:szCs w:val="18"/>
                    </w:rPr>
                  </w:pPr>
                  <w:r>
                    <w:rPr>
                      <w:rFonts w:hint="eastAsia"/>
                      <w:color w:val="auto"/>
                    </w:rPr>
                    <w:t>T/In</w:t>
                  </w:r>
                </w:p>
              </w:tc>
              <w:tc>
                <w:tcPr>
                  <w:tcW w:w="820" w:type="dxa"/>
                  <w:vMerge w:val="restart"/>
                  <w:tcBorders>
                    <w:tl2br w:val="nil"/>
                    <w:tr2bl w:val="nil"/>
                  </w:tcBorders>
                  <w:vAlign w:val="center"/>
                </w:tcPr>
                <w:p>
                  <w:pPr>
                    <w:wordWrap w:val="0"/>
                    <w:overflowPunct w:val="0"/>
                    <w:topLinePunct/>
                    <w:jc w:val="center"/>
                    <w:rPr>
                      <w:color w:val="auto"/>
                      <w:sz w:val="18"/>
                      <w:szCs w:val="18"/>
                    </w:rPr>
                  </w:pPr>
                  <w:r>
                    <w:rPr>
                      <w:rFonts w:hint="eastAsia"/>
                      <w:color w:val="auto"/>
                      <w:sz w:val="18"/>
                      <w:szCs w:val="18"/>
                    </w:rPr>
                    <w:t>危废仓库面积20m</w:t>
                  </w:r>
                  <w:r>
                    <w:rPr>
                      <w:rFonts w:hint="eastAsia"/>
                      <w:color w:val="auto"/>
                      <w:sz w:val="18"/>
                      <w:szCs w:val="18"/>
                      <w:vertAlign w:val="superscript"/>
                    </w:rPr>
                    <w:t>2</w:t>
                  </w:r>
                </w:p>
              </w:tc>
              <w:tc>
                <w:tcPr>
                  <w:tcW w:w="585" w:type="dxa"/>
                  <w:vMerge w:val="restart"/>
                  <w:tcBorders>
                    <w:tl2br w:val="nil"/>
                    <w:tr2bl w:val="nil"/>
                  </w:tcBorders>
                  <w:vAlign w:val="center"/>
                </w:tcPr>
                <w:p>
                  <w:pPr>
                    <w:wordWrap w:val="0"/>
                    <w:overflowPunct w:val="0"/>
                    <w:topLinePunct/>
                    <w:jc w:val="center"/>
                    <w:rPr>
                      <w:color w:val="auto"/>
                      <w:sz w:val="18"/>
                      <w:szCs w:val="18"/>
                    </w:rPr>
                  </w:pPr>
                  <w:r>
                    <w:rPr>
                      <w:rFonts w:hint="eastAsia"/>
                      <w:color w:val="auto"/>
                      <w:sz w:val="18"/>
                      <w:szCs w:val="18"/>
                    </w:rPr>
                    <w:t>6个月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3</w:t>
                  </w:r>
                </w:p>
              </w:tc>
              <w:tc>
                <w:tcPr>
                  <w:tcW w:w="765" w:type="dxa"/>
                  <w:tcBorders>
                    <w:tl2br w:val="nil"/>
                    <w:tr2bl w:val="nil"/>
                  </w:tcBorders>
                  <w:vAlign w:val="center"/>
                </w:tcPr>
                <w:p>
                  <w:pPr>
                    <w:pStyle w:val="46"/>
                    <w:rPr>
                      <w:color w:val="auto"/>
                      <w:sz w:val="18"/>
                      <w:szCs w:val="18"/>
                    </w:rPr>
                  </w:pPr>
                  <w:r>
                    <w:rPr>
                      <w:rFonts w:hint="eastAsia"/>
                      <w:color w:val="auto"/>
                      <w:sz w:val="18"/>
                      <w:szCs w:val="18"/>
                    </w:rPr>
                    <w:t>废油墨</w:t>
                  </w:r>
                </w:p>
              </w:tc>
              <w:tc>
                <w:tcPr>
                  <w:tcW w:w="814" w:type="dxa"/>
                  <w:tcBorders>
                    <w:tl2br w:val="nil"/>
                    <w:tr2bl w:val="nil"/>
                  </w:tcBorders>
                  <w:vAlign w:val="center"/>
                </w:tcPr>
                <w:p>
                  <w:pPr>
                    <w:pStyle w:val="46"/>
                    <w:rPr>
                      <w:color w:val="auto"/>
                      <w:sz w:val="18"/>
                      <w:szCs w:val="18"/>
                    </w:rPr>
                  </w:pPr>
                  <w:r>
                    <w:rPr>
                      <w:rFonts w:hint="eastAsia"/>
                      <w:color w:val="auto"/>
                      <w:sz w:val="18"/>
                      <w:szCs w:val="18"/>
                    </w:rPr>
                    <w:t>HW12</w:t>
                  </w:r>
                </w:p>
              </w:tc>
              <w:tc>
                <w:tcPr>
                  <w:tcW w:w="1156" w:type="dxa"/>
                  <w:tcBorders>
                    <w:tl2br w:val="nil"/>
                    <w:tr2bl w:val="nil"/>
                  </w:tcBorders>
                  <w:vAlign w:val="center"/>
                </w:tcPr>
                <w:p>
                  <w:pPr>
                    <w:pStyle w:val="46"/>
                    <w:rPr>
                      <w:color w:val="auto"/>
                      <w:kern w:val="0"/>
                      <w:sz w:val="18"/>
                      <w:szCs w:val="18"/>
                    </w:rPr>
                  </w:pPr>
                  <w:r>
                    <w:rPr>
                      <w:rFonts w:hint="eastAsia"/>
                      <w:color w:val="auto"/>
                      <w:sz w:val="18"/>
                      <w:szCs w:val="18"/>
                    </w:rPr>
                    <w:t>900-256-12</w:t>
                  </w:r>
                </w:p>
              </w:tc>
              <w:tc>
                <w:tcPr>
                  <w:tcW w:w="759" w:type="dxa"/>
                  <w:tcBorders>
                    <w:tl2br w:val="nil"/>
                    <w:tr2bl w:val="nil"/>
                  </w:tcBorders>
                  <w:vAlign w:val="center"/>
                </w:tcPr>
                <w:p>
                  <w:pPr>
                    <w:pStyle w:val="46"/>
                    <w:rPr>
                      <w:color w:val="auto"/>
                      <w:kern w:val="0"/>
                      <w:sz w:val="18"/>
                      <w:szCs w:val="18"/>
                    </w:rPr>
                  </w:pPr>
                  <w:r>
                    <w:rPr>
                      <w:rFonts w:hint="eastAsia"/>
                      <w:color w:val="auto"/>
                      <w:sz w:val="18"/>
                      <w:szCs w:val="18"/>
                    </w:rPr>
                    <w:t>0.033</w:t>
                  </w:r>
                </w:p>
              </w:tc>
              <w:tc>
                <w:tcPr>
                  <w:tcW w:w="634" w:type="dxa"/>
                  <w:tcBorders>
                    <w:tl2br w:val="nil"/>
                    <w:tr2bl w:val="nil"/>
                  </w:tcBorders>
                  <w:vAlign w:val="center"/>
                </w:tcPr>
                <w:p>
                  <w:pPr>
                    <w:pStyle w:val="46"/>
                    <w:rPr>
                      <w:color w:val="auto"/>
                      <w:kern w:val="0"/>
                      <w:sz w:val="18"/>
                      <w:szCs w:val="18"/>
                    </w:rPr>
                  </w:pPr>
                  <w:r>
                    <w:rPr>
                      <w:rFonts w:hint="eastAsia"/>
                      <w:color w:val="auto"/>
                      <w:sz w:val="18"/>
                      <w:szCs w:val="18"/>
                    </w:rPr>
                    <w:t>印刷</w:t>
                  </w:r>
                </w:p>
              </w:tc>
              <w:tc>
                <w:tcPr>
                  <w:tcW w:w="450"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L</w:t>
                  </w:r>
                </w:p>
              </w:tc>
              <w:tc>
                <w:tcPr>
                  <w:tcW w:w="780" w:type="dxa"/>
                  <w:tcBorders>
                    <w:tl2br w:val="nil"/>
                    <w:tr2bl w:val="nil"/>
                  </w:tcBorders>
                  <w:vAlign w:val="center"/>
                </w:tcPr>
                <w:p>
                  <w:pPr>
                    <w:pStyle w:val="46"/>
                    <w:rPr>
                      <w:bCs/>
                      <w:color w:val="auto"/>
                      <w:sz w:val="18"/>
                      <w:szCs w:val="18"/>
                    </w:rPr>
                  </w:pPr>
                  <w:r>
                    <w:rPr>
                      <w:rFonts w:hint="eastAsia"/>
                      <w:color w:val="auto"/>
                      <w:sz w:val="18"/>
                      <w:szCs w:val="18"/>
                    </w:rPr>
                    <w:t>废油墨</w:t>
                  </w:r>
                </w:p>
              </w:tc>
              <w:tc>
                <w:tcPr>
                  <w:tcW w:w="642"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3个月</w:t>
                  </w:r>
                </w:p>
              </w:tc>
              <w:tc>
                <w:tcPr>
                  <w:tcW w:w="650" w:type="dxa"/>
                  <w:tcBorders>
                    <w:tl2br w:val="nil"/>
                    <w:tr2bl w:val="nil"/>
                  </w:tcBorders>
                  <w:vAlign w:val="center"/>
                </w:tcPr>
                <w:p>
                  <w:pPr>
                    <w:pStyle w:val="46"/>
                    <w:rPr>
                      <w:color w:val="auto"/>
                      <w:kern w:val="0"/>
                      <w:sz w:val="18"/>
                      <w:szCs w:val="18"/>
                    </w:rPr>
                  </w:pPr>
                  <w:r>
                    <w:rPr>
                      <w:rFonts w:hint="eastAsia"/>
                      <w:color w:val="auto"/>
                    </w:rPr>
                    <w:t>T/I/C</w:t>
                  </w:r>
                </w:p>
              </w:tc>
              <w:tc>
                <w:tcPr>
                  <w:tcW w:w="820" w:type="dxa"/>
                  <w:vMerge w:val="continue"/>
                  <w:tcBorders>
                    <w:tl2br w:val="nil"/>
                    <w:tr2bl w:val="nil"/>
                  </w:tcBorders>
                  <w:vAlign w:val="center"/>
                </w:tcPr>
                <w:p>
                  <w:pPr>
                    <w:wordWrap w:val="0"/>
                    <w:overflowPunct w:val="0"/>
                    <w:topLinePunct/>
                    <w:jc w:val="center"/>
                    <w:rPr>
                      <w:color w:val="auto"/>
                      <w:sz w:val="18"/>
                      <w:szCs w:val="18"/>
                    </w:rPr>
                  </w:pPr>
                </w:p>
              </w:tc>
              <w:tc>
                <w:tcPr>
                  <w:tcW w:w="585" w:type="dxa"/>
                  <w:vMerge w:val="continue"/>
                  <w:tcBorders>
                    <w:tl2br w:val="nil"/>
                    <w:tr2bl w:val="nil"/>
                  </w:tcBorders>
                  <w:vAlign w:val="center"/>
                </w:tcPr>
                <w:p>
                  <w:pPr>
                    <w:wordWrap w:val="0"/>
                    <w:overflowPunct w:val="0"/>
                    <w:topLinePunct/>
                    <w:jc w:val="center"/>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4</w:t>
                  </w:r>
                </w:p>
              </w:tc>
              <w:tc>
                <w:tcPr>
                  <w:tcW w:w="765" w:type="dxa"/>
                  <w:tcBorders>
                    <w:tl2br w:val="nil"/>
                    <w:tr2bl w:val="nil"/>
                  </w:tcBorders>
                  <w:vAlign w:val="center"/>
                </w:tcPr>
                <w:p>
                  <w:pPr>
                    <w:pStyle w:val="46"/>
                    <w:rPr>
                      <w:color w:val="auto"/>
                      <w:sz w:val="18"/>
                      <w:szCs w:val="18"/>
                    </w:rPr>
                  </w:pPr>
                  <w:r>
                    <w:rPr>
                      <w:rFonts w:hint="eastAsia"/>
                      <w:color w:val="auto"/>
                      <w:sz w:val="18"/>
                      <w:szCs w:val="18"/>
                    </w:rPr>
                    <w:t>废粘合剂</w:t>
                  </w:r>
                </w:p>
              </w:tc>
              <w:tc>
                <w:tcPr>
                  <w:tcW w:w="814" w:type="dxa"/>
                  <w:tcBorders>
                    <w:tl2br w:val="nil"/>
                    <w:tr2bl w:val="nil"/>
                  </w:tcBorders>
                  <w:vAlign w:val="center"/>
                </w:tcPr>
                <w:p>
                  <w:pPr>
                    <w:pStyle w:val="46"/>
                    <w:rPr>
                      <w:color w:val="auto"/>
                      <w:sz w:val="18"/>
                      <w:szCs w:val="18"/>
                    </w:rPr>
                  </w:pPr>
                  <w:r>
                    <w:rPr>
                      <w:rFonts w:hint="eastAsia"/>
                      <w:color w:val="auto"/>
                      <w:sz w:val="18"/>
                      <w:szCs w:val="18"/>
                    </w:rPr>
                    <w:t>HW13</w:t>
                  </w:r>
                </w:p>
              </w:tc>
              <w:tc>
                <w:tcPr>
                  <w:tcW w:w="1156" w:type="dxa"/>
                  <w:tcBorders>
                    <w:tl2br w:val="nil"/>
                    <w:tr2bl w:val="nil"/>
                  </w:tcBorders>
                  <w:vAlign w:val="center"/>
                </w:tcPr>
                <w:p>
                  <w:pPr>
                    <w:pStyle w:val="46"/>
                    <w:rPr>
                      <w:color w:val="auto"/>
                      <w:kern w:val="0"/>
                      <w:sz w:val="18"/>
                      <w:szCs w:val="18"/>
                    </w:rPr>
                  </w:pPr>
                  <w:r>
                    <w:rPr>
                      <w:rFonts w:hint="eastAsia"/>
                      <w:color w:val="auto"/>
                      <w:sz w:val="18"/>
                      <w:szCs w:val="18"/>
                    </w:rPr>
                    <w:t>900-014-13</w:t>
                  </w:r>
                </w:p>
              </w:tc>
              <w:tc>
                <w:tcPr>
                  <w:tcW w:w="759" w:type="dxa"/>
                  <w:tcBorders>
                    <w:tl2br w:val="nil"/>
                    <w:tr2bl w:val="nil"/>
                  </w:tcBorders>
                  <w:vAlign w:val="center"/>
                </w:tcPr>
                <w:p>
                  <w:pPr>
                    <w:pStyle w:val="46"/>
                    <w:rPr>
                      <w:color w:val="auto"/>
                      <w:kern w:val="0"/>
                      <w:sz w:val="18"/>
                      <w:szCs w:val="18"/>
                    </w:rPr>
                  </w:pPr>
                  <w:r>
                    <w:rPr>
                      <w:rFonts w:hint="eastAsia"/>
                      <w:color w:val="auto"/>
                      <w:sz w:val="18"/>
                      <w:szCs w:val="18"/>
                    </w:rPr>
                    <w:t>0.26</w:t>
                  </w:r>
                </w:p>
              </w:tc>
              <w:tc>
                <w:tcPr>
                  <w:tcW w:w="634" w:type="dxa"/>
                  <w:tcBorders>
                    <w:tl2br w:val="nil"/>
                    <w:tr2bl w:val="nil"/>
                  </w:tcBorders>
                  <w:vAlign w:val="center"/>
                </w:tcPr>
                <w:p>
                  <w:pPr>
                    <w:pStyle w:val="46"/>
                    <w:rPr>
                      <w:color w:val="auto"/>
                      <w:kern w:val="0"/>
                      <w:sz w:val="18"/>
                      <w:szCs w:val="18"/>
                    </w:rPr>
                  </w:pPr>
                  <w:r>
                    <w:rPr>
                      <w:rFonts w:hint="eastAsia"/>
                      <w:color w:val="auto"/>
                      <w:sz w:val="18"/>
                      <w:szCs w:val="18"/>
                    </w:rPr>
                    <w:t>复合</w:t>
                  </w:r>
                </w:p>
              </w:tc>
              <w:tc>
                <w:tcPr>
                  <w:tcW w:w="450"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L</w:t>
                  </w:r>
                </w:p>
              </w:tc>
              <w:tc>
                <w:tcPr>
                  <w:tcW w:w="780" w:type="dxa"/>
                  <w:tcBorders>
                    <w:tl2br w:val="nil"/>
                    <w:tr2bl w:val="nil"/>
                  </w:tcBorders>
                  <w:vAlign w:val="center"/>
                </w:tcPr>
                <w:p>
                  <w:pPr>
                    <w:pStyle w:val="46"/>
                    <w:rPr>
                      <w:bCs/>
                      <w:color w:val="auto"/>
                      <w:sz w:val="18"/>
                      <w:szCs w:val="18"/>
                    </w:rPr>
                  </w:pPr>
                  <w:r>
                    <w:rPr>
                      <w:rFonts w:hint="eastAsia"/>
                      <w:color w:val="auto"/>
                      <w:sz w:val="18"/>
                      <w:szCs w:val="18"/>
                    </w:rPr>
                    <w:t>废粘合剂</w:t>
                  </w:r>
                </w:p>
              </w:tc>
              <w:tc>
                <w:tcPr>
                  <w:tcW w:w="642"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每天</w:t>
                  </w:r>
                </w:p>
              </w:tc>
              <w:tc>
                <w:tcPr>
                  <w:tcW w:w="650" w:type="dxa"/>
                  <w:tcBorders>
                    <w:tl2br w:val="nil"/>
                    <w:tr2bl w:val="nil"/>
                  </w:tcBorders>
                  <w:vAlign w:val="center"/>
                </w:tcPr>
                <w:p>
                  <w:pPr>
                    <w:pStyle w:val="46"/>
                    <w:rPr>
                      <w:color w:val="auto"/>
                      <w:kern w:val="0"/>
                      <w:sz w:val="18"/>
                      <w:szCs w:val="18"/>
                    </w:rPr>
                  </w:pPr>
                  <w:r>
                    <w:rPr>
                      <w:rFonts w:hint="eastAsia"/>
                      <w:color w:val="auto"/>
                    </w:rPr>
                    <w:t>T</w:t>
                  </w:r>
                </w:p>
              </w:tc>
              <w:tc>
                <w:tcPr>
                  <w:tcW w:w="820" w:type="dxa"/>
                  <w:vMerge w:val="continue"/>
                  <w:tcBorders>
                    <w:tl2br w:val="nil"/>
                    <w:tr2bl w:val="nil"/>
                  </w:tcBorders>
                  <w:vAlign w:val="center"/>
                </w:tcPr>
                <w:p>
                  <w:pPr>
                    <w:wordWrap w:val="0"/>
                    <w:overflowPunct w:val="0"/>
                    <w:topLinePunct/>
                    <w:jc w:val="center"/>
                    <w:rPr>
                      <w:color w:val="auto"/>
                      <w:sz w:val="18"/>
                      <w:szCs w:val="18"/>
                    </w:rPr>
                  </w:pPr>
                </w:p>
              </w:tc>
              <w:tc>
                <w:tcPr>
                  <w:tcW w:w="585" w:type="dxa"/>
                  <w:vMerge w:val="continue"/>
                  <w:tcBorders>
                    <w:tl2br w:val="nil"/>
                    <w:tr2bl w:val="nil"/>
                  </w:tcBorders>
                  <w:vAlign w:val="center"/>
                </w:tcPr>
                <w:p>
                  <w:pPr>
                    <w:wordWrap w:val="0"/>
                    <w:overflowPunct w:val="0"/>
                    <w:topLinePunct/>
                    <w:jc w:val="center"/>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5</w:t>
                  </w:r>
                </w:p>
              </w:tc>
              <w:tc>
                <w:tcPr>
                  <w:tcW w:w="765" w:type="dxa"/>
                  <w:tcBorders>
                    <w:tl2br w:val="nil"/>
                    <w:tr2bl w:val="nil"/>
                  </w:tcBorders>
                  <w:vAlign w:val="center"/>
                </w:tcPr>
                <w:p>
                  <w:pPr>
                    <w:pStyle w:val="46"/>
                    <w:rPr>
                      <w:color w:val="auto"/>
                      <w:sz w:val="18"/>
                      <w:szCs w:val="18"/>
                    </w:rPr>
                  </w:pPr>
                  <w:r>
                    <w:rPr>
                      <w:rFonts w:hint="eastAsia"/>
                      <w:color w:val="auto"/>
                      <w:sz w:val="18"/>
                      <w:szCs w:val="18"/>
                    </w:rPr>
                    <w:t>废活性炭</w:t>
                  </w:r>
                </w:p>
              </w:tc>
              <w:tc>
                <w:tcPr>
                  <w:tcW w:w="814" w:type="dxa"/>
                  <w:tcBorders>
                    <w:tl2br w:val="nil"/>
                    <w:tr2bl w:val="nil"/>
                  </w:tcBorders>
                  <w:vAlign w:val="center"/>
                </w:tcPr>
                <w:p>
                  <w:pPr>
                    <w:pStyle w:val="46"/>
                    <w:rPr>
                      <w:color w:val="auto"/>
                      <w:kern w:val="0"/>
                      <w:sz w:val="18"/>
                      <w:szCs w:val="18"/>
                    </w:rPr>
                  </w:pPr>
                  <w:r>
                    <w:rPr>
                      <w:rFonts w:hint="eastAsia"/>
                      <w:color w:val="auto"/>
                      <w:sz w:val="18"/>
                      <w:szCs w:val="18"/>
                    </w:rPr>
                    <w:t>HW49</w:t>
                  </w:r>
                </w:p>
              </w:tc>
              <w:tc>
                <w:tcPr>
                  <w:tcW w:w="1156" w:type="dxa"/>
                  <w:tcBorders>
                    <w:tl2br w:val="nil"/>
                    <w:tr2bl w:val="nil"/>
                  </w:tcBorders>
                  <w:vAlign w:val="center"/>
                </w:tcPr>
                <w:p>
                  <w:pPr>
                    <w:pStyle w:val="46"/>
                    <w:rPr>
                      <w:color w:val="auto"/>
                      <w:kern w:val="0"/>
                      <w:sz w:val="18"/>
                      <w:szCs w:val="18"/>
                    </w:rPr>
                  </w:pPr>
                  <w:r>
                    <w:rPr>
                      <w:rFonts w:hint="eastAsia"/>
                      <w:color w:val="auto"/>
                      <w:sz w:val="18"/>
                      <w:szCs w:val="18"/>
                    </w:rPr>
                    <w:t>900-039-49</w:t>
                  </w:r>
                </w:p>
              </w:tc>
              <w:tc>
                <w:tcPr>
                  <w:tcW w:w="759" w:type="dxa"/>
                  <w:tcBorders>
                    <w:tl2br w:val="nil"/>
                    <w:tr2bl w:val="nil"/>
                  </w:tcBorders>
                  <w:vAlign w:val="center"/>
                </w:tcPr>
                <w:p>
                  <w:pPr>
                    <w:pStyle w:val="46"/>
                    <w:rPr>
                      <w:rFonts w:hint="default" w:eastAsia="宋体"/>
                      <w:color w:val="auto"/>
                      <w:kern w:val="0"/>
                      <w:sz w:val="18"/>
                      <w:szCs w:val="18"/>
                      <w:lang w:val="en-US" w:eastAsia="zh-CN"/>
                    </w:rPr>
                  </w:pPr>
                  <w:r>
                    <w:rPr>
                      <w:rFonts w:hint="eastAsia"/>
                      <w:color w:val="auto"/>
                      <w:sz w:val="18"/>
                      <w:szCs w:val="18"/>
                      <w:lang w:val="en-US" w:eastAsia="zh-CN"/>
                    </w:rPr>
                    <w:t>11.989</w:t>
                  </w:r>
                </w:p>
              </w:tc>
              <w:tc>
                <w:tcPr>
                  <w:tcW w:w="634" w:type="dxa"/>
                  <w:tcBorders>
                    <w:tl2br w:val="nil"/>
                    <w:tr2bl w:val="nil"/>
                  </w:tcBorders>
                  <w:vAlign w:val="center"/>
                </w:tcPr>
                <w:p>
                  <w:pPr>
                    <w:pStyle w:val="46"/>
                    <w:rPr>
                      <w:color w:val="auto"/>
                      <w:kern w:val="0"/>
                      <w:sz w:val="18"/>
                      <w:szCs w:val="18"/>
                    </w:rPr>
                  </w:pPr>
                  <w:r>
                    <w:rPr>
                      <w:rFonts w:hint="eastAsia"/>
                      <w:color w:val="auto"/>
                      <w:sz w:val="18"/>
                      <w:szCs w:val="18"/>
                    </w:rPr>
                    <w:t>有机废气处理设施</w:t>
                  </w:r>
                </w:p>
              </w:tc>
              <w:tc>
                <w:tcPr>
                  <w:tcW w:w="450"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S</w:t>
                  </w:r>
                </w:p>
              </w:tc>
              <w:tc>
                <w:tcPr>
                  <w:tcW w:w="780" w:type="dxa"/>
                  <w:tcBorders>
                    <w:tl2br w:val="nil"/>
                    <w:tr2bl w:val="nil"/>
                  </w:tcBorders>
                  <w:vAlign w:val="center"/>
                </w:tcPr>
                <w:p>
                  <w:pPr>
                    <w:pStyle w:val="46"/>
                    <w:rPr>
                      <w:bCs/>
                      <w:color w:val="auto"/>
                      <w:sz w:val="18"/>
                      <w:szCs w:val="18"/>
                    </w:rPr>
                  </w:pPr>
                  <w:r>
                    <w:rPr>
                      <w:rFonts w:hint="eastAsia"/>
                      <w:color w:val="auto"/>
                      <w:sz w:val="18"/>
                      <w:szCs w:val="18"/>
                    </w:rPr>
                    <w:t>有机废气</w:t>
                  </w:r>
                </w:p>
              </w:tc>
              <w:tc>
                <w:tcPr>
                  <w:tcW w:w="642"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1.5个月</w:t>
                  </w:r>
                </w:p>
              </w:tc>
              <w:tc>
                <w:tcPr>
                  <w:tcW w:w="650" w:type="dxa"/>
                  <w:tcBorders>
                    <w:tl2br w:val="nil"/>
                    <w:tr2bl w:val="nil"/>
                  </w:tcBorders>
                  <w:vAlign w:val="center"/>
                </w:tcPr>
                <w:p>
                  <w:pPr>
                    <w:pStyle w:val="46"/>
                    <w:rPr>
                      <w:color w:val="auto"/>
                      <w:kern w:val="0"/>
                      <w:sz w:val="18"/>
                      <w:szCs w:val="18"/>
                    </w:rPr>
                  </w:pPr>
                  <w:r>
                    <w:rPr>
                      <w:rFonts w:hint="eastAsia"/>
                      <w:color w:val="auto"/>
                    </w:rPr>
                    <w:t>T</w:t>
                  </w:r>
                </w:p>
              </w:tc>
              <w:tc>
                <w:tcPr>
                  <w:tcW w:w="820" w:type="dxa"/>
                  <w:vMerge w:val="continue"/>
                  <w:tcBorders>
                    <w:tl2br w:val="nil"/>
                    <w:tr2bl w:val="nil"/>
                  </w:tcBorders>
                  <w:vAlign w:val="center"/>
                </w:tcPr>
                <w:p>
                  <w:pPr>
                    <w:wordWrap w:val="0"/>
                    <w:overflowPunct w:val="0"/>
                    <w:topLinePunct/>
                    <w:jc w:val="center"/>
                    <w:rPr>
                      <w:color w:val="auto"/>
                      <w:sz w:val="18"/>
                      <w:szCs w:val="18"/>
                    </w:rPr>
                  </w:pPr>
                </w:p>
              </w:tc>
              <w:tc>
                <w:tcPr>
                  <w:tcW w:w="585" w:type="dxa"/>
                  <w:vMerge w:val="continue"/>
                  <w:tcBorders>
                    <w:tl2br w:val="nil"/>
                    <w:tr2bl w:val="nil"/>
                  </w:tcBorders>
                  <w:vAlign w:val="center"/>
                </w:tcPr>
                <w:p>
                  <w:pPr>
                    <w:wordWrap w:val="0"/>
                    <w:overflowPunct w:val="0"/>
                    <w:topLinePunct/>
                    <w:jc w:val="center"/>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tcBorders>
                    <w:tl2br w:val="nil"/>
                    <w:tr2bl w:val="nil"/>
                  </w:tcBorders>
                  <w:vAlign w:val="center"/>
                </w:tcPr>
                <w:p>
                  <w:pPr>
                    <w:wordWrap w:val="0"/>
                    <w:overflowPunct w:val="0"/>
                    <w:topLinePunct/>
                    <w:jc w:val="center"/>
                    <w:rPr>
                      <w:rFonts w:hint="eastAsia" w:eastAsia="宋体"/>
                      <w:color w:val="auto"/>
                      <w:kern w:val="0"/>
                      <w:sz w:val="18"/>
                      <w:szCs w:val="18"/>
                      <w:lang w:val="en-US" w:eastAsia="zh-CN"/>
                    </w:rPr>
                  </w:pPr>
                  <w:r>
                    <w:rPr>
                      <w:rFonts w:hint="eastAsia"/>
                      <w:color w:val="auto"/>
                      <w:kern w:val="0"/>
                      <w:sz w:val="18"/>
                      <w:szCs w:val="18"/>
                      <w:lang w:val="en-US" w:eastAsia="zh-CN"/>
                    </w:rPr>
                    <w:t>6</w:t>
                  </w:r>
                </w:p>
              </w:tc>
              <w:tc>
                <w:tcPr>
                  <w:tcW w:w="765" w:type="dxa"/>
                  <w:tcBorders>
                    <w:tl2br w:val="nil"/>
                    <w:tr2bl w:val="nil"/>
                  </w:tcBorders>
                  <w:vAlign w:val="center"/>
                </w:tcPr>
                <w:p>
                  <w:pPr>
                    <w:pStyle w:val="46"/>
                    <w:rPr>
                      <w:rFonts w:hint="default" w:eastAsia="宋体"/>
                      <w:color w:val="auto"/>
                      <w:sz w:val="18"/>
                      <w:szCs w:val="18"/>
                      <w:lang w:val="en-US" w:eastAsia="zh-CN"/>
                    </w:rPr>
                  </w:pPr>
                  <w:r>
                    <w:rPr>
                      <w:rFonts w:hint="eastAsia"/>
                      <w:color w:val="auto"/>
                      <w:sz w:val="18"/>
                      <w:szCs w:val="18"/>
                      <w:lang w:val="en-US" w:eastAsia="zh-CN"/>
                    </w:rPr>
                    <w:t>喷淋废液</w:t>
                  </w:r>
                </w:p>
              </w:tc>
              <w:tc>
                <w:tcPr>
                  <w:tcW w:w="814" w:type="dxa"/>
                  <w:tcBorders>
                    <w:tl2br w:val="nil"/>
                    <w:tr2bl w:val="nil"/>
                  </w:tcBorders>
                  <w:shd w:val="clear" w:color="auto" w:fill="auto"/>
                  <w:vAlign w:val="center"/>
                </w:tcPr>
                <w:p>
                  <w:pPr>
                    <w:pStyle w:val="46"/>
                    <w:rPr>
                      <w:rFonts w:hint="eastAsia" w:ascii="Times New Roman" w:hAnsi="Times New Roman" w:eastAsia="宋体" w:cs="Times New Roman"/>
                      <w:color w:val="auto"/>
                      <w:kern w:val="0"/>
                      <w:sz w:val="18"/>
                      <w:szCs w:val="18"/>
                      <w:lang w:val="en-US" w:eastAsia="zh-CN" w:bidi="ar-SA"/>
                    </w:rPr>
                  </w:pPr>
                  <w:r>
                    <w:rPr>
                      <w:rFonts w:hint="eastAsia"/>
                      <w:color w:val="auto"/>
                      <w:sz w:val="18"/>
                      <w:szCs w:val="18"/>
                    </w:rPr>
                    <w:t>HW49</w:t>
                  </w:r>
                </w:p>
              </w:tc>
              <w:tc>
                <w:tcPr>
                  <w:tcW w:w="1156" w:type="dxa"/>
                  <w:tcBorders>
                    <w:tl2br w:val="nil"/>
                    <w:tr2bl w:val="nil"/>
                  </w:tcBorders>
                  <w:shd w:val="clear" w:color="auto" w:fill="auto"/>
                  <w:vAlign w:val="center"/>
                </w:tcPr>
                <w:p>
                  <w:pPr>
                    <w:pStyle w:val="46"/>
                    <w:rPr>
                      <w:rFonts w:hint="eastAsia" w:ascii="Times New Roman" w:hAnsi="Times New Roman" w:eastAsia="宋体" w:cs="Times New Roman"/>
                      <w:color w:val="auto"/>
                      <w:kern w:val="0"/>
                      <w:sz w:val="18"/>
                      <w:szCs w:val="18"/>
                      <w:lang w:val="en-US" w:eastAsia="zh-CN" w:bidi="ar-SA"/>
                    </w:rPr>
                  </w:pPr>
                  <w:r>
                    <w:rPr>
                      <w:rFonts w:hint="eastAsia" w:ascii="Times New Roman" w:hAnsi="Times New Roman" w:eastAsia="宋体" w:cs="Times New Roman"/>
                      <w:color w:val="auto"/>
                      <w:kern w:val="0"/>
                      <w:sz w:val="18"/>
                      <w:szCs w:val="18"/>
                      <w:lang w:val="en-US" w:eastAsia="zh-CN" w:bidi="ar-SA"/>
                    </w:rPr>
                    <w:t>722-006-49</w:t>
                  </w:r>
                </w:p>
              </w:tc>
              <w:tc>
                <w:tcPr>
                  <w:tcW w:w="759" w:type="dxa"/>
                  <w:tcBorders>
                    <w:tl2br w:val="nil"/>
                    <w:tr2bl w:val="nil"/>
                  </w:tcBorders>
                  <w:vAlign w:val="center"/>
                </w:tcPr>
                <w:p>
                  <w:pPr>
                    <w:pStyle w:val="46"/>
                    <w:rPr>
                      <w:rFonts w:hint="default"/>
                      <w:color w:val="auto"/>
                      <w:sz w:val="18"/>
                      <w:szCs w:val="18"/>
                      <w:lang w:val="en-US" w:eastAsia="zh-CN"/>
                    </w:rPr>
                  </w:pPr>
                  <w:r>
                    <w:rPr>
                      <w:rFonts w:hint="eastAsia"/>
                      <w:color w:val="auto"/>
                      <w:sz w:val="18"/>
                      <w:szCs w:val="18"/>
                      <w:lang w:val="en-US" w:eastAsia="zh-CN"/>
                    </w:rPr>
                    <w:t>8</w:t>
                  </w:r>
                </w:p>
              </w:tc>
              <w:tc>
                <w:tcPr>
                  <w:tcW w:w="634" w:type="dxa"/>
                  <w:tcBorders>
                    <w:tl2br w:val="nil"/>
                    <w:tr2bl w:val="nil"/>
                  </w:tcBorders>
                  <w:vAlign w:val="center"/>
                </w:tcPr>
                <w:p>
                  <w:pPr>
                    <w:pStyle w:val="46"/>
                    <w:rPr>
                      <w:rFonts w:hint="eastAsia"/>
                      <w:color w:val="auto"/>
                      <w:sz w:val="18"/>
                      <w:szCs w:val="18"/>
                    </w:rPr>
                  </w:pPr>
                  <w:r>
                    <w:rPr>
                      <w:rFonts w:hint="eastAsia"/>
                      <w:color w:val="auto"/>
                      <w:sz w:val="18"/>
                      <w:szCs w:val="18"/>
                    </w:rPr>
                    <w:t>有机废气处理设施</w:t>
                  </w:r>
                </w:p>
              </w:tc>
              <w:tc>
                <w:tcPr>
                  <w:tcW w:w="450" w:type="dxa"/>
                  <w:tcBorders>
                    <w:tl2br w:val="nil"/>
                    <w:tr2bl w:val="nil"/>
                  </w:tcBorders>
                  <w:vAlign w:val="center"/>
                </w:tcPr>
                <w:p>
                  <w:pPr>
                    <w:wordWrap w:val="0"/>
                    <w:overflowPunct w:val="0"/>
                    <w:topLinePunct/>
                    <w:jc w:val="center"/>
                    <w:rPr>
                      <w:rFonts w:hint="eastAsia"/>
                      <w:color w:val="auto"/>
                      <w:kern w:val="0"/>
                      <w:sz w:val="18"/>
                      <w:szCs w:val="18"/>
                    </w:rPr>
                  </w:pPr>
                  <w:r>
                    <w:rPr>
                      <w:rFonts w:hint="eastAsia"/>
                      <w:color w:val="auto"/>
                      <w:kern w:val="0"/>
                      <w:sz w:val="18"/>
                      <w:szCs w:val="18"/>
                    </w:rPr>
                    <w:t>L</w:t>
                  </w:r>
                </w:p>
              </w:tc>
              <w:tc>
                <w:tcPr>
                  <w:tcW w:w="780" w:type="dxa"/>
                  <w:tcBorders>
                    <w:tl2br w:val="nil"/>
                    <w:tr2bl w:val="nil"/>
                  </w:tcBorders>
                  <w:vAlign w:val="center"/>
                </w:tcPr>
                <w:p>
                  <w:pPr>
                    <w:pStyle w:val="46"/>
                    <w:rPr>
                      <w:rFonts w:hint="eastAsia"/>
                      <w:color w:val="auto"/>
                      <w:sz w:val="18"/>
                      <w:szCs w:val="18"/>
                    </w:rPr>
                  </w:pPr>
                  <w:r>
                    <w:rPr>
                      <w:rFonts w:hint="eastAsia"/>
                      <w:color w:val="auto"/>
                      <w:sz w:val="18"/>
                      <w:szCs w:val="18"/>
                    </w:rPr>
                    <w:t>有机废气</w:t>
                  </w:r>
                </w:p>
              </w:tc>
              <w:tc>
                <w:tcPr>
                  <w:tcW w:w="642" w:type="dxa"/>
                  <w:tcBorders>
                    <w:tl2br w:val="nil"/>
                    <w:tr2bl w:val="nil"/>
                  </w:tcBorders>
                  <w:vAlign w:val="center"/>
                </w:tcPr>
                <w:p>
                  <w:pPr>
                    <w:wordWrap w:val="0"/>
                    <w:overflowPunct w:val="0"/>
                    <w:topLinePunct/>
                    <w:jc w:val="center"/>
                    <w:rPr>
                      <w:rFonts w:hint="default" w:eastAsia="宋体"/>
                      <w:color w:val="auto"/>
                      <w:kern w:val="0"/>
                      <w:sz w:val="18"/>
                      <w:szCs w:val="18"/>
                      <w:lang w:val="en-US" w:eastAsia="zh-CN"/>
                    </w:rPr>
                  </w:pPr>
                  <w:r>
                    <w:rPr>
                      <w:rFonts w:hint="eastAsia"/>
                      <w:color w:val="auto"/>
                      <w:kern w:val="0"/>
                      <w:sz w:val="18"/>
                      <w:szCs w:val="18"/>
                      <w:lang w:val="en-US" w:eastAsia="zh-CN"/>
                    </w:rPr>
                    <w:t>6个月</w:t>
                  </w:r>
                </w:p>
              </w:tc>
              <w:tc>
                <w:tcPr>
                  <w:tcW w:w="650" w:type="dxa"/>
                  <w:tcBorders>
                    <w:tl2br w:val="nil"/>
                    <w:tr2bl w:val="nil"/>
                  </w:tcBorders>
                  <w:vAlign w:val="center"/>
                </w:tcPr>
                <w:p>
                  <w:pPr>
                    <w:pStyle w:val="46"/>
                    <w:rPr>
                      <w:rFonts w:hint="eastAsia"/>
                      <w:color w:val="auto"/>
                    </w:rPr>
                  </w:pPr>
                  <w:r>
                    <w:rPr>
                      <w:rFonts w:hint="eastAsia"/>
                      <w:color w:val="auto"/>
                    </w:rPr>
                    <w:t>T/In</w:t>
                  </w:r>
                </w:p>
              </w:tc>
              <w:tc>
                <w:tcPr>
                  <w:tcW w:w="820" w:type="dxa"/>
                  <w:vMerge w:val="continue"/>
                  <w:tcBorders>
                    <w:tl2br w:val="nil"/>
                    <w:tr2bl w:val="nil"/>
                  </w:tcBorders>
                  <w:vAlign w:val="center"/>
                </w:tcPr>
                <w:p>
                  <w:pPr>
                    <w:wordWrap w:val="0"/>
                    <w:overflowPunct w:val="0"/>
                    <w:topLinePunct/>
                    <w:jc w:val="center"/>
                    <w:rPr>
                      <w:color w:val="auto"/>
                      <w:sz w:val="18"/>
                      <w:szCs w:val="18"/>
                    </w:rPr>
                  </w:pPr>
                </w:p>
              </w:tc>
              <w:tc>
                <w:tcPr>
                  <w:tcW w:w="585" w:type="dxa"/>
                  <w:vMerge w:val="continue"/>
                  <w:tcBorders>
                    <w:tl2br w:val="nil"/>
                    <w:tr2bl w:val="nil"/>
                  </w:tcBorders>
                  <w:vAlign w:val="center"/>
                </w:tcPr>
                <w:p>
                  <w:pPr>
                    <w:wordWrap w:val="0"/>
                    <w:overflowPunct w:val="0"/>
                    <w:topLinePunct/>
                    <w:jc w:val="center"/>
                    <w:rPr>
                      <w:color w:val="auto"/>
                      <w:sz w:val="18"/>
                      <w:szCs w:val="18"/>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9" w:type="dxa"/>
                  <w:tcBorders>
                    <w:tl2br w:val="nil"/>
                    <w:tr2bl w:val="nil"/>
                  </w:tcBorders>
                  <w:vAlign w:val="center"/>
                </w:tcPr>
                <w:p>
                  <w:pPr>
                    <w:wordWrap w:val="0"/>
                    <w:overflowPunct w:val="0"/>
                    <w:topLinePunct/>
                    <w:jc w:val="center"/>
                    <w:rPr>
                      <w:rFonts w:hint="eastAsia" w:eastAsia="宋体"/>
                      <w:color w:val="auto"/>
                      <w:kern w:val="0"/>
                      <w:sz w:val="18"/>
                      <w:szCs w:val="18"/>
                      <w:lang w:val="en-US" w:eastAsia="zh-CN"/>
                    </w:rPr>
                  </w:pPr>
                  <w:r>
                    <w:rPr>
                      <w:rFonts w:hint="eastAsia"/>
                      <w:color w:val="auto"/>
                      <w:kern w:val="0"/>
                      <w:sz w:val="18"/>
                      <w:szCs w:val="18"/>
                      <w:lang w:val="en-US" w:eastAsia="zh-CN"/>
                    </w:rPr>
                    <w:t>7</w:t>
                  </w:r>
                </w:p>
              </w:tc>
              <w:tc>
                <w:tcPr>
                  <w:tcW w:w="765" w:type="dxa"/>
                  <w:tcBorders>
                    <w:tl2br w:val="nil"/>
                    <w:tr2bl w:val="nil"/>
                  </w:tcBorders>
                  <w:vAlign w:val="center"/>
                </w:tcPr>
                <w:p>
                  <w:pPr>
                    <w:pStyle w:val="46"/>
                    <w:rPr>
                      <w:color w:val="auto"/>
                      <w:sz w:val="18"/>
                      <w:szCs w:val="18"/>
                    </w:rPr>
                  </w:pPr>
                  <w:r>
                    <w:rPr>
                      <w:rFonts w:hint="eastAsia"/>
                      <w:color w:val="auto"/>
                      <w:sz w:val="18"/>
                      <w:szCs w:val="18"/>
                    </w:rPr>
                    <w:t>印刷滚筒擦拭废布</w:t>
                  </w:r>
                </w:p>
              </w:tc>
              <w:tc>
                <w:tcPr>
                  <w:tcW w:w="814" w:type="dxa"/>
                  <w:tcBorders>
                    <w:tl2br w:val="nil"/>
                    <w:tr2bl w:val="nil"/>
                  </w:tcBorders>
                  <w:vAlign w:val="center"/>
                </w:tcPr>
                <w:p>
                  <w:pPr>
                    <w:pStyle w:val="46"/>
                    <w:rPr>
                      <w:color w:val="auto"/>
                      <w:sz w:val="18"/>
                      <w:szCs w:val="18"/>
                    </w:rPr>
                  </w:pPr>
                  <w:r>
                    <w:rPr>
                      <w:rFonts w:hint="eastAsia"/>
                      <w:color w:val="auto"/>
                      <w:sz w:val="18"/>
                      <w:szCs w:val="18"/>
                    </w:rPr>
                    <w:t>HW49</w:t>
                  </w:r>
                </w:p>
              </w:tc>
              <w:tc>
                <w:tcPr>
                  <w:tcW w:w="1156" w:type="dxa"/>
                  <w:tcBorders>
                    <w:tl2br w:val="nil"/>
                    <w:tr2bl w:val="nil"/>
                  </w:tcBorders>
                  <w:vAlign w:val="center"/>
                </w:tcPr>
                <w:p>
                  <w:pPr>
                    <w:pStyle w:val="46"/>
                    <w:rPr>
                      <w:color w:val="auto"/>
                      <w:kern w:val="0"/>
                      <w:sz w:val="18"/>
                      <w:szCs w:val="18"/>
                    </w:rPr>
                  </w:pPr>
                  <w:r>
                    <w:rPr>
                      <w:color w:val="auto"/>
                      <w:kern w:val="0"/>
                      <w:sz w:val="18"/>
                      <w:szCs w:val="18"/>
                    </w:rPr>
                    <w:t>900-041-49</w:t>
                  </w:r>
                </w:p>
              </w:tc>
              <w:tc>
                <w:tcPr>
                  <w:tcW w:w="759" w:type="dxa"/>
                  <w:tcBorders>
                    <w:tl2br w:val="nil"/>
                    <w:tr2bl w:val="nil"/>
                  </w:tcBorders>
                  <w:vAlign w:val="center"/>
                </w:tcPr>
                <w:p>
                  <w:pPr>
                    <w:pStyle w:val="46"/>
                    <w:rPr>
                      <w:color w:val="auto"/>
                      <w:sz w:val="18"/>
                      <w:szCs w:val="18"/>
                    </w:rPr>
                  </w:pPr>
                  <w:r>
                    <w:rPr>
                      <w:rFonts w:hint="eastAsia"/>
                      <w:color w:val="auto"/>
                      <w:sz w:val="18"/>
                      <w:szCs w:val="18"/>
                    </w:rPr>
                    <w:t>0.45</w:t>
                  </w:r>
                </w:p>
              </w:tc>
              <w:tc>
                <w:tcPr>
                  <w:tcW w:w="634" w:type="dxa"/>
                  <w:tcBorders>
                    <w:tl2br w:val="nil"/>
                    <w:tr2bl w:val="nil"/>
                  </w:tcBorders>
                  <w:vAlign w:val="center"/>
                </w:tcPr>
                <w:p>
                  <w:pPr>
                    <w:pStyle w:val="46"/>
                    <w:rPr>
                      <w:color w:val="auto"/>
                      <w:sz w:val="18"/>
                      <w:szCs w:val="18"/>
                    </w:rPr>
                  </w:pPr>
                  <w:r>
                    <w:rPr>
                      <w:rFonts w:hint="eastAsia"/>
                      <w:color w:val="auto"/>
                      <w:sz w:val="18"/>
                      <w:szCs w:val="18"/>
                    </w:rPr>
                    <w:t>擦拭印刷辊筒</w:t>
                  </w:r>
                </w:p>
              </w:tc>
              <w:tc>
                <w:tcPr>
                  <w:tcW w:w="450"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S</w:t>
                  </w:r>
                </w:p>
              </w:tc>
              <w:tc>
                <w:tcPr>
                  <w:tcW w:w="780" w:type="dxa"/>
                  <w:tcBorders>
                    <w:tl2br w:val="nil"/>
                    <w:tr2bl w:val="nil"/>
                  </w:tcBorders>
                  <w:vAlign w:val="center"/>
                </w:tcPr>
                <w:p>
                  <w:pPr>
                    <w:pStyle w:val="46"/>
                    <w:rPr>
                      <w:color w:val="auto"/>
                      <w:sz w:val="18"/>
                      <w:szCs w:val="18"/>
                    </w:rPr>
                  </w:pPr>
                  <w:r>
                    <w:rPr>
                      <w:rFonts w:hint="eastAsia"/>
                      <w:bCs/>
                      <w:color w:val="auto"/>
                      <w:sz w:val="18"/>
                      <w:szCs w:val="18"/>
                    </w:rPr>
                    <w:t>油墨、有机溶剂</w:t>
                  </w:r>
                </w:p>
              </w:tc>
              <w:tc>
                <w:tcPr>
                  <w:tcW w:w="642" w:type="dxa"/>
                  <w:tcBorders>
                    <w:tl2br w:val="nil"/>
                    <w:tr2bl w:val="nil"/>
                  </w:tcBorders>
                  <w:vAlign w:val="center"/>
                </w:tcPr>
                <w:p>
                  <w:pPr>
                    <w:wordWrap w:val="0"/>
                    <w:overflowPunct w:val="0"/>
                    <w:topLinePunct/>
                    <w:jc w:val="center"/>
                    <w:rPr>
                      <w:color w:val="auto"/>
                      <w:kern w:val="0"/>
                      <w:sz w:val="18"/>
                      <w:szCs w:val="18"/>
                    </w:rPr>
                  </w:pPr>
                  <w:r>
                    <w:rPr>
                      <w:rFonts w:hint="eastAsia"/>
                      <w:color w:val="auto"/>
                      <w:kern w:val="0"/>
                      <w:sz w:val="18"/>
                      <w:szCs w:val="18"/>
                    </w:rPr>
                    <w:t>不定期</w:t>
                  </w:r>
                </w:p>
              </w:tc>
              <w:tc>
                <w:tcPr>
                  <w:tcW w:w="650" w:type="dxa"/>
                  <w:tcBorders>
                    <w:tl2br w:val="nil"/>
                    <w:tr2bl w:val="nil"/>
                  </w:tcBorders>
                  <w:vAlign w:val="center"/>
                </w:tcPr>
                <w:p>
                  <w:pPr>
                    <w:pStyle w:val="46"/>
                    <w:rPr>
                      <w:color w:val="auto"/>
                      <w:sz w:val="18"/>
                      <w:szCs w:val="18"/>
                    </w:rPr>
                  </w:pPr>
                  <w:r>
                    <w:rPr>
                      <w:rFonts w:hint="eastAsia"/>
                      <w:color w:val="auto"/>
                    </w:rPr>
                    <w:t>T/In</w:t>
                  </w:r>
                </w:p>
              </w:tc>
              <w:tc>
                <w:tcPr>
                  <w:tcW w:w="820" w:type="dxa"/>
                  <w:vMerge w:val="continue"/>
                  <w:tcBorders>
                    <w:tl2br w:val="nil"/>
                    <w:tr2bl w:val="nil"/>
                  </w:tcBorders>
                  <w:vAlign w:val="center"/>
                </w:tcPr>
                <w:p>
                  <w:pPr>
                    <w:wordWrap w:val="0"/>
                    <w:overflowPunct w:val="0"/>
                    <w:topLinePunct/>
                    <w:jc w:val="center"/>
                    <w:rPr>
                      <w:color w:val="auto"/>
                      <w:sz w:val="18"/>
                      <w:szCs w:val="18"/>
                    </w:rPr>
                  </w:pPr>
                </w:p>
              </w:tc>
              <w:tc>
                <w:tcPr>
                  <w:tcW w:w="585" w:type="dxa"/>
                  <w:vMerge w:val="continue"/>
                  <w:tcBorders>
                    <w:tl2br w:val="nil"/>
                    <w:tr2bl w:val="nil"/>
                  </w:tcBorders>
                  <w:vAlign w:val="center"/>
                </w:tcPr>
                <w:p>
                  <w:pPr>
                    <w:wordWrap w:val="0"/>
                    <w:overflowPunct w:val="0"/>
                    <w:topLinePunct/>
                    <w:jc w:val="center"/>
                    <w:rPr>
                      <w:color w:val="auto"/>
                      <w:sz w:val="18"/>
                      <w:szCs w:val="18"/>
                    </w:rPr>
                  </w:pPr>
                </w:p>
              </w:tc>
            </w:tr>
          </w:tbl>
          <w:p>
            <w:pPr>
              <w:pStyle w:val="116"/>
              <w:rPr>
                <w:rFonts w:eastAsia="宋体" w:cs="Times New Roman"/>
                <w:b/>
                <w:bCs w:val="0"/>
                <w:color w:val="auto"/>
                <w:sz w:val="30"/>
                <w:szCs w:val="30"/>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2固体废物环境管理要求</w:t>
            </w:r>
          </w:p>
          <w:p>
            <w:pPr>
              <w:pStyle w:val="97"/>
              <w:ind w:firstLine="480"/>
              <w:rPr>
                <w:color w:val="auto"/>
              </w:rPr>
            </w:pPr>
            <w:r>
              <w:rPr>
                <w:rFonts w:hint="eastAsia"/>
                <w:color w:val="auto"/>
              </w:rPr>
              <w:t>(1)</w:t>
            </w:r>
            <w:r>
              <w:rPr>
                <w:color w:val="auto"/>
              </w:rPr>
              <w:t>一般工业固体废物的贮存和管理</w:t>
            </w:r>
          </w:p>
          <w:p>
            <w:pPr>
              <w:pStyle w:val="97"/>
              <w:ind w:firstLine="480"/>
              <w:rPr>
                <w:color w:val="auto"/>
              </w:rPr>
            </w:pPr>
            <w:r>
              <w:rPr>
                <w:color w:val="auto"/>
              </w:rPr>
              <w:t>根据国家《一般工业固体废物贮存和填埋污染控制标准》（GB18599-2020）中的要求，一般工业固体废物的贮存和管理应做到：</w:t>
            </w:r>
          </w:p>
          <w:p>
            <w:pPr>
              <w:pStyle w:val="97"/>
              <w:ind w:firstLine="480"/>
              <w:rPr>
                <w:color w:val="auto"/>
              </w:rPr>
            </w:pPr>
            <w:r>
              <w:rPr>
                <w:color w:val="auto"/>
              </w:rPr>
              <w:t>①一般工业固体废物应按Ⅰ类和Ⅱ类废物分别储存，建立分类收集房。不允许将危险废物和生活垃圾混入。</w:t>
            </w:r>
          </w:p>
          <w:p>
            <w:pPr>
              <w:pStyle w:val="97"/>
              <w:ind w:firstLine="480"/>
              <w:rPr>
                <w:color w:val="auto"/>
              </w:rPr>
            </w:pPr>
            <w:r>
              <w:rPr>
                <w:color w:val="auto"/>
              </w:rPr>
              <w:t>②尽量将可利用的一般工业固体废物回收、利用。</w:t>
            </w:r>
          </w:p>
          <w:p>
            <w:pPr>
              <w:pStyle w:val="97"/>
              <w:ind w:firstLine="480"/>
              <w:rPr>
                <w:color w:val="auto"/>
              </w:rPr>
            </w:pPr>
            <w:r>
              <w:rPr>
                <w:color w:val="auto"/>
              </w:rPr>
              <w:t>③临时储存地点必须建有雨棚，不允许露天堆放，以防止雨水冲刷，雨水应通过场地四周导流渠流向雨水排放管；临时堆放场地为水泥铺设地面，以防渗漏。</w:t>
            </w:r>
          </w:p>
          <w:p>
            <w:pPr>
              <w:pStyle w:val="97"/>
              <w:ind w:firstLine="480"/>
              <w:rPr>
                <w:color w:val="auto"/>
              </w:rPr>
            </w:pPr>
            <w:r>
              <w:rPr>
                <w:color w:val="auto"/>
              </w:rPr>
              <w:fldChar w:fldCharType="begin"/>
            </w:r>
            <w:r>
              <w:rPr>
                <w:color w:val="auto"/>
              </w:rPr>
              <w:instrText xml:space="preserve"> = 4 \* GB3 \* MERGEFORMAT </w:instrText>
            </w:r>
            <w:r>
              <w:rPr>
                <w:color w:val="auto"/>
              </w:rPr>
              <w:fldChar w:fldCharType="separate"/>
            </w:r>
            <w:r>
              <w:rPr>
                <w:color w:val="auto"/>
              </w:rPr>
              <w:t>④</w:t>
            </w:r>
            <w:r>
              <w:rPr>
                <w:color w:val="auto"/>
              </w:rPr>
              <w:fldChar w:fldCharType="end"/>
            </w:r>
            <w:r>
              <w:rPr>
                <w:color w:val="auto"/>
              </w:rPr>
              <w:t>采用库房、包装工具（罐、桶、包装袋等）贮存一般工业固体废物的，贮存过程应满足相应防渗漏、防雨淋、防扬尘等环境保护要求；</w:t>
            </w:r>
          </w:p>
          <w:p>
            <w:pPr>
              <w:pStyle w:val="97"/>
              <w:ind w:firstLine="480"/>
              <w:rPr>
                <w:color w:val="auto"/>
              </w:rPr>
            </w:pPr>
            <w:r>
              <w:rPr>
                <w:color w:val="auto"/>
              </w:rPr>
              <w:fldChar w:fldCharType="begin"/>
            </w:r>
            <w:r>
              <w:rPr>
                <w:color w:val="auto"/>
              </w:rPr>
              <w:instrText xml:space="preserve"> = 5 \* GB3 \* MERGEFORMAT </w:instrText>
            </w:r>
            <w:r>
              <w:rPr>
                <w:color w:val="auto"/>
              </w:rPr>
              <w:fldChar w:fldCharType="separate"/>
            </w:r>
            <w:r>
              <w:rPr>
                <w:color w:val="auto"/>
              </w:rPr>
              <w:t>⑤</w:t>
            </w:r>
            <w:r>
              <w:rPr>
                <w:color w:val="auto"/>
              </w:rPr>
              <w:fldChar w:fldCharType="end"/>
            </w:r>
            <w:r>
              <w:rPr>
                <w:color w:val="auto"/>
              </w:rPr>
              <w:t>贮存场应设置清晰、完整的一般工业固体废物标志牌等。</w:t>
            </w:r>
          </w:p>
          <w:p>
            <w:pPr>
              <w:pStyle w:val="97"/>
              <w:ind w:firstLine="480"/>
              <w:rPr>
                <w:color w:val="auto"/>
              </w:rPr>
            </w:pPr>
            <w:r>
              <w:rPr>
                <w:rFonts w:hint="eastAsia"/>
                <w:color w:val="auto"/>
              </w:rPr>
              <w:t>扩建项目拟建一般固废仓库，位于厂房一楼的西南侧，面积约为30m</w:t>
            </w:r>
            <w:r>
              <w:rPr>
                <w:rFonts w:hint="eastAsia"/>
                <w:color w:val="auto"/>
                <w:vertAlign w:val="superscript"/>
              </w:rPr>
              <w:t>2</w:t>
            </w:r>
            <w:r>
              <w:rPr>
                <w:rFonts w:hint="eastAsia"/>
                <w:color w:val="auto"/>
              </w:rPr>
              <w:t>，地面硬化，可满足</w:t>
            </w:r>
            <w:r>
              <w:rPr>
                <w:color w:val="auto"/>
              </w:rPr>
              <w:t>GB18599-2020</w:t>
            </w:r>
            <w:r>
              <w:rPr>
                <w:rFonts w:hint="eastAsia"/>
                <w:color w:val="auto"/>
              </w:rPr>
              <w:t>管理要求</w:t>
            </w:r>
            <w:r>
              <w:rPr>
                <w:color w:val="auto"/>
              </w:rPr>
              <w:t>。</w:t>
            </w:r>
          </w:p>
          <w:p>
            <w:pPr>
              <w:pStyle w:val="97"/>
              <w:ind w:firstLine="480"/>
              <w:rPr>
                <w:color w:val="auto"/>
              </w:rPr>
            </w:pPr>
            <w:r>
              <w:rPr>
                <w:rFonts w:hint="eastAsia"/>
                <w:color w:val="auto"/>
              </w:rPr>
              <w:t>(2)</w:t>
            </w:r>
            <w:r>
              <w:rPr>
                <w:color w:val="auto"/>
              </w:rPr>
              <w:t>危险废物的贮存和管理</w:t>
            </w:r>
          </w:p>
          <w:p>
            <w:pPr>
              <w:pStyle w:val="97"/>
              <w:ind w:firstLine="480"/>
              <w:rPr>
                <w:color w:val="auto"/>
              </w:rPr>
            </w:pPr>
            <w:r>
              <w:rPr>
                <w:rFonts w:hint="eastAsia"/>
                <w:color w:val="auto"/>
              </w:rPr>
              <w:t>①危险废物可能造成的环境影响</w:t>
            </w:r>
          </w:p>
          <w:p>
            <w:pPr>
              <w:pStyle w:val="97"/>
              <w:ind w:firstLine="480"/>
              <w:rPr>
                <w:color w:val="auto"/>
              </w:rPr>
            </w:pPr>
            <w:r>
              <w:rPr>
                <w:rFonts w:hint="eastAsia"/>
                <w:color w:val="auto"/>
              </w:rPr>
              <w:t>危险废物对人体危害主要通过摄入、吸入、皮肤吸收、眼接触会引起毒害；危险废物不处理或不规范处理处置，随意排放、贮存的危废容易引起燃烧、爆炸等危险性事件；在雨水地下水的长期渗透、扩散作用下，会污染水体和土壤等，降低地区的环境功能等级等环境影响。</w:t>
            </w:r>
          </w:p>
          <w:p>
            <w:pPr>
              <w:pStyle w:val="97"/>
              <w:ind w:firstLine="480"/>
              <w:rPr>
                <w:color w:val="auto"/>
              </w:rPr>
            </w:pPr>
            <w:r>
              <w:rPr>
                <w:rFonts w:hint="eastAsia"/>
                <w:color w:val="auto"/>
              </w:rPr>
              <w:t>②危险废物贮存场所环境影响分析</w:t>
            </w:r>
          </w:p>
          <w:p>
            <w:pPr>
              <w:pStyle w:val="97"/>
              <w:ind w:firstLine="480"/>
              <w:rPr>
                <w:color w:val="auto"/>
              </w:rPr>
            </w:pPr>
            <w:r>
              <w:rPr>
                <w:rFonts w:hint="eastAsia"/>
                <w:color w:val="auto"/>
              </w:rPr>
              <w:t>扩建项目危废仓库应按照《危险废物贮存污染控制标准》（GB18597-2023）要求进行建设，具备防风、防雨、防晒、防渗漏。扩建项目拟建危废仓库，位于厂房一楼的西南侧，面积约为20m</w:t>
            </w:r>
            <w:r>
              <w:rPr>
                <w:rFonts w:hint="eastAsia"/>
                <w:color w:val="auto"/>
                <w:vertAlign w:val="superscript"/>
              </w:rPr>
              <w:t>2</w:t>
            </w:r>
            <w:r>
              <w:rPr>
                <w:rFonts w:hint="eastAsia"/>
                <w:color w:val="auto"/>
              </w:rPr>
              <w:t>，贮存能力为</w:t>
            </w:r>
            <w:r>
              <w:rPr>
                <w:rFonts w:hint="eastAsia"/>
                <w:color w:val="auto"/>
                <w:lang w:val="en-US" w:eastAsia="zh-CN"/>
              </w:rPr>
              <w:t>15</w:t>
            </w:r>
            <w:r>
              <w:rPr>
                <w:rFonts w:hint="eastAsia"/>
                <w:color w:val="auto"/>
              </w:rPr>
              <w:t>t，贮存周期为</w:t>
            </w:r>
            <w:r>
              <w:rPr>
                <w:rFonts w:hint="eastAsia"/>
                <w:color w:val="auto"/>
                <w:lang w:val="en-US" w:eastAsia="zh-CN"/>
              </w:rPr>
              <w:t>半年</w:t>
            </w:r>
            <w:r>
              <w:rPr>
                <w:rFonts w:hint="eastAsia"/>
                <w:color w:val="auto"/>
              </w:rPr>
              <w:t>，可满足扩建项目危险废物的贮存要求。危险废物贮存场所基础必须防渗，防渗层为至少1m厚黏土层（渗透系数≤10</w:t>
            </w:r>
            <w:r>
              <w:rPr>
                <w:rFonts w:hint="eastAsia"/>
                <w:color w:val="auto"/>
                <w:vertAlign w:val="superscript"/>
              </w:rPr>
              <w:t>-7</w:t>
            </w:r>
            <w:r>
              <w:rPr>
                <w:rFonts w:hint="eastAsia"/>
                <w:color w:val="auto"/>
              </w:rPr>
              <w:t>cm/s，或2mm厚高密度聚乙烯，或至少2mm厚的其他人工材料，渗透系数≤10</w:t>
            </w:r>
            <w:r>
              <w:rPr>
                <w:rFonts w:hint="eastAsia"/>
                <w:color w:val="auto"/>
                <w:vertAlign w:val="superscript"/>
              </w:rPr>
              <w:t>-10</w:t>
            </w:r>
            <w:r>
              <w:rPr>
                <w:rFonts w:hint="eastAsia"/>
                <w:color w:val="auto"/>
              </w:rPr>
              <w:t>cm/s），并设置围堰等。采取以上措施，危险废物贮存场所符合要求。</w:t>
            </w:r>
          </w:p>
          <w:p>
            <w:pPr>
              <w:pStyle w:val="97"/>
              <w:ind w:firstLine="480"/>
              <w:rPr>
                <w:color w:val="auto"/>
              </w:rPr>
            </w:pPr>
            <w:r>
              <w:rPr>
                <w:rFonts w:hint="eastAsia"/>
                <w:color w:val="auto"/>
              </w:rPr>
              <w:t>贮存应符合下列要求：</w:t>
            </w:r>
          </w:p>
          <w:p>
            <w:pPr>
              <w:pStyle w:val="97"/>
              <w:numPr>
                <w:ilvl w:val="0"/>
                <w:numId w:val="7"/>
              </w:numPr>
              <w:ind w:firstLine="480"/>
              <w:rPr>
                <w:color w:val="auto"/>
              </w:rPr>
            </w:pPr>
            <w:r>
              <w:rPr>
                <w:rFonts w:hint="eastAsia"/>
                <w:color w:val="auto"/>
              </w:rPr>
              <w:t>必须将危险废物装入密闭容器内，并确保完好无损；</w:t>
            </w:r>
          </w:p>
          <w:p>
            <w:pPr>
              <w:pStyle w:val="97"/>
              <w:ind w:firstLine="480"/>
              <w:rPr>
                <w:color w:val="auto"/>
              </w:rPr>
            </w:pPr>
            <w:r>
              <w:rPr>
                <w:rFonts w:hint="eastAsia"/>
                <w:color w:val="auto"/>
              </w:rPr>
              <w:t>2）装载危险废物的容器及材质要满足相应的强度要求；</w:t>
            </w:r>
          </w:p>
          <w:p>
            <w:pPr>
              <w:pStyle w:val="97"/>
              <w:numPr>
                <w:ilvl w:val="0"/>
                <w:numId w:val="8"/>
              </w:numPr>
              <w:ind w:firstLine="480"/>
              <w:rPr>
                <w:color w:val="auto"/>
              </w:rPr>
            </w:pPr>
            <w:r>
              <w:rPr>
                <w:rFonts w:hint="eastAsia"/>
                <w:color w:val="auto"/>
              </w:rPr>
              <w:t>应当使用符合标准的容器盛装危险废物；</w:t>
            </w:r>
          </w:p>
          <w:p>
            <w:pPr>
              <w:pStyle w:val="97"/>
              <w:numPr>
                <w:ilvl w:val="0"/>
                <w:numId w:val="8"/>
              </w:numPr>
              <w:ind w:firstLine="480"/>
              <w:rPr>
                <w:color w:val="auto"/>
              </w:rPr>
            </w:pPr>
            <w:r>
              <w:rPr>
                <w:rFonts w:hint="eastAsia"/>
                <w:color w:val="auto"/>
              </w:rPr>
              <w:t>盛装危险废物的容器材质要与危险废物相容（不相互反应）；</w:t>
            </w:r>
          </w:p>
          <w:p>
            <w:pPr>
              <w:pStyle w:val="97"/>
              <w:numPr>
                <w:ilvl w:val="0"/>
                <w:numId w:val="8"/>
              </w:numPr>
              <w:ind w:firstLine="480"/>
              <w:rPr>
                <w:color w:val="auto"/>
              </w:rPr>
            </w:pPr>
            <w:r>
              <w:rPr>
                <w:rFonts w:hint="eastAsia"/>
                <w:color w:val="auto"/>
              </w:rPr>
              <w:t>盛装危险废物的容器上必须粘贴符合标准的标签。</w:t>
            </w:r>
          </w:p>
          <w:p>
            <w:pPr>
              <w:pStyle w:val="97"/>
              <w:numPr>
                <w:ilvl w:val="0"/>
                <w:numId w:val="8"/>
              </w:numPr>
              <w:ind w:firstLine="480"/>
              <w:rPr>
                <w:color w:val="auto"/>
              </w:rPr>
            </w:pPr>
            <w:r>
              <w:rPr>
                <w:rFonts w:hint="eastAsia"/>
                <w:color w:val="auto"/>
              </w:rPr>
              <w:t>按《危险废物识别标志设置技术规范》（HJ1276-2022）在收集场所醒目的地方设置危险废物警告标识。</w:t>
            </w:r>
          </w:p>
          <w:p>
            <w:pPr>
              <w:pStyle w:val="97"/>
              <w:ind w:firstLine="480"/>
              <w:rPr>
                <w:color w:val="auto"/>
              </w:rPr>
            </w:pPr>
            <w:r>
              <w:rPr>
                <w:rFonts w:hint="eastAsia"/>
                <w:color w:val="auto"/>
              </w:rPr>
              <w:t>流转管理要求：企业必须对危险固废进行申报登记，制定定期外运制度，并对危险废物的流向和最终处置进行跟踪，确保固废得到有效处置，禁止在转移过程中将危险废物排放至环境中。</w:t>
            </w:r>
          </w:p>
          <w:p>
            <w:pPr>
              <w:pStyle w:val="97"/>
              <w:ind w:firstLine="480"/>
              <w:rPr>
                <w:color w:val="auto"/>
              </w:rPr>
            </w:pPr>
            <w:r>
              <w:rPr>
                <w:rFonts w:hint="eastAsia"/>
                <w:color w:val="auto"/>
              </w:rPr>
              <w:t>③委托利用或者处置的环境影响分析</w:t>
            </w:r>
          </w:p>
          <w:p>
            <w:pPr>
              <w:pStyle w:val="97"/>
              <w:ind w:firstLine="480"/>
              <w:rPr>
                <w:rFonts w:hint="eastAsia"/>
                <w:color w:val="auto"/>
              </w:rPr>
            </w:pPr>
            <w:r>
              <w:rPr>
                <w:rFonts w:hint="eastAsia"/>
                <w:color w:val="auto"/>
              </w:rPr>
              <w:t>扩建项目不具备危险废物利用或处置能力，危险废物定期委托有危废资质单位统一转移处置，危险废物运输过程也全部委托有资质单位统一进行。</w:t>
            </w:r>
          </w:p>
          <w:p>
            <w:pPr>
              <w:pStyle w:val="97"/>
              <w:ind w:firstLine="480"/>
              <w:rPr>
                <w:color w:val="auto"/>
              </w:rPr>
            </w:pPr>
            <w:r>
              <w:rPr>
                <w:rFonts w:hint="eastAsia"/>
                <w:color w:val="auto"/>
              </w:rPr>
              <w:t>扩建项目危险废物在出厂前，按危险废物的管理要求，进行严格的包装，委托有资质的单位进行运输和处理后，不会对环境产生二次污染。</w:t>
            </w:r>
          </w:p>
          <w:p>
            <w:pPr>
              <w:pStyle w:val="97"/>
              <w:ind w:firstLine="480"/>
              <w:rPr>
                <w:color w:val="auto"/>
              </w:rPr>
            </w:pPr>
            <w:r>
              <w:rPr>
                <w:rFonts w:hint="eastAsia"/>
                <w:color w:val="auto"/>
              </w:rPr>
              <w:t>运输过程的最大环境风险为交通事故造成的环境影响，因此要求承接的有资质处置单位，采用专用的危险废物运输车辆运输，采取有效的运输过程风险防控和应急处置措施，杜绝交通事故发生，应采取专用密闭汽车运输，在通过加强对汽车的管理，严格执行运行管理制度，本期工程在运输过程中几乎不会对沿途环境空气产生大的扬尘污染。</w:t>
            </w:r>
          </w:p>
          <w:p>
            <w:pPr>
              <w:pStyle w:val="97"/>
              <w:ind w:firstLine="480"/>
              <w:rPr>
                <w:color w:val="auto"/>
              </w:rPr>
            </w:pPr>
            <w:r>
              <w:rPr>
                <w:rFonts w:hint="eastAsia"/>
                <w:color w:val="auto"/>
              </w:rPr>
              <w:t>④扩建项目危险废物转移全过程环境管理如下：</w:t>
            </w:r>
          </w:p>
          <w:p>
            <w:pPr>
              <w:pStyle w:val="97"/>
              <w:ind w:firstLine="480"/>
              <w:rPr>
                <w:color w:val="auto"/>
              </w:rPr>
            </w:pPr>
            <w:r>
              <w:rPr>
                <w:color w:val="auto"/>
                <w:sz w:val="24"/>
                <w:szCs w:val="24"/>
              </w:rPr>
              <w:t>危险废物外运处置执行《危险废物转移联单管理办法》</w:t>
            </w:r>
            <w:r>
              <w:rPr>
                <w:rFonts w:hint="eastAsia"/>
                <w:color w:val="auto"/>
                <w:sz w:val="24"/>
                <w:szCs w:val="24"/>
                <w:lang w:eastAsia="zh-CN"/>
              </w:rPr>
              <w:t>。</w:t>
            </w:r>
          </w:p>
          <w:p>
            <w:pPr>
              <w:pStyle w:val="97"/>
              <w:ind w:firstLine="480"/>
              <w:rPr>
                <w:color w:val="auto"/>
              </w:rPr>
            </w:pPr>
            <w:r>
              <w:rPr>
                <w:rFonts w:hint="eastAsia"/>
                <w:color w:val="auto"/>
              </w:rPr>
              <w:t>目前，福建省已建立福建省固体废物环境监管平台，危险废物已实行网上电子联单管理，企业运营过程产生的危险废物应按管理平台流程填报，还应按照《危险废物转移管理办法》（生态环境部、公安部、交通运输部令第23号）的要求进行转移，主要流程包括：</w:t>
            </w:r>
          </w:p>
          <w:p>
            <w:pPr>
              <w:pStyle w:val="97"/>
              <w:numPr>
                <w:ilvl w:val="0"/>
                <w:numId w:val="9"/>
              </w:numPr>
              <w:ind w:firstLine="480"/>
              <w:rPr>
                <w:color w:val="auto"/>
              </w:rPr>
            </w:pPr>
            <w:r>
              <w:rPr>
                <w:rFonts w:hint="eastAsia"/>
                <w:color w:val="auto"/>
              </w:rPr>
              <w:t>产生单位填写电子联单。转移当天，产生单位登录省固废平台填报转移信息，即电子联单第一部分内容，确定无误后保存提交，并打印加盖公章，交付危险废物运输单位核实验收并随车携带。</w:t>
            </w:r>
          </w:p>
          <w:p>
            <w:pPr>
              <w:pStyle w:val="97"/>
              <w:numPr>
                <w:ilvl w:val="0"/>
                <w:numId w:val="9"/>
              </w:numPr>
              <w:ind w:firstLine="480"/>
              <w:rPr>
                <w:color w:val="auto"/>
              </w:rPr>
            </w:pPr>
            <w:r>
              <w:rPr>
                <w:rFonts w:hint="eastAsia"/>
                <w:color w:val="auto"/>
              </w:rPr>
              <w:t>接收单位填写电子联单并完成审核。危险废物运至接收单位后，运输单位将随车携带的纸质联单交接收单位，接收单位对危险废物核实验收，确认转移信息无误后，当天登录省固废平台填写电子联单第二部分和第三部分内容并确认提交。发现联单第一部分转移信息有误的，退回产生单位修改重新提交确认。</w:t>
            </w:r>
          </w:p>
          <w:p>
            <w:pPr>
              <w:pStyle w:val="97"/>
              <w:numPr>
                <w:ilvl w:val="0"/>
                <w:numId w:val="9"/>
              </w:numPr>
              <w:ind w:firstLine="480"/>
              <w:rPr>
                <w:color w:val="auto"/>
              </w:rPr>
            </w:pPr>
            <w:r>
              <w:rPr>
                <w:rFonts w:hint="eastAsia"/>
                <w:color w:val="auto"/>
              </w:rPr>
              <w:t>打印电子联单并盖章存档备查。电子联单确认完毕后，产生单位打印一式5份纸质联单，产生单位和接收单位分别盖章，产生单位、接收单位、运输单位、产生地生态环境局和接受地生态环境局各存一份备查。发生转移12天内由产生单位将联单报送所在地生态环境局，并附上对应过磅单。</w:t>
            </w:r>
          </w:p>
          <w:p>
            <w:pPr>
              <w:pStyle w:val="97"/>
              <w:numPr>
                <w:ilvl w:val="0"/>
                <w:numId w:val="9"/>
              </w:numPr>
              <w:ind w:firstLine="480"/>
              <w:rPr>
                <w:color w:val="auto"/>
              </w:rPr>
            </w:pPr>
            <w:r>
              <w:rPr>
                <w:rFonts w:hint="eastAsia"/>
                <w:color w:val="auto"/>
              </w:rPr>
              <w:t>生态环境局核查并汇总上报市局。各生态环境局对省固废平台电子联单、企业报送的纸质联单和过磅单进行核对，确认无误后于每月15日前汇总上月的危废转移情况报送市生态环境局（危险废物管理—危险废物转移管理—转移联单管理—联单查询—导出）。</w:t>
            </w:r>
          </w:p>
          <w:p>
            <w:pPr>
              <w:pStyle w:val="97"/>
              <w:ind w:firstLine="480"/>
              <w:rPr>
                <w:color w:val="auto"/>
              </w:rPr>
            </w:pPr>
            <w:r>
              <w:rPr>
                <w:rFonts w:hint="eastAsia"/>
                <w:color w:val="auto"/>
              </w:rPr>
              <w:t>另外，危险废物处置或利用单位必须具备相应的能力和资质，不允许将危险废物出售给没有加工或使用能力的单位和个人，废物处理之前需要对其生产技术、设备、加工处理能力进行考察，保证不会产生二次污染，废物处理之后还要进行跟踪，以便及时得到反馈信息并处理遗留问题。</w:t>
            </w:r>
          </w:p>
          <w:p>
            <w:pPr>
              <w:pStyle w:val="97"/>
              <w:ind w:firstLine="480"/>
              <w:rPr>
                <w:color w:val="auto"/>
              </w:rPr>
            </w:pPr>
            <w:r>
              <w:rPr>
                <w:rFonts w:hint="eastAsia"/>
                <w:color w:val="auto"/>
              </w:rPr>
              <w:t>(3)生活垃圾的收集与贮存</w:t>
            </w:r>
          </w:p>
          <w:p>
            <w:pPr>
              <w:pStyle w:val="97"/>
              <w:ind w:firstLine="480"/>
              <w:rPr>
                <w:color w:val="auto"/>
              </w:rPr>
            </w:pPr>
            <w:r>
              <w:rPr>
                <w:rFonts w:hint="eastAsia"/>
                <w:color w:val="auto"/>
              </w:rPr>
              <w:t>生活</w:t>
            </w:r>
            <w:r>
              <w:rPr>
                <w:rStyle w:val="44"/>
                <w:rFonts w:hint="eastAsia"/>
                <w:color w:val="auto"/>
                <w:kern w:val="0"/>
                <w:sz w:val="24"/>
                <w:szCs w:val="24"/>
                <w:lang w:val="en-US" w:eastAsia="zh-CN"/>
              </w:rPr>
              <w:t>垃圾</w:t>
            </w:r>
            <w:r>
              <w:rPr>
                <w:rFonts w:hint="eastAsia"/>
                <w:color w:val="auto"/>
              </w:rPr>
              <w:t>应采取分类收集、分类贮存，企业应按规范设置垃圾桶，做到日产日清，防止二次污染。</w:t>
            </w:r>
          </w:p>
          <w:p>
            <w:pPr>
              <w:pStyle w:val="97"/>
              <w:ind w:firstLine="480"/>
              <w:rPr>
                <w:color w:val="auto"/>
              </w:rPr>
            </w:pPr>
            <w:r>
              <w:rPr>
                <w:rFonts w:hint="eastAsia"/>
                <w:color w:val="auto"/>
              </w:rPr>
              <w:t>综上所述，扩建项目的固体废物均根据环评时段的具体要求，采取了相应的处置措施，只要建设单位认真落实本环评提出的各项固体废物处置措施，并按照固体废物的相关管理要求，加强各类固体废物的收集、分类储存、转移和处置管理，本工程产生的固体废物均不会造成二次污染，因此对环境的影响很小。</w:t>
            </w:r>
          </w:p>
          <w:p>
            <w:pPr>
              <w:pStyle w:val="89"/>
              <w:rPr>
                <w:rFonts w:eastAsia="宋体" w:cs="Times New Roman"/>
                <w:b/>
                <w:bCs w:val="0"/>
                <w:color w:val="auto"/>
              </w:rPr>
            </w:pPr>
            <w:r>
              <w:rPr>
                <w:rFonts w:hint="eastAsia" w:eastAsia="宋体" w:cs="Times New Roman"/>
                <w:b/>
                <w:bCs w:val="0"/>
                <w:color w:val="auto"/>
                <w:sz w:val="30"/>
                <w:szCs w:val="30"/>
              </w:rPr>
              <w:t>4.5生态环境影响分析</w:t>
            </w:r>
          </w:p>
          <w:p>
            <w:pPr>
              <w:pStyle w:val="97"/>
              <w:ind w:firstLine="480"/>
              <w:rPr>
                <w:color w:val="auto"/>
                <w:szCs w:val="21"/>
              </w:rPr>
            </w:pPr>
            <w:r>
              <w:rPr>
                <w:rFonts w:hint="eastAsia"/>
                <w:color w:val="auto"/>
              </w:rPr>
              <w:t>扩建</w:t>
            </w:r>
            <w:r>
              <w:rPr>
                <w:color w:val="auto"/>
              </w:rPr>
              <w:t>项目</w:t>
            </w:r>
            <w:r>
              <w:rPr>
                <w:rFonts w:hint="eastAsia"/>
                <w:color w:val="auto"/>
              </w:rPr>
              <w:t>租赁已建厂房，不属于</w:t>
            </w:r>
            <w:r>
              <w:rPr>
                <w:rFonts w:hint="eastAsia"/>
                <w:color w:val="auto"/>
                <w:szCs w:val="21"/>
              </w:rPr>
              <w:t>新增生产用地，无需采取生态环境保护措施。</w:t>
            </w:r>
          </w:p>
          <w:p>
            <w:pPr>
              <w:pStyle w:val="89"/>
              <w:rPr>
                <w:rFonts w:eastAsia="宋体" w:cs="Times New Roman"/>
                <w:b/>
                <w:bCs w:val="0"/>
                <w:color w:val="auto"/>
                <w:sz w:val="30"/>
                <w:szCs w:val="30"/>
              </w:rPr>
            </w:pPr>
            <w:r>
              <w:rPr>
                <w:rFonts w:hint="eastAsia" w:eastAsia="宋体" w:cs="Times New Roman"/>
                <w:b/>
                <w:bCs w:val="0"/>
                <w:color w:val="auto"/>
                <w:sz w:val="30"/>
                <w:szCs w:val="30"/>
              </w:rPr>
              <w:t>4.6地下水、土壤环境影响分析及保护措施</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6</w:t>
            </w:r>
            <w:r>
              <w:rPr>
                <w:rFonts w:eastAsia="宋体" w:cs="Times New Roman"/>
                <w:b/>
                <w:bCs w:val="0"/>
                <w:color w:val="auto"/>
                <w:sz w:val="30"/>
                <w:szCs w:val="30"/>
                <w:lang w:val="en-GB"/>
              </w:rPr>
              <w:t>.1</w:t>
            </w:r>
            <w:r>
              <w:rPr>
                <w:rFonts w:hint="eastAsia" w:eastAsia="宋体" w:cs="Times New Roman"/>
                <w:b/>
                <w:bCs w:val="0"/>
                <w:color w:val="auto"/>
                <w:sz w:val="30"/>
                <w:szCs w:val="30"/>
              </w:rPr>
              <w:t>地下水、土壤环境影响分析</w:t>
            </w:r>
          </w:p>
          <w:p>
            <w:pPr>
              <w:pStyle w:val="97"/>
              <w:ind w:firstLine="480"/>
              <w:rPr>
                <w:color w:val="auto"/>
              </w:rPr>
            </w:pPr>
            <w:r>
              <w:rPr>
                <w:color w:val="auto"/>
              </w:rPr>
              <w:t>对照《环境影响评价技术导则</w:t>
            </w:r>
            <w:r>
              <w:rPr>
                <w:rFonts w:hint="eastAsia"/>
                <w:color w:val="auto"/>
              </w:rPr>
              <w:t xml:space="preserve"> </w:t>
            </w:r>
            <w:r>
              <w:rPr>
                <w:color w:val="auto"/>
              </w:rPr>
              <w:t>地下水环境》（HJ610-2016）附录A中“</w:t>
            </w:r>
            <w:r>
              <w:rPr>
                <w:rFonts w:hint="eastAsia"/>
                <w:color w:val="auto"/>
              </w:rPr>
              <w:t>114、印刷；文教、体育、娱乐用品制造；磁材料制品</w:t>
            </w:r>
            <w:r>
              <w:rPr>
                <w:color w:val="auto"/>
              </w:rPr>
              <w:t>”，报告表类别属于“IV类项目”，可不进行地下水环境影响评价</w:t>
            </w:r>
            <w:r>
              <w:rPr>
                <w:rFonts w:hint="eastAsia"/>
                <w:color w:val="auto"/>
              </w:rPr>
              <w:t>。本报告作简单分析。</w:t>
            </w:r>
          </w:p>
          <w:p>
            <w:pPr>
              <w:pStyle w:val="97"/>
              <w:ind w:firstLine="480"/>
              <w:rPr>
                <w:color w:val="auto"/>
              </w:rPr>
            </w:pPr>
            <w:r>
              <w:rPr>
                <w:color w:val="auto"/>
              </w:rPr>
              <w:t>根据《环境影响评价技术导则 土壤环境</w:t>
            </w:r>
            <w:r>
              <w:rPr>
                <w:rFonts w:hint="eastAsia"/>
                <w:color w:val="auto"/>
              </w:rPr>
              <w:t>（</w:t>
            </w:r>
            <w:r>
              <w:rPr>
                <w:color w:val="auto"/>
              </w:rPr>
              <w:t>试行</w:t>
            </w:r>
            <w:r>
              <w:rPr>
                <w:rFonts w:hint="eastAsia"/>
                <w:color w:val="auto"/>
              </w:rPr>
              <w:t>）</w:t>
            </w:r>
            <w:r>
              <w:rPr>
                <w:color w:val="auto"/>
              </w:rPr>
              <w:t>》</w:t>
            </w:r>
            <w:r>
              <w:rPr>
                <w:rFonts w:hint="eastAsia"/>
                <w:color w:val="auto"/>
              </w:rPr>
              <w:t>（</w:t>
            </w:r>
            <w:r>
              <w:rPr>
                <w:color w:val="auto"/>
              </w:rPr>
              <w:t>HJ964-2018</w:t>
            </w:r>
            <w:r>
              <w:rPr>
                <w:rFonts w:hint="eastAsia"/>
                <w:color w:val="auto"/>
              </w:rPr>
              <w:t>）</w:t>
            </w:r>
            <w:r>
              <w:rPr>
                <w:color w:val="auto"/>
              </w:rPr>
              <w:t>附录A</w:t>
            </w:r>
            <w:r>
              <w:rPr>
                <w:rFonts w:hint="eastAsia"/>
                <w:color w:val="auto"/>
              </w:rPr>
              <w:t>（</w:t>
            </w:r>
            <w:r>
              <w:rPr>
                <w:color w:val="auto"/>
              </w:rPr>
              <w:t>土壤环境影响评价项目类别表</w:t>
            </w:r>
            <w:r>
              <w:rPr>
                <w:rFonts w:hint="eastAsia"/>
                <w:color w:val="auto"/>
              </w:rPr>
              <w:t>）</w:t>
            </w:r>
            <w:r>
              <w:rPr>
                <w:color w:val="auto"/>
              </w:rPr>
              <w:t>，其所属的土壤环境影响评价项目类别为</w:t>
            </w:r>
            <w:r>
              <w:rPr>
                <w:rFonts w:hint="eastAsia" w:ascii="宋体" w:hAnsi="宋体" w:cs="宋体"/>
                <w:color w:val="auto"/>
              </w:rPr>
              <w:t>V类</w:t>
            </w:r>
            <w:r>
              <w:rPr>
                <w:color w:val="auto"/>
              </w:rPr>
              <w:t>；本项目对土壤环境的影响类型属于污染影响型；项目占地面积小于5hm</w:t>
            </w:r>
            <w:r>
              <w:rPr>
                <w:color w:val="auto"/>
                <w:vertAlign w:val="superscript"/>
              </w:rPr>
              <w:t>2</w:t>
            </w:r>
            <w:r>
              <w:rPr>
                <w:color w:val="auto"/>
              </w:rPr>
              <w:t>，占地规模为小型；项目周边不存在土壤环境敏感目标及其他土壤环境敏感目标，根据HJ964-2018表3</w:t>
            </w:r>
            <w:r>
              <w:rPr>
                <w:rFonts w:hint="eastAsia"/>
                <w:color w:val="auto"/>
              </w:rPr>
              <w:t>（</w:t>
            </w:r>
            <w:r>
              <w:rPr>
                <w:color w:val="auto"/>
              </w:rPr>
              <w:t>污染影响型敏感程度分级表</w:t>
            </w:r>
            <w:r>
              <w:rPr>
                <w:rFonts w:hint="eastAsia"/>
                <w:color w:val="auto"/>
              </w:rPr>
              <w:t>）</w:t>
            </w:r>
            <w:r>
              <w:rPr>
                <w:color w:val="auto"/>
              </w:rPr>
              <w:t>，本项目的土壤环境敏感程度分级为不敏感。根据HJ964-2018表4污染影响型评价工作等级划分表</w:t>
            </w:r>
            <w:r>
              <w:rPr>
                <w:rFonts w:hint="eastAsia"/>
                <w:color w:val="auto"/>
              </w:rPr>
              <w:t>（</w:t>
            </w:r>
            <w:r>
              <w:rPr>
                <w:color w:val="auto"/>
              </w:rPr>
              <w:t>见</w:t>
            </w:r>
            <w:r>
              <w:rPr>
                <w:b/>
                <w:bCs/>
                <w:color w:val="auto"/>
              </w:rPr>
              <w:t>表4.</w:t>
            </w:r>
            <w:r>
              <w:rPr>
                <w:rFonts w:hint="eastAsia"/>
                <w:b/>
                <w:bCs/>
                <w:color w:val="auto"/>
              </w:rPr>
              <w:t>6-1</w:t>
            </w:r>
            <w:r>
              <w:rPr>
                <w:rFonts w:hint="eastAsia"/>
                <w:color w:val="auto"/>
              </w:rPr>
              <w:t>）</w:t>
            </w:r>
            <w:r>
              <w:rPr>
                <w:color w:val="auto"/>
              </w:rPr>
              <w:t>，土壤环境影响评价等级为三级以下，可不开展土壤环境影响评价工作。</w:t>
            </w:r>
            <w:r>
              <w:rPr>
                <w:rFonts w:hint="eastAsia"/>
                <w:color w:val="auto"/>
              </w:rPr>
              <w:t>本报告作简单分析。</w:t>
            </w:r>
          </w:p>
          <w:p>
            <w:pPr>
              <w:pStyle w:val="49"/>
              <w:rPr>
                <w:color w:val="auto"/>
              </w:rPr>
            </w:pPr>
            <w:r>
              <w:rPr>
                <w:rFonts w:hint="eastAsia"/>
                <w:color w:val="auto"/>
              </w:rPr>
              <w:t>表4.6-1  污染影响型评价工作等级分级表（HJ964-2018表4）</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4"/>
              <w:gridCol w:w="745"/>
              <w:gridCol w:w="745"/>
              <w:gridCol w:w="745"/>
              <w:gridCol w:w="745"/>
              <w:gridCol w:w="745"/>
              <w:gridCol w:w="745"/>
              <w:gridCol w:w="745"/>
              <w:gridCol w:w="745"/>
              <w:gridCol w:w="7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94" w:type="dxa"/>
                  <w:vMerge w:val="restart"/>
                  <w:tcBorders>
                    <w:tl2br w:val="single" w:color="auto" w:sz="4" w:space="0"/>
                  </w:tcBorders>
                  <w:vAlign w:val="center"/>
                </w:tcPr>
                <w:p>
                  <w:pPr>
                    <w:pStyle w:val="68"/>
                    <w:jc w:val="right"/>
                    <w:rPr>
                      <w:color w:val="auto"/>
                    </w:rPr>
                  </w:pPr>
                  <w:r>
                    <w:rPr>
                      <w:color w:val="auto"/>
                    </w:rPr>
                    <w:t>项目类别</w:t>
                  </w:r>
                </w:p>
                <w:p>
                  <w:pPr>
                    <w:pStyle w:val="68"/>
                    <w:jc w:val="both"/>
                    <w:rPr>
                      <w:color w:val="auto"/>
                    </w:rPr>
                  </w:pPr>
                  <w:r>
                    <w:rPr>
                      <w:color w:val="auto"/>
                    </w:rPr>
                    <w:t>敏感程度</w:t>
                  </w:r>
                </w:p>
              </w:tc>
              <w:tc>
                <w:tcPr>
                  <w:tcW w:w="2235" w:type="dxa"/>
                  <w:gridSpan w:val="3"/>
                  <w:vAlign w:val="center"/>
                </w:tcPr>
                <w:p>
                  <w:pPr>
                    <w:pStyle w:val="68"/>
                    <w:rPr>
                      <w:color w:val="auto"/>
                    </w:rPr>
                  </w:pPr>
                  <w:r>
                    <w:rPr>
                      <w:color w:val="auto"/>
                    </w:rPr>
                    <w:t>Ⅰ类项目</w:t>
                  </w:r>
                </w:p>
              </w:tc>
              <w:tc>
                <w:tcPr>
                  <w:tcW w:w="2235" w:type="dxa"/>
                  <w:gridSpan w:val="3"/>
                  <w:tcBorders>
                    <w:tl2br w:val="nil"/>
                    <w:tr2bl w:val="nil"/>
                  </w:tcBorders>
                  <w:vAlign w:val="center"/>
                </w:tcPr>
                <w:p>
                  <w:pPr>
                    <w:pStyle w:val="68"/>
                    <w:rPr>
                      <w:color w:val="auto"/>
                    </w:rPr>
                  </w:pPr>
                  <w:r>
                    <w:rPr>
                      <w:color w:val="auto"/>
                    </w:rPr>
                    <w:t>Ⅱ类项目</w:t>
                  </w:r>
                </w:p>
              </w:tc>
              <w:tc>
                <w:tcPr>
                  <w:tcW w:w="2240" w:type="dxa"/>
                  <w:gridSpan w:val="3"/>
                  <w:tcBorders>
                    <w:tl2br w:val="nil"/>
                    <w:tr2bl w:val="nil"/>
                  </w:tcBorders>
                  <w:vAlign w:val="center"/>
                </w:tcPr>
                <w:p>
                  <w:pPr>
                    <w:pStyle w:val="68"/>
                    <w:rPr>
                      <w:color w:val="auto"/>
                    </w:rPr>
                  </w:pPr>
                  <w:r>
                    <w:rPr>
                      <w:color w:val="auto"/>
                    </w:rPr>
                    <w:t>V类项目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94" w:type="dxa"/>
                  <w:vMerge w:val="continue"/>
                  <w:tcBorders>
                    <w:tl2br w:val="single" w:color="auto" w:sz="4" w:space="0"/>
                  </w:tcBorders>
                  <w:vAlign w:val="center"/>
                </w:tcPr>
                <w:p>
                  <w:pPr>
                    <w:pStyle w:val="68"/>
                    <w:rPr>
                      <w:color w:val="auto"/>
                    </w:rPr>
                  </w:pPr>
                </w:p>
              </w:tc>
              <w:tc>
                <w:tcPr>
                  <w:tcW w:w="745" w:type="dxa"/>
                  <w:vAlign w:val="center"/>
                </w:tcPr>
                <w:p>
                  <w:pPr>
                    <w:pStyle w:val="68"/>
                    <w:rPr>
                      <w:color w:val="auto"/>
                    </w:rPr>
                  </w:pPr>
                  <w:r>
                    <w:rPr>
                      <w:color w:val="auto"/>
                    </w:rPr>
                    <w:t>大</w:t>
                  </w:r>
                </w:p>
              </w:tc>
              <w:tc>
                <w:tcPr>
                  <w:tcW w:w="745" w:type="dxa"/>
                  <w:vAlign w:val="center"/>
                </w:tcPr>
                <w:p>
                  <w:pPr>
                    <w:pStyle w:val="68"/>
                    <w:rPr>
                      <w:color w:val="auto"/>
                    </w:rPr>
                  </w:pPr>
                  <w:r>
                    <w:rPr>
                      <w:color w:val="auto"/>
                    </w:rPr>
                    <w:t>中</w:t>
                  </w:r>
                </w:p>
              </w:tc>
              <w:tc>
                <w:tcPr>
                  <w:tcW w:w="745" w:type="dxa"/>
                  <w:vAlign w:val="center"/>
                </w:tcPr>
                <w:p>
                  <w:pPr>
                    <w:pStyle w:val="68"/>
                    <w:rPr>
                      <w:color w:val="auto"/>
                    </w:rPr>
                  </w:pPr>
                  <w:r>
                    <w:rPr>
                      <w:color w:val="auto"/>
                    </w:rPr>
                    <w:t>小</w:t>
                  </w:r>
                </w:p>
              </w:tc>
              <w:tc>
                <w:tcPr>
                  <w:tcW w:w="745" w:type="dxa"/>
                  <w:tcBorders>
                    <w:tl2br w:val="nil"/>
                    <w:tr2bl w:val="nil"/>
                  </w:tcBorders>
                  <w:vAlign w:val="center"/>
                </w:tcPr>
                <w:p>
                  <w:pPr>
                    <w:pStyle w:val="68"/>
                    <w:rPr>
                      <w:color w:val="auto"/>
                    </w:rPr>
                  </w:pPr>
                  <w:r>
                    <w:rPr>
                      <w:color w:val="auto"/>
                    </w:rPr>
                    <w:t>大</w:t>
                  </w:r>
                </w:p>
              </w:tc>
              <w:tc>
                <w:tcPr>
                  <w:tcW w:w="745" w:type="dxa"/>
                  <w:tcBorders>
                    <w:tl2br w:val="nil"/>
                    <w:tr2bl w:val="nil"/>
                  </w:tcBorders>
                  <w:vAlign w:val="center"/>
                </w:tcPr>
                <w:p>
                  <w:pPr>
                    <w:pStyle w:val="68"/>
                    <w:rPr>
                      <w:color w:val="auto"/>
                    </w:rPr>
                  </w:pPr>
                  <w:r>
                    <w:rPr>
                      <w:color w:val="auto"/>
                    </w:rPr>
                    <w:t>中</w:t>
                  </w:r>
                </w:p>
              </w:tc>
              <w:tc>
                <w:tcPr>
                  <w:tcW w:w="745" w:type="dxa"/>
                  <w:tcBorders>
                    <w:tl2br w:val="nil"/>
                    <w:tr2bl w:val="nil"/>
                  </w:tcBorders>
                  <w:vAlign w:val="center"/>
                </w:tcPr>
                <w:p>
                  <w:pPr>
                    <w:pStyle w:val="68"/>
                    <w:rPr>
                      <w:color w:val="auto"/>
                    </w:rPr>
                  </w:pPr>
                  <w:r>
                    <w:rPr>
                      <w:color w:val="auto"/>
                    </w:rPr>
                    <w:t>小</w:t>
                  </w:r>
                </w:p>
              </w:tc>
              <w:tc>
                <w:tcPr>
                  <w:tcW w:w="745" w:type="dxa"/>
                  <w:tcBorders>
                    <w:tl2br w:val="nil"/>
                    <w:tr2bl w:val="nil"/>
                  </w:tcBorders>
                  <w:vAlign w:val="center"/>
                </w:tcPr>
                <w:p>
                  <w:pPr>
                    <w:pStyle w:val="68"/>
                    <w:rPr>
                      <w:color w:val="auto"/>
                    </w:rPr>
                  </w:pPr>
                  <w:r>
                    <w:rPr>
                      <w:color w:val="auto"/>
                    </w:rPr>
                    <w:t>大</w:t>
                  </w:r>
                </w:p>
              </w:tc>
              <w:tc>
                <w:tcPr>
                  <w:tcW w:w="745" w:type="dxa"/>
                  <w:tcBorders>
                    <w:tl2br w:val="nil"/>
                    <w:tr2bl w:val="nil"/>
                  </w:tcBorders>
                  <w:vAlign w:val="center"/>
                </w:tcPr>
                <w:p>
                  <w:pPr>
                    <w:pStyle w:val="68"/>
                    <w:rPr>
                      <w:color w:val="auto"/>
                    </w:rPr>
                  </w:pPr>
                  <w:r>
                    <w:rPr>
                      <w:color w:val="auto"/>
                    </w:rPr>
                    <w:t>中</w:t>
                  </w:r>
                </w:p>
              </w:tc>
              <w:tc>
                <w:tcPr>
                  <w:tcW w:w="750" w:type="dxa"/>
                  <w:tcBorders>
                    <w:tl2br w:val="nil"/>
                    <w:tr2bl w:val="nil"/>
                  </w:tcBorders>
                  <w:vAlign w:val="center"/>
                </w:tcPr>
                <w:p>
                  <w:pPr>
                    <w:pStyle w:val="68"/>
                    <w:rPr>
                      <w:color w:val="auto"/>
                    </w:rPr>
                  </w:pPr>
                  <w:r>
                    <w:rPr>
                      <w:color w:val="auto"/>
                    </w:rPr>
                    <w:t>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94" w:type="dxa"/>
                  <w:tcBorders>
                    <w:tl2br w:val="nil"/>
                    <w:tr2bl w:val="nil"/>
                  </w:tcBorders>
                  <w:vAlign w:val="center"/>
                </w:tcPr>
                <w:p>
                  <w:pPr>
                    <w:pStyle w:val="68"/>
                    <w:rPr>
                      <w:color w:val="auto"/>
                    </w:rPr>
                  </w:pPr>
                  <w:r>
                    <w:rPr>
                      <w:color w:val="auto"/>
                    </w:rPr>
                    <w:t>敏感</w:t>
                  </w:r>
                </w:p>
              </w:tc>
              <w:tc>
                <w:tcPr>
                  <w:tcW w:w="745" w:type="dxa"/>
                  <w:tcBorders>
                    <w:tl2br w:val="nil"/>
                    <w:tr2bl w:val="nil"/>
                  </w:tcBorders>
                  <w:vAlign w:val="center"/>
                </w:tcPr>
                <w:p>
                  <w:pPr>
                    <w:pStyle w:val="68"/>
                    <w:rPr>
                      <w:color w:val="auto"/>
                    </w:rPr>
                  </w:pPr>
                  <w:r>
                    <w:rPr>
                      <w:color w:val="auto"/>
                    </w:rPr>
                    <w:t>一级</w:t>
                  </w:r>
                </w:p>
              </w:tc>
              <w:tc>
                <w:tcPr>
                  <w:tcW w:w="745" w:type="dxa"/>
                  <w:tcBorders>
                    <w:tl2br w:val="nil"/>
                    <w:tr2bl w:val="nil"/>
                  </w:tcBorders>
                  <w:vAlign w:val="center"/>
                </w:tcPr>
                <w:p>
                  <w:pPr>
                    <w:pStyle w:val="68"/>
                    <w:rPr>
                      <w:color w:val="auto"/>
                    </w:rPr>
                  </w:pPr>
                  <w:r>
                    <w:rPr>
                      <w:color w:val="auto"/>
                    </w:rPr>
                    <w:t>一级</w:t>
                  </w:r>
                </w:p>
              </w:tc>
              <w:tc>
                <w:tcPr>
                  <w:tcW w:w="745" w:type="dxa"/>
                  <w:tcBorders>
                    <w:tl2br w:val="nil"/>
                    <w:tr2bl w:val="nil"/>
                  </w:tcBorders>
                  <w:vAlign w:val="center"/>
                </w:tcPr>
                <w:p>
                  <w:pPr>
                    <w:pStyle w:val="68"/>
                    <w:rPr>
                      <w:color w:val="auto"/>
                    </w:rPr>
                  </w:pPr>
                  <w:r>
                    <w:rPr>
                      <w:color w:val="auto"/>
                    </w:rPr>
                    <w:t>一级</w:t>
                  </w:r>
                </w:p>
              </w:tc>
              <w:tc>
                <w:tcPr>
                  <w:tcW w:w="745" w:type="dxa"/>
                  <w:tcBorders>
                    <w:tl2br w:val="nil"/>
                    <w:tr2bl w:val="nil"/>
                  </w:tcBorders>
                  <w:vAlign w:val="center"/>
                </w:tcPr>
                <w:p>
                  <w:pPr>
                    <w:pStyle w:val="68"/>
                    <w:rPr>
                      <w:color w:val="auto"/>
                    </w:rPr>
                  </w:pPr>
                  <w:r>
                    <w:rPr>
                      <w:color w:val="auto"/>
                    </w:rPr>
                    <w:t>二级</w:t>
                  </w:r>
                </w:p>
              </w:tc>
              <w:tc>
                <w:tcPr>
                  <w:tcW w:w="745" w:type="dxa"/>
                  <w:tcBorders>
                    <w:tl2br w:val="nil"/>
                    <w:tr2bl w:val="nil"/>
                  </w:tcBorders>
                  <w:vAlign w:val="center"/>
                </w:tcPr>
                <w:p>
                  <w:pPr>
                    <w:pStyle w:val="68"/>
                    <w:rPr>
                      <w:color w:val="auto"/>
                    </w:rPr>
                  </w:pPr>
                  <w:r>
                    <w:rPr>
                      <w:color w:val="auto"/>
                    </w:rPr>
                    <w:t>二级</w:t>
                  </w:r>
                </w:p>
              </w:tc>
              <w:tc>
                <w:tcPr>
                  <w:tcW w:w="745" w:type="dxa"/>
                  <w:tcBorders>
                    <w:tl2br w:val="nil"/>
                    <w:tr2bl w:val="nil"/>
                  </w:tcBorders>
                  <w:vAlign w:val="center"/>
                </w:tcPr>
                <w:p>
                  <w:pPr>
                    <w:pStyle w:val="68"/>
                    <w:rPr>
                      <w:color w:val="auto"/>
                    </w:rPr>
                  </w:pPr>
                  <w:r>
                    <w:rPr>
                      <w:color w:val="auto"/>
                    </w:rPr>
                    <w:t>二级</w:t>
                  </w:r>
                </w:p>
              </w:tc>
              <w:tc>
                <w:tcPr>
                  <w:tcW w:w="745" w:type="dxa"/>
                  <w:tcBorders>
                    <w:tl2br w:val="nil"/>
                    <w:tr2bl w:val="nil"/>
                  </w:tcBorders>
                  <w:vAlign w:val="center"/>
                </w:tcPr>
                <w:p>
                  <w:pPr>
                    <w:pStyle w:val="68"/>
                    <w:rPr>
                      <w:color w:val="auto"/>
                    </w:rPr>
                  </w:pPr>
                  <w:r>
                    <w:rPr>
                      <w:color w:val="auto"/>
                    </w:rPr>
                    <w:t>三级</w:t>
                  </w:r>
                </w:p>
              </w:tc>
              <w:tc>
                <w:tcPr>
                  <w:tcW w:w="745" w:type="dxa"/>
                  <w:tcBorders>
                    <w:tl2br w:val="nil"/>
                    <w:tr2bl w:val="nil"/>
                  </w:tcBorders>
                  <w:vAlign w:val="center"/>
                </w:tcPr>
                <w:p>
                  <w:pPr>
                    <w:pStyle w:val="68"/>
                    <w:rPr>
                      <w:color w:val="auto"/>
                    </w:rPr>
                  </w:pPr>
                  <w:r>
                    <w:rPr>
                      <w:color w:val="auto"/>
                    </w:rPr>
                    <w:t>三级</w:t>
                  </w:r>
                </w:p>
              </w:tc>
              <w:tc>
                <w:tcPr>
                  <w:tcW w:w="750" w:type="dxa"/>
                  <w:tcBorders>
                    <w:tl2br w:val="nil"/>
                    <w:tr2bl w:val="nil"/>
                  </w:tcBorders>
                  <w:vAlign w:val="center"/>
                </w:tcPr>
                <w:p>
                  <w:pPr>
                    <w:pStyle w:val="68"/>
                    <w:rPr>
                      <w:color w:val="auto"/>
                    </w:rPr>
                  </w:pPr>
                  <w:r>
                    <w:rPr>
                      <w:color w:val="auto"/>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94" w:type="dxa"/>
                  <w:tcBorders>
                    <w:tl2br w:val="nil"/>
                    <w:tr2bl w:val="nil"/>
                  </w:tcBorders>
                  <w:vAlign w:val="center"/>
                </w:tcPr>
                <w:p>
                  <w:pPr>
                    <w:pStyle w:val="68"/>
                    <w:rPr>
                      <w:color w:val="auto"/>
                    </w:rPr>
                  </w:pPr>
                  <w:r>
                    <w:rPr>
                      <w:color w:val="auto"/>
                    </w:rPr>
                    <w:t>较敏感</w:t>
                  </w:r>
                </w:p>
              </w:tc>
              <w:tc>
                <w:tcPr>
                  <w:tcW w:w="745" w:type="dxa"/>
                  <w:tcBorders>
                    <w:tl2br w:val="nil"/>
                    <w:tr2bl w:val="nil"/>
                  </w:tcBorders>
                  <w:vAlign w:val="center"/>
                </w:tcPr>
                <w:p>
                  <w:pPr>
                    <w:pStyle w:val="68"/>
                    <w:rPr>
                      <w:color w:val="auto"/>
                    </w:rPr>
                  </w:pPr>
                  <w:r>
                    <w:rPr>
                      <w:color w:val="auto"/>
                    </w:rPr>
                    <w:t>一级</w:t>
                  </w:r>
                </w:p>
              </w:tc>
              <w:tc>
                <w:tcPr>
                  <w:tcW w:w="745" w:type="dxa"/>
                  <w:tcBorders>
                    <w:tl2br w:val="nil"/>
                    <w:tr2bl w:val="nil"/>
                  </w:tcBorders>
                  <w:vAlign w:val="center"/>
                </w:tcPr>
                <w:p>
                  <w:pPr>
                    <w:pStyle w:val="68"/>
                    <w:rPr>
                      <w:color w:val="auto"/>
                    </w:rPr>
                  </w:pPr>
                  <w:r>
                    <w:rPr>
                      <w:color w:val="auto"/>
                    </w:rPr>
                    <w:t>一级</w:t>
                  </w:r>
                </w:p>
              </w:tc>
              <w:tc>
                <w:tcPr>
                  <w:tcW w:w="745" w:type="dxa"/>
                  <w:tcBorders>
                    <w:tl2br w:val="nil"/>
                    <w:tr2bl w:val="nil"/>
                  </w:tcBorders>
                  <w:vAlign w:val="center"/>
                </w:tcPr>
                <w:p>
                  <w:pPr>
                    <w:pStyle w:val="68"/>
                    <w:rPr>
                      <w:color w:val="auto"/>
                    </w:rPr>
                  </w:pPr>
                  <w:r>
                    <w:rPr>
                      <w:color w:val="auto"/>
                    </w:rPr>
                    <w:t>二级</w:t>
                  </w:r>
                </w:p>
              </w:tc>
              <w:tc>
                <w:tcPr>
                  <w:tcW w:w="745" w:type="dxa"/>
                  <w:tcBorders>
                    <w:tl2br w:val="nil"/>
                    <w:tr2bl w:val="nil"/>
                  </w:tcBorders>
                  <w:vAlign w:val="center"/>
                </w:tcPr>
                <w:p>
                  <w:pPr>
                    <w:pStyle w:val="68"/>
                    <w:rPr>
                      <w:color w:val="auto"/>
                    </w:rPr>
                  </w:pPr>
                  <w:r>
                    <w:rPr>
                      <w:color w:val="auto"/>
                    </w:rPr>
                    <w:t>二级</w:t>
                  </w:r>
                </w:p>
              </w:tc>
              <w:tc>
                <w:tcPr>
                  <w:tcW w:w="745" w:type="dxa"/>
                  <w:tcBorders>
                    <w:tl2br w:val="nil"/>
                    <w:tr2bl w:val="nil"/>
                  </w:tcBorders>
                  <w:vAlign w:val="center"/>
                </w:tcPr>
                <w:p>
                  <w:pPr>
                    <w:pStyle w:val="68"/>
                    <w:rPr>
                      <w:color w:val="auto"/>
                    </w:rPr>
                  </w:pPr>
                  <w:r>
                    <w:rPr>
                      <w:color w:val="auto"/>
                    </w:rPr>
                    <w:t>二级</w:t>
                  </w:r>
                </w:p>
              </w:tc>
              <w:tc>
                <w:tcPr>
                  <w:tcW w:w="745" w:type="dxa"/>
                  <w:tcBorders>
                    <w:tl2br w:val="nil"/>
                    <w:tr2bl w:val="nil"/>
                  </w:tcBorders>
                  <w:vAlign w:val="center"/>
                </w:tcPr>
                <w:p>
                  <w:pPr>
                    <w:pStyle w:val="68"/>
                    <w:rPr>
                      <w:color w:val="auto"/>
                    </w:rPr>
                  </w:pPr>
                  <w:r>
                    <w:rPr>
                      <w:color w:val="auto"/>
                    </w:rPr>
                    <w:t>三级</w:t>
                  </w:r>
                </w:p>
              </w:tc>
              <w:tc>
                <w:tcPr>
                  <w:tcW w:w="745" w:type="dxa"/>
                  <w:tcBorders>
                    <w:tl2br w:val="nil"/>
                    <w:tr2bl w:val="nil"/>
                  </w:tcBorders>
                  <w:vAlign w:val="center"/>
                </w:tcPr>
                <w:p>
                  <w:pPr>
                    <w:pStyle w:val="68"/>
                    <w:rPr>
                      <w:color w:val="auto"/>
                    </w:rPr>
                  </w:pPr>
                  <w:r>
                    <w:rPr>
                      <w:color w:val="auto"/>
                    </w:rPr>
                    <w:t>三级</w:t>
                  </w:r>
                </w:p>
              </w:tc>
              <w:tc>
                <w:tcPr>
                  <w:tcW w:w="745" w:type="dxa"/>
                  <w:tcBorders>
                    <w:tl2br w:val="nil"/>
                    <w:tr2bl w:val="nil"/>
                  </w:tcBorders>
                  <w:vAlign w:val="center"/>
                </w:tcPr>
                <w:p>
                  <w:pPr>
                    <w:pStyle w:val="68"/>
                    <w:rPr>
                      <w:color w:val="auto"/>
                    </w:rPr>
                  </w:pPr>
                  <w:r>
                    <w:rPr>
                      <w:color w:val="auto"/>
                    </w:rPr>
                    <w:t>三级</w:t>
                  </w:r>
                </w:p>
              </w:tc>
              <w:tc>
                <w:tcPr>
                  <w:tcW w:w="750" w:type="dxa"/>
                  <w:tcBorders>
                    <w:tl2br w:val="nil"/>
                    <w:tr2bl w:val="nil"/>
                  </w:tcBorders>
                  <w:vAlign w:val="center"/>
                </w:tcPr>
                <w:p>
                  <w:pPr>
                    <w:pStyle w:val="68"/>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794" w:type="dxa"/>
                  <w:tcBorders>
                    <w:tl2br w:val="nil"/>
                    <w:tr2bl w:val="nil"/>
                  </w:tcBorders>
                  <w:vAlign w:val="center"/>
                </w:tcPr>
                <w:p>
                  <w:pPr>
                    <w:pStyle w:val="68"/>
                    <w:rPr>
                      <w:color w:val="auto"/>
                    </w:rPr>
                  </w:pPr>
                  <w:r>
                    <w:rPr>
                      <w:color w:val="auto"/>
                    </w:rPr>
                    <w:t>不敏感</w:t>
                  </w:r>
                </w:p>
              </w:tc>
              <w:tc>
                <w:tcPr>
                  <w:tcW w:w="745" w:type="dxa"/>
                  <w:tcBorders>
                    <w:tl2br w:val="nil"/>
                    <w:tr2bl w:val="nil"/>
                  </w:tcBorders>
                  <w:vAlign w:val="center"/>
                </w:tcPr>
                <w:p>
                  <w:pPr>
                    <w:pStyle w:val="68"/>
                    <w:rPr>
                      <w:color w:val="auto"/>
                    </w:rPr>
                  </w:pPr>
                  <w:r>
                    <w:rPr>
                      <w:color w:val="auto"/>
                    </w:rPr>
                    <w:t>一级</w:t>
                  </w:r>
                </w:p>
              </w:tc>
              <w:tc>
                <w:tcPr>
                  <w:tcW w:w="745" w:type="dxa"/>
                  <w:tcBorders>
                    <w:tl2br w:val="nil"/>
                    <w:tr2bl w:val="nil"/>
                  </w:tcBorders>
                  <w:vAlign w:val="center"/>
                </w:tcPr>
                <w:p>
                  <w:pPr>
                    <w:pStyle w:val="68"/>
                    <w:rPr>
                      <w:color w:val="auto"/>
                    </w:rPr>
                  </w:pPr>
                  <w:r>
                    <w:rPr>
                      <w:color w:val="auto"/>
                    </w:rPr>
                    <w:t>二级</w:t>
                  </w:r>
                </w:p>
              </w:tc>
              <w:tc>
                <w:tcPr>
                  <w:tcW w:w="745" w:type="dxa"/>
                  <w:tcBorders>
                    <w:tl2br w:val="nil"/>
                    <w:tr2bl w:val="nil"/>
                  </w:tcBorders>
                  <w:vAlign w:val="center"/>
                </w:tcPr>
                <w:p>
                  <w:pPr>
                    <w:pStyle w:val="68"/>
                    <w:rPr>
                      <w:color w:val="auto"/>
                    </w:rPr>
                  </w:pPr>
                  <w:r>
                    <w:rPr>
                      <w:color w:val="auto"/>
                    </w:rPr>
                    <w:t>二级</w:t>
                  </w:r>
                </w:p>
              </w:tc>
              <w:tc>
                <w:tcPr>
                  <w:tcW w:w="745" w:type="dxa"/>
                  <w:tcBorders>
                    <w:tl2br w:val="nil"/>
                    <w:tr2bl w:val="nil"/>
                  </w:tcBorders>
                  <w:vAlign w:val="center"/>
                </w:tcPr>
                <w:p>
                  <w:pPr>
                    <w:pStyle w:val="68"/>
                    <w:rPr>
                      <w:color w:val="auto"/>
                    </w:rPr>
                  </w:pPr>
                  <w:r>
                    <w:rPr>
                      <w:color w:val="auto"/>
                    </w:rPr>
                    <w:t>二级</w:t>
                  </w:r>
                </w:p>
              </w:tc>
              <w:tc>
                <w:tcPr>
                  <w:tcW w:w="745" w:type="dxa"/>
                  <w:tcBorders>
                    <w:tl2br w:val="nil"/>
                    <w:tr2bl w:val="nil"/>
                  </w:tcBorders>
                  <w:vAlign w:val="center"/>
                </w:tcPr>
                <w:p>
                  <w:pPr>
                    <w:pStyle w:val="68"/>
                    <w:rPr>
                      <w:color w:val="auto"/>
                    </w:rPr>
                  </w:pPr>
                  <w:r>
                    <w:rPr>
                      <w:color w:val="auto"/>
                    </w:rPr>
                    <w:t>三级</w:t>
                  </w:r>
                </w:p>
              </w:tc>
              <w:tc>
                <w:tcPr>
                  <w:tcW w:w="745" w:type="dxa"/>
                  <w:tcBorders>
                    <w:tl2br w:val="nil"/>
                    <w:tr2bl w:val="nil"/>
                  </w:tcBorders>
                  <w:vAlign w:val="center"/>
                </w:tcPr>
                <w:p>
                  <w:pPr>
                    <w:pStyle w:val="68"/>
                    <w:rPr>
                      <w:color w:val="auto"/>
                    </w:rPr>
                  </w:pPr>
                  <w:r>
                    <w:rPr>
                      <w:color w:val="auto"/>
                    </w:rPr>
                    <w:t>三级</w:t>
                  </w:r>
                </w:p>
              </w:tc>
              <w:tc>
                <w:tcPr>
                  <w:tcW w:w="745" w:type="dxa"/>
                  <w:tcBorders>
                    <w:tl2br w:val="nil"/>
                    <w:tr2bl w:val="nil"/>
                  </w:tcBorders>
                  <w:vAlign w:val="center"/>
                </w:tcPr>
                <w:p>
                  <w:pPr>
                    <w:pStyle w:val="68"/>
                    <w:rPr>
                      <w:color w:val="auto"/>
                    </w:rPr>
                  </w:pPr>
                  <w:r>
                    <w:rPr>
                      <w:color w:val="auto"/>
                    </w:rPr>
                    <w:t>三级</w:t>
                  </w:r>
                </w:p>
              </w:tc>
              <w:tc>
                <w:tcPr>
                  <w:tcW w:w="745" w:type="dxa"/>
                  <w:tcBorders>
                    <w:tl2br w:val="nil"/>
                    <w:tr2bl w:val="nil"/>
                  </w:tcBorders>
                  <w:vAlign w:val="center"/>
                </w:tcPr>
                <w:p>
                  <w:pPr>
                    <w:pStyle w:val="68"/>
                    <w:rPr>
                      <w:color w:val="auto"/>
                    </w:rPr>
                  </w:pPr>
                  <w:r>
                    <w:rPr>
                      <w:color w:val="auto"/>
                    </w:rPr>
                    <w:t>-</w:t>
                  </w:r>
                </w:p>
              </w:tc>
              <w:tc>
                <w:tcPr>
                  <w:tcW w:w="750" w:type="dxa"/>
                  <w:tcBorders>
                    <w:tl2br w:val="nil"/>
                    <w:tr2bl w:val="nil"/>
                  </w:tcBorders>
                  <w:shd w:val="clear" w:color="auto" w:fill="A6A6A6"/>
                  <w:vAlign w:val="center"/>
                </w:tcPr>
                <w:p>
                  <w:pPr>
                    <w:pStyle w:val="68"/>
                    <w:rPr>
                      <w:color w:val="auto"/>
                    </w:rPr>
                  </w:pPr>
                  <w:r>
                    <w:rPr>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504" w:type="dxa"/>
                  <w:gridSpan w:val="10"/>
                  <w:tcBorders>
                    <w:tl2br w:val="nil"/>
                    <w:tr2bl w:val="nil"/>
                  </w:tcBorders>
                  <w:vAlign w:val="center"/>
                </w:tcPr>
                <w:p>
                  <w:pPr>
                    <w:pStyle w:val="68"/>
                    <w:rPr>
                      <w:color w:val="auto"/>
                    </w:rPr>
                  </w:pPr>
                  <w:r>
                    <w:rPr>
                      <w:color w:val="auto"/>
                    </w:rPr>
                    <w:t>注：“-”表示可不开展土壤环境影响评价工作。</w:t>
                  </w:r>
                </w:p>
              </w:tc>
            </w:tr>
          </w:tbl>
          <w:p>
            <w:pPr>
              <w:pStyle w:val="97"/>
              <w:ind w:firstLine="480"/>
              <w:rPr>
                <w:color w:val="auto"/>
              </w:rPr>
            </w:pPr>
            <w:r>
              <w:rPr>
                <w:rFonts w:hint="eastAsia"/>
                <w:color w:val="auto"/>
              </w:rPr>
              <w:t>（1）地下水环境影响分析</w:t>
            </w:r>
          </w:p>
          <w:p>
            <w:pPr>
              <w:pStyle w:val="97"/>
              <w:ind w:firstLine="480"/>
              <w:rPr>
                <w:color w:val="auto"/>
              </w:rPr>
            </w:pPr>
            <w:r>
              <w:rPr>
                <w:rFonts w:hint="eastAsia"/>
                <w:color w:val="auto"/>
              </w:rPr>
              <w:t>扩建项目生活污水经化粪池处理后经市政污水管网接入长乐区</w:t>
            </w:r>
            <w:r>
              <w:rPr>
                <w:rFonts w:hint="eastAsia"/>
                <w:color w:val="auto"/>
                <w:lang w:val="en-US" w:eastAsia="zh-CN"/>
              </w:rPr>
              <w:t>滨海</w:t>
            </w:r>
            <w:r>
              <w:rPr>
                <w:rFonts w:hint="eastAsia"/>
                <w:color w:val="auto"/>
              </w:rPr>
              <w:t>污水处理厂处理，生活污水不含有毒有害污染物，不含重金属等污染物，正常工况下生活污水不易渗漏和进入地下水。根据现场调查，项目评价区域无饮用水水源地，区域已全部开通自来水管网、生活用水采用自来水。</w:t>
            </w:r>
          </w:p>
          <w:p>
            <w:pPr>
              <w:pStyle w:val="97"/>
              <w:ind w:firstLine="480"/>
              <w:rPr>
                <w:color w:val="auto"/>
              </w:rPr>
            </w:pPr>
            <w:r>
              <w:rPr>
                <w:rFonts w:hint="eastAsia"/>
                <w:color w:val="auto"/>
              </w:rPr>
              <w:t>扩建项目一般工业固废仓库及危废仓库严格按照《一般工业固体废物贮存和填埋污染控制标准》（GB18599-2020）中固废临时贮存场所的要求及《危险废物贮存污染控制标准》（GB18597-2023）要求进行建设，具备防风、防雨、防晒、防渗漏等要求。在正常工况，不会对评价区地下水产生明显影响，其影响程度是可接受的。</w:t>
            </w:r>
          </w:p>
          <w:p>
            <w:pPr>
              <w:pStyle w:val="97"/>
              <w:ind w:firstLine="480"/>
              <w:rPr>
                <w:color w:val="auto"/>
              </w:rPr>
            </w:pPr>
            <w:r>
              <w:rPr>
                <w:rFonts w:hint="eastAsia"/>
                <w:color w:val="auto"/>
              </w:rPr>
              <w:t>扩建项目设有溶剂仓库、油墨仓库、粘合剂仓库，应按照《危险化学品安全贮存通则》（GB15603-1995）和《危险化学品安全管理条例》（2011）中的要求，采取防泄漏、防溢流、防腐蚀等措施，严格遵守危险化学品的管理，正常工况下不会导致危险化学品进入地下污染地下水。</w:t>
            </w:r>
          </w:p>
          <w:p>
            <w:pPr>
              <w:pStyle w:val="97"/>
              <w:ind w:firstLine="480"/>
              <w:rPr>
                <w:color w:val="auto"/>
              </w:rPr>
            </w:pPr>
            <w:r>
              <w:rPr>
                <w:rFonts w:hint="eastAsia"/>
                <w:color w:val="auto"/>
              </w:rPr>
              <w:t>综上所述，扩建项目在正常运行工况下，对地下水影响不大。但公司应加强管理，杜绝防渗层破裂等事故影响。</w:t>
            </w:r>
          </w:p>
          <w:p>
            <w:pPr>
              <w:pStyle w:val="97"/>
              <w:ind w:firstLine="480"/>
              <w:rPr>
                <w:color w:val="auto"/>
              </w:rPr>
            </w:pPr>
            <w:r>
              <w:rPr>
                <w:rFonts w:hint="eastAsia"/>
                <w:color w:val="auto"/>
              </w:rPr>
              <w:t>（2）土壤环境影响分析</w:t>
            </w:r>
          </w:p>
          <w:p>
            <w:pPr>
              <w:pStyle w:val="97"/>
              <w:ind w:firstLine="480"/>
              <w:rPr>
                <w:color w:val="auto"/>
                <w:kern w:val="0"/>
              </w:rPr>
            </w:pPr>
            <w:r>
              <w:rPr>
                <w:rFonts w:hint="eastAsia"/>
                <w:color w:val="auto"/>
                <w:kern w:val="0"/>
              </w:rPr>
              <w:t>根据土壤污染物的来源不同，可将土壤污染分为废水污染型、废气污染型、固体废物污染型、农业污染型和生物污染型。扩建项目土壤污染将以废气、废水、固废污染型为主。</w:t>
            </w:r>
          </w:p>
          <w:p>
            <w:pPr>
              <w:pStyle w:val="97"/>
              <w:ind w:firstLine="480"/>
              <w:rPr>
                <w:color w:val="auto"/>
                <w:kern w:val="0"/>
              </w:rPr>
            </w:pPr>
            <w:r>
              <w:rPr>
                <w:rFonts w:hint="eastAsia"/>
                <w:color w:val="auto"/>
                <w:kern w:val="0"/>
              </w:rPr>
              <w:t>扩建项目生产废气均可达标排放，对区域环境空气贡献值较小，对土壤环境的影响很小。</w:t>
            </w:r>
          </w:p>
          <w:p>
            <w:pPr>
              <w:pStyle w:val="97"/>
              <w:ind w:firstLine="480"/>
              <w:rPr>
                <w:color w:val="auto"/>
                <w:kern w:val="0"/>
              </w:rPr>
            </w:pPr>
            <w:r>
              <w:rPr>
                <w:rFonts w:hint="eastAsia"/>
                <w:color w:val="auto"/>
                <w:kern w:val="0"/>
              </w:rPr>
              <w:t>扩建项目生活污水经化粪池处理后经市政污水管网接入</w:t>
            </w:r>
            <w:r>
              <w:rPr>
                <w:rFonts w:hint="eastAsia"/>
                <w:color w:val="auto"/>
              </w:rPr>
              <w:t>长乐区</w:t>
            </w:r>
            <w:r>
              <w:rPr>
                <w:rFonts w:hint="eastAsia"/>
                <w:color w:val="auto"/>
                <w:lang w:val="en-US" w:eastAsia="zh-CN"/>
              </w:rPr>
              <w:t>滨海</w:t>
            </w:r>
            <w:r>
              <w:rPr>
                <w:rFonts w:hint="eastAsia"/>
                <w:color w:val="auto"/>
              </w:rPr>
              <w:t>污水处理厂处理</w:t>
            </w:r>
            <w:r>
              <w:rPr>
                <w:rFonts w:hint="eastAsia"/>
                <w:color w:val="auto"/>
                <w:kern w:val="0"/>
              </w:rPr>
              <w:t>。正常情况下，扩建项目运营期废水对土壤环境的影响不大。</w:t>
            </w:r>
          </w:p>
          <w:p>
            <w:pPr>
              <w:pStyle w:val="97"/>
              <w:ind w:firstLine="480"/>
              <w:rPr>
                <w:color w:val="auto"/>
                <w:kern w:val="0"/>
              </w:rPr>
            </w:pPr>
            <w:r>
              <w:rPr>
                <w:rFonts w:hint="eastAsia"/>
                <w:color w:val="auto"/>
                <w:kern w:val="0"/>
              </w:rPr>
              <w:t>扩建项目产生的危险废物暂存在危废仓库内，危废仓库防渗要求按《危险废物贮存污染控制标准》（GB18597-2023）进行设计，且具有防雨、防渗、防风、防日晒的功能。采取以上措施后，扩建项目危险废物对土壤环境的影响不大。</w:t>
            </w:r>
          </w:p>
          <w:p>
            <w:pPr>
              <w:pStyle w:val="97"/>
              <w:ind w:firstLine="480"/>
              <w:rPr>
                <w:color w:val="auto"/>
                <w:kern w:val="0"/>
              </w:rPr>
            </w:pPr>
            <w:r>
              <w:rPr>
                <w:rFonts w:hint="eastAsia"/>
                <w:color w:val="auto"/>
                <w:kern w:val="0"/>
              </w:rPr>
              <w:t>综上所述，项目在正常运行工况下，项目对土壤环境影响不大，建设单位应加强污染源控制和土壤污染防治，防止排放事故出现，则对该区域土壤环境影响总体不大，是可以接受的。</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6</w:t>
            </w:r>
            <w:r>
              <w:rPr>
                <w:rFonts w:eastAsia="宋体" w:cs="Times New Roman"/>
                <w:b/>
                <w:bCs w:val="0"/>
                <w:color w:val="auto"/>
                <w:sz w:val="30"/>
                <w:szCs w:val="30"/>
                <w:lang w:val="en-GB"/>
              </w:rPr>
              <w:t>.</w:t>
            </w:r>
            <w:r>
              <w:rPr>
                <w:rFonts w:hint="eastAsia" w:eastAsia="宋体" w:cs="Times New Roman"/>
                <w:b/>
                <w:bCs w:val="0"/>
                <w:color w:val="auto"/>
                <w:sz w:val="30"/>
                <w:szCs w:val="30"/>
              </w:rPr>
              <w:t>2地下水、土壤环境防控措施</w:t>
            </w:r>
          </w:p>
          <w:p>
            <w:pPr>
              <w:pStyle w:val="97"/>
              <w:ind w:firstLine="480"/>
              <w:rPr>
                <w:bCs/>
                <w:color w:val="auto"/>
                <w:kern w:val="0"/>
              </w:rPr>
            </w:pPr>
            <w:r>
              <w:rPr>
                <w:rFonts w:hint="eastAsia"/>
                <w:bCs/>
                <w:color w:val="auto"/>
                <w:kern w:val="0"/>
              </w:rPr>
              <w:t>（1）防渗措施</w:t>
            </w:r>
          </w:p>
          <w:p>
            <w:pPr>
              <w:pStyle w:val="97"/>
              <w:ind w:firstLine="480"/>
              <w:rPr>
                <w:color w:val="auto"/>
                <w:kern w:val="0"/>
              </w:rPr>
            </w:pPr>
            <w:r>
              <w:rPr>
                <w:rFonts w:hint="eastAsia"/>
                <w:color w:val="auto"/>
                <w:kern w:val="0"/>
              </w:rPr>
              <w:t>①合理进行防渗区域划分</w:t>
            </w:r>
          </w:p>
          <w:p>
            <w:pPr>
              <w:pStyle w:val="97"/>
              <w:ind w:firstLine="480"/>
              <w:rPr>
                <w:color w:val="auto"/>
                <w:kern w:val="0"/>
              </w:rPr>
            </w:pPr>
            <w:r>
              <w:rPr>
                <w:rFonts w:hint="eastAsia"/>
                <w:color w:val="auto"/>
                <w:kern w:val="0"/>
              </w:rPr>
              <w:t>根据扩建项目厂区可能泄漏至地面区域污染物的性质和生产单元的构筑方式，将厂区划分为重点污染防治区、一般污染防治区，针对不同的区域提出相应的防渗要求。结合项目的特点，防渗防治分区见</w:t>
            </w:r>
            <w:r>
              <w:rPr>
                <w:rFonts w:hint="eastAsia"/>
                <w:b/>
                <w:bCs/>
                <w:color w:val="auto"/>
                <w:kern w:val="0"/>
              </w:rPr>
              <w:t>表4.6-2</w:t>
            </w:r>
            <w:r>
              <w:rPr>
                <w:rFonts w:hint="eastAsia"/>
                <w:color w:val="auto"/>
                <w:kern w:val="0"/>
              </w:rPr>
              <w:t>。</w:t>
            </w:r>
          </w:p>
          <w:p>
            <w:pPr>
              <w:pStyle w:val="136"/>
              <w:rPr>
                <w:rFonts w:hint="eastAsia" w:eastAsia="宋体"/>
                <w:b/>
                <w:bCs/>
                <w:color w:val="auto"/>
                <w:lang w:val="en-US"/>
              </w:rPr>
            </w:pPr>
            <w:r>
              <w:rPr>
                <w:rFonts w:hint="eastAsia" w:eastAsia="宋体"/>
                <w:b/>
                <w:bCs/>
                <w:color w:val="auto"/>
                <w:lang w:val="en-US"/>
              </w:rPr>
              <w:t>表4.6-2  污染防治分区一览表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43"/>
              <w:gridCol w:w="1716"/>
              <w:gridCol w:w="3465"/>
              <w:gridCol w:w="238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43" w:type="dxa"/>
                  <w:tcBorders>
                    <w:tl2br w:val="nil"/>
                    <w:tr2bl w:val="nil"/>
                  </w:tcBorders>
                  <w:vAlign w:val="center"/>
                </w:tcPr>
                <w:p>
                  <w:pPr>
                    <w:pStyle w:val="46"/>
                    <w:rPr>
                      <w:color w:val="auto"/>
                    </w:rPr>
                  </w:pPr>
                  <w:r>
                    <w:rPr>
                      <w:color w:val="auto"/>
                    </w:rPr>
                    <w:t>序号</w:t>
                  </w:r>
                </w:p>
              </w:tc>
              <w:tc>
                <w:tcPr>
                  <w:tcW w:w="1716" w:type="dxa"/>
                  <w:tcBorders>
                    <w:tl2br w:val="nil"/>
                    <w:tr2bl w:val="nil"/>
                  </w:tcBorders>
                  <w:vAlign w:val="center"/>
                </w:tcPr>
                <w:p>
                  <w:pPr>
                    <w:pStyle w:val="46"/>
                    <w:rPr>
                      <w:color w:val="auto"/>
                    </w:rPr>
                  </w:pPr>
                  <w:r>
                    <w:rPr>
                      <w:rFonts w:hint="eastAsia"/>
                      <w:color w:val="auto"/>
                    </w:rPr>
                    <w:t>防治分区</w:t>
                  </w:r>
                </w:p>
              </w:tc>
              <w:tc>
                <w:tcPr>
                  <w:tcW w:w="3465" w:type="dxa"/>
                  <w:tcBorders>
                    <w:tl2br w:val="nil"/>
                    <w:tr2bl w:val="nil"/>
                  </w:tcBorders>
                  <w:vAlign w:val="center"/>
                </w:tcPr>
                <w:p>
                  <w:pPr>
                    <w:pStyle w:val="46"/>
                    <w:rPr>
                      <w:color w:val="auto"/>
                    </w:rPr>
                  </w:pPr>
                  <w:r>
                    <w:rPr>
                      <w:rFonts w:hint="eastAsia"/>
                      <w:color w:val="auto"/>
                    </w:rPr>
                    <w:t>装置或者构筑物名称</w:t>
                  </w:r>
                </w:p>
              </w:tc>
              <w:tc>
                <w:tcPr>
                  <w:tcW w:w="2380" w:type="dxa"/>
                  <w:tcBorders>
                    <w:tl2br w:val="nil"/>
                    <w:tr2bl w:val="nil"/>
                  </w:tcBorders>
                  <w:vAlign w:val="center"/>
                </w:tcPr>
                <w:p>
                  <w:pPr>
                    <w:pStyle w:val="46"/>
                    <w:rPr>
                      <w:color w:val="auto"/>
                    </w:rPr>
                  </w:pPr>
                  <w:r>
                    <w:rPr>
                      <w:rFonts w:hint="eastAsia"/>
                      <w:color w:val="auto"/>
                    </w:rPr>
                    <w:t>防渗区域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43" w:type="dxa"/>
                  <w:tcBorders>
                    <w:tl2br w:val="nil"/>
                    <w:tr2bl w:val="nil"/>
                  </w:tcBorders>
                  <w:vAlign w:val="center"/>
                </w:tcPr>
                <w:p>
                  <w:pPr>
                    <w:pStyle w:val="46"/>
                    <w:rPr>
                      <w:color w:val="auto"/>
                    </w:rPr>
                  </w:pPr>
                  <w:r>
                    <w:rPr>
                      <w:color w:val="auto"/>
                    </w:rPr>
                    <w:t>1</w:t>
                  </w:r>
                </w:p>
              </w:tc>
              <w:tc>
                <w:tcPr>
                  <w:tcW w:w="1716" w:type="dxa"/>
                  <w:vMerge w:val="restart"/>
                  <w:tcBorders>
                    <w:tl2br w:val="nil"/>
                    <w:tr2bl w:val="nil"/>
                  </w:tcBorders>
                  <w:vAlign w:val="center"/>
                </w:tcPr>
                <w:p>
                  <w:pPr>
                    <w:pStyle w:val="46"/>
                    <w:rPr>
                      <w:color w:val="auto"/>
                    </w:rPr>
                  </w:pPr>
                  <w:r>
                    <w:rPr>
                      <w:rFonts w:hint="eastAsia"/>
                      <w:color w:val="auto"/>
                    </w:rPr>
                    <w:t>重点污染防治区</w:t>
                  </w:r>
                </w:p>
              </w:tc>
              <w:tc>
                <w:tcPr>
                  <w:tcW w:w="3465" w:type="dxa"/>
                  <w:tcBorders>
                    <w:tl2br w:val="nil"/>
                    <w:tr2bl w:val="nil"/>
                  </w:tcBorders>
                  <w:vAlign w:val="center"/>
                </w:tcPr>
                <w:p>
                  <w:pPr>
                    <w:pStyle w:val="46"/>
                    <w:rPr>
                      <w:color w:val="auto"/>
                    </w:rPr>
                  </w:pPr>
                  <w:r>
                    <w:rPr>
                      <w:rFonts w:hint="eastAsia"/>
                      <w:color w:val="auto"/>
                    </w:rPr>
                    <w:t>危废仓库</w:t>
                  </w:r>
                </w:p>
              </w:tc>
              <w:tc>
                <w:tcPr>
                  <w:tcW w:w="2380" w:type="dxa"/>
                  <w:tcBorders>
                    <w:tl2br w:val="nil"/>
                    <w:tr2bl w:val="nil"/>
                  </w:tcBorders>
                  <w:vAlign w:val="center"/>
                </w:tcPr>
                <w:p>
                  <w:pPr>
                    <w:pStyle w:val="46"/>
                    <w:rPr>
                      <w:color w:val="auto"/>
                    </w:rPr>
                  </w:pPr>
                  <w:r>
                    <w:rPr>
                      <w:rFonts w:hint="eastAsia"/>
                      <w:color w:val="auto"/>
                    </w:rPr>
                    <w:t>地面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43" w:type="dxa"/>
                  <w:tcBorders>
                    <w:tl2br w:val="nil"/>
                    <w:tr2bl w:val="nil"/>
                  </w:tcBorders>
                  <w:vAlign w:val="center"/>
                </w:tcPr>
                <w:p>
                  <w:pPr>
                    <w:pStyle w:val="46"/>
                    <w:rPr>
                      <w:color w:val="auto"/>
                    </w:rPr>
                  </w:pPr>
                  <w:r>
                    <w:rPr>
                      <w:color w:val="auto"/>
                    </w:rPr>
                    <w:t>2</w:t>
                  </w:r>
                </w:p>
              </w:tc>
              <w:tc>
                <w:tcPr>
                  <w:tcW w:w="1716" w:type="dxa"/>
                  <w:vMerge w:val="continue"/>
                  <w:tcBorders>
                    <w:tl2br w:val="nil"/>
                    <w:tr2bl w:val="nil"/>
                  </w:tcBorders>
                  <w:vAlign w:val="center"/>
                </w:tcPr>
                <w:p>
                  <w:pPr>
                    <w:pStyle w:val="46"/>
                    <w:rPr>
                      <w:color w:val="auto"/>
                    </w:rPr>
                  </w:pPr>
                </w:p>
              </w:tc>
              <w:tc>
                <w:tcPr>
                  <w:tcW w:w="3465" w:type="dxa"/>
                  <w:tcBorders>
                    <w:tl2br w:val="nil"/>
                    <w:tr2bl w:val="nil"/>
                  </w:tcBorders>
                  <w:vAlign w:val="center"/>
                </w:tcPr>
                <w:p>
                  <w:pPr>
                    <w:pStyle w:val="46"/>
                    <w:rPr>
                      <w:color w:val="auto"/>
                    </w:rPr>
                  </w:pPr>
                  <w:r>
                    <w:rPr>
                      <w:rFonts w:hint="eastAsia"/>
                      <w:color w:val="auto"/>
                    </w:rPr>
                    <w:t>溶剂房、油墨仓库、粘合剂仓库</w:t>
                  </w:r>
                </w:p>
              </w:tc>
              <w:tc>
                <w:tcPr>
                  <w:tcW w:w="2380" w:type="dxa"/>
                  <w:tcBorders>
                    <w:tl2br w:val="nil"/>
                    <w:tr2bl w:val="nil"/>
                  </w:tcBorders>
                  <w:vAlign w:val="center"/>
                </w:tcPr>
                <w:p>
                  <w:pPr>
                    <w:pStyle w:val="46"/>
                    <w:rPr>
                      <w:color w:val="auto"/>
                    </w:rPr>
                  </w:pPr>
                  <w:r>
                    <w:rPr>
                      <w:rFonts w:hint="eastAsia"/>
                      <w:color w:val="auto"/>
                    </w:rPr>
                    <w:t>地面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40" w:hRule="atLeast"/>
                <w:jc w:val="center"/>
              </w:trPr>
              <w:tc>
                <w:tcPr>
                  <w:tcW w:w="943" w:type="dxa"/>
                  <w:tcBorders>
                    <w:tl2br w:val="nil"/>
                    <w:tr2bl w:val="nil"/>
                  </w:tcBorders>
                  <w:vAlign w:val="center"/>
                </w:tcPr>
                <w:p>
                  <w:pPr>
                    <w:pStyle w:val="46"/>
                    <w:rPr>
                      <w:rFonts w:hint="eastAsia" w:eastAsia="宋体"/>
                      <w:color w:val="auto"/>
                      <w:lang w:eastAsia="zh-CN"/>
                    </w:rPr>
                  </w:pPr>
                  <w:r>
                    <w:rPr>
                      <w:rFonts w:hint="eastAsia"/>
                      <w:color w:val="auto"/>
                      <w:lang w:val="en-US" w:eastAsia="zh-CN"/>
                    </w:rPr>
                    <w:t>3</w:t>
                  </w:r>
                </w:p>
              </w:tc>
              <w:tc>
                <w:tcPr>
                  <w:tcW w:w="1716" w:type="dxa"/>
                  <w:tcBorders>
                    <w:tl2br w:val="nil"/>
                    <w:tr2bl w:val="nil"/>
                  </w:tcBorders>
                  <w:vAlign w:val="center"/>
                </w:tcPr>
                <w:p>
                  <w:pPr>
                    <w:pStyle w:val="46"/>
                    <w:rPr>
                      <w:color w:val="auto"/>
                    </w:rPr>
                  </w:pPr>
                  <w:r>
                    <w:rPr>
                      <w:rFonts w:hint="eastAsia"/>
                      <w:color w:val="auto"/>
                    </w:rPr>
                    <w:t>一般污染防治区</w:t>
                  </w:r>
                </w:p>
              </w:tc>
              <w:tc>
                <w:tcPr>
                  <w:tcW w:w="3465" w:type="dxa"/>
                  <w:tcBorders>
                    <w:tl2br w:val="nil"/>
                    <w:tr2bl w:val="nil"/>
                  </w:tcBorders>
                  <w:vAlign w:val="center"/>
                </w:tcPr>
                <w:p>
                  <w:pPr>
                    <w:pStyle w:val="46"/>
                    <w:rPr>
                      <w:color w:val="auto"/>
                    </w:rPr>
                  </w:pPr>
                  <w:r>
                    <w:rPr>
                      <w:rFonts w:hint="eastAsia"/>
                      <w:color w:val="auto"/>
                    </w:rPr>
                    <w:t>一般工业固废仓库、生产区域</w:t>
                  </w:r>
                </w:p>
              </w:tc>
              <w:tc>
                <w:tcPr>
                  <w:tcW w:w="2380" w:type="dxa"/>
                  <w:tcBorders>
                    <w:tl2br w:val="nil"/>
                    <w:tr2bl w:val="nil"/>
                  </w:tcBorders>
                  <w:vAlign w:val="center"/>
                </w:tcPr>
                <w:p>
                  <w:pPr>
                    <w:pStyle w:val="46"/>
                    <w:rPr>
                      <w:color w:val="auto"/>
                    </w:rPr>
                  </w:pPr>
                  <w:r>
                    <w:rPr>
                      <w:rFonts w:hint="eastAsia"/>
                      <w:color w:val="auto"/>
                    </w:rPr>
                    <w:t>地面</w:t>
                  </w:r>
                </w:p>
              </w:tc>
            </w:tr>
          </w:tbl>
          <w:p>
            <w:pPr>
              <w:pStyle w:val="97"/>
              <w:ind w:firstLine="480"/>
              <w:rPr>
                <w:color w:val="auto"/>
                <w:kern w:val="0"/>
              </w:rPr>
            </w:pPr>
            <w:r>
              <w:rPr>
                <w:color w:val="auto"/>
                <w:kern w:val="0"/>
              </w:rPr>
              <w:t>②防渗要求</w:t>
            </w:r>
          </w:p>
          <w:p>
            <w:pPr>
              <w:pStyle w:val="97"/>
              <w:ind w:firstLine="480"/>
              <w:rPr>
                <w:color w:val="auto"/>
                <w:kern w:val="0"/>
              </w:rPr>
            </w:pPr>
            <w:r>
              <w:rPr>
                <w:color w:val="auto"/>
                <w:kern w:val="0"/>
              </w:rPr>
              <w:t>重点污染区防渗要求：根据《环境影响评价技术导则</w:t>
            </w:r>
            <w:r>
              <w:rPr>
                <w:rFonts w:hint="eastAsia"/>
                <w:color w:val="auto"/>
                <w:kern w:val="0"/>
              </w:rPr>
              <w:t xml:space="preserve"> </w:t>
            </w:r>
            <w:r>
              <w:rPr>
                <w:color w:val="auto"/>
                <w:kern w:val="0"/>
              </w:rPr>
              <w:t>地下水环境》（HJ610-2016）的要求，重点防治区的防渗性能应等效黏土防渗层≥6.0m，渗透系数≤1.0×10</w:t>
            </w:r>
            <w:r>
              <w:rPr>
                <w:color w:val="auto"/>
                <w:kern w:val="0"/>
                <w:vertAlign w:val="superscript"/>
              </w:rPr>
              <w:t>-7</w:t>
            </w:r>
            <w:r>
              <w:rPr>
                <w:color w:val="auto"/>
                <w:kern w:val="0"/>
              </w:rPr>
              <w:t>cm/s。危废仓库重点防渗区应按照《危险废物污染防治技术政策》及《危险废物贮存污染控制标准》（GB18597-2023）等危险废物处理的相关标准、法律法规的要求；溶剂房、油墨仓库、粘合剂仓库防渗区</w:t>
            </w:r>
            <w:r>
              <w:rPr>
                <w:color w:val="auto"/>
              </w:rPr>
              <w:t>应按照《危险化学品安全贮存通则》（GB15603-1995）和《危险化学品安全管理条例》（2011）的要求。</w:t>
            </w:r>
          </w:p>
          <w:p>
            <w:pPr>
              <w:pStyle w:val="97"/>
              <w:ind w:firstLine="480"/>
              <w:rPr>
                <w:color w:val="auto"/>
                <w:kern w:val="0"/>
              </w:rPr>
            </w:pPr>
            <w:r>
              <w:rPr>
                <w:color w:val="auto"/>
                <w:kern w:val="0"/>
              </w:rPr>
              <w:t>一般污染区防渗要求：根据《环境影响评价技术导则</w:t>
            </w:r>
            <w:r>
              <w:rPr>
                <w:rFonts w:hint="eastAsia"/>
                <w:color w:val="auto"/>
                <w:kern w:val="0"/>
              </w:rPr>
              <w:t xml:space="preserve"> </w:t>
            </w:r>
            <w:r>
              <w:rPr>
                <w:color w:val="auto"/>
                <w:kern w:val="0"/>
              </w:rPr>
              <w:t>地下水环境》（HJ610-2016），一般防渗区的防渗性能等效黏土防渗层≥1.5m，渗透系数≤1.0×10</w:t>
            </w:r>
            <w:r>
              <w:rPr>
                <w:color w:val="auto"/>
                <w:kern w:val="0"/>
                <w:vertAlign w:val="superscript"/>
              </w:rPr>
              <w:t>-7</w:t>
            </w:r>
            <w:r>
              <w:rPr>
                <w:color w:val="auto"/>
                <w:kern w:val="0"/>
              </w:rPr>
              <w:t>cm/s。一般工业固体废物仓库一般防渗区应按照《一般工业固体废物贮存和填埋污染控制标准》（GB18599-2020）Ⅱ类场进行设计，且具有防雨、防渗、防风、防日晒的功能。</w:t>
            </w:r>
          </w:p>
          <w:p>
            <w:pPr>
              <w:pStyle w:val="97"/>
              <w:ind w:firstLine="480"/>
              <w:rPr>
                <w:bCs/>
                <w:color w:val="auto"/>
                <w:kern w:val="0"/>
              </w:rPr>
            </w:pPr>
            <w:r>
              <w:rPr>
                <w:rFonts w:hint="eastAsia"/>
                <w:bCs/>
                <w:color w:val="auto"/>
                <w:kern w:val="0"/>
              </w:rPr>
              <w:t>（2）监控措施</w:t>
            </w:r>
          </w:p>
          <w:p>
            <w:pPr>
              <w:pStyle w:val="97"/>
              <w:ind w:firstLine="480"/>
              <w:rPr>
                <w:color w:val="auto"/>
                <w:kern w:val="0"/>
              </w:rPr>
            </w:pPr>
            <w:r>
              <w:rPr>
                <w:color w:val="auto"/>
                <w:kern w:val="0"/>
              </w:rPr>
              <w:t>①</w:t>
            </w:r>
            <w:r>
              <w:rPr>
                <w:rFonts w:hint="eastAsia"/>
                <w:color w:val="auto"/>
                <w:kern w:val="0"/>
              </w:rPr>
              <w:t>扩建</w:t>
            </w:r>
            <w:r>
              <w:rPr>
                <w:color w:val="auto"/>
                <w:kern w:val="0"/>
              </w:rPr>
              <w:t>项目危险废物</w:t>
            </w:r>
            <w:r>
              <w:rPr>
                <w:rFonts w:hint="eastAsia"/>
                <w:color w:val="auto"/>
                <w:kern w:val="0"/>
              </w:rPr>
              <w:t>仓库</w:t>
            </w:r>
            <w:r>
              <w:rPr>
                <w:color w:val="auto"/>
                <w:kern w:val="0"/>
              </w:rPr>
              <w:t>、溶剂房、油墨仓库、粘合剂仓库等四周建设导流沟装置，防止</w:t>
            </w:r>
            <w:r>
              <w:rPr>
                <w:rFonts w:hint="eastAsia"/>
                <w:color w:val="auto"/>
                <w:kern w:val="0"/>
              </w:rPr>
              <w:t>溶剂、油墨、粘合剂</w:t>
            </w:r>
            <w:r>
              <w:rPr>
                <w:color w:val="auto"/>
                <w:kern w:val="0"/>
              </w:rPr>
              <w:t>、危险废物等泄漏时四处扩散，并可及时移除或者清理污染源；</w:t>
            </w:r>
          </w:p>
          <w:p>
            <w:pPr>
              <w:pStyle w:val="97"/>
              <w:ind w:firstLine="480"/>
              <w:rPr>
                <w:color w:val="auto"/>
                <w:kern w:val="0"/>
              </w:rPr>
            </w:pPr>
            <w:r>
              <w:rPr>
                <w:color w:val="auto"/>
                <w:kern w:val="0"/>
              </w:rPr>
              <w:t>②建立健全环境管理和监测制度，保证各环保设施正常运转，同时强化风险防范意识，如遇环保设施不能正常运转，应立即停产检修；</w:t>
            </w:r>
          </w:p>
          <w:p>
            <w:pPr>
              <w:pStyle w:val="97"/>
              <w:ind w:firstLine="480"/>
              <w:rPr>
                <w:color w:val="auto"/>
                <w:kern w:val="0"/>
              </w:rPr>
            </w:pPr>
            <w:r>
              <w:rPr>
                <w:color w:val="auto"/>
                <w:kern w:val="0"/>
              </w:rPr>
              <w:t>③若发生</w:t>
            </w:r>
            <w:r>
              <w:rPr>
                <w:rFonts w:hint="eastAsia"/>
                <w:color w:val="auto"/>
                <w:kern w:val="0"/>
              </w:rPr>
              <w:t>溶剂、油墨、粘合剂、</w:t>
            </w:r>
            <w:r>
              <w:rPr>
                <w:color w:val="auto"/>
                <w:kern w:val="0"/>
              </w:rPr>
              <w:t>危险废物泄漏等，必要时委托有资质的单位对厂址周边地下水、土壤等进行跟踪监测，掌握厂址周边污染变化趋势。</w:t>
            </w:r>
          </w:p>
          <w:p>
            <w:pPr>
              <w:pStyle w:val="97"/>
              <w:ind w:firstLine="480"/>
              <w:rPr>
                <w:color w:val="auto"/>
                <w:kern w:val="0"/>
              </w:rPr>
            </w:pPr>
            <w:r>
              <w:rPr>
                <w:color w:val="auto"/>
                <w:kern w:val="0"/>
              </w:rPr>
              <w:t>④在今后的生产活动中，做好设备的维护、检修，杜绝跑、冒、滴、漏现象。同时，加强污染物产生主要环节的收集治理，加强厂区的安全防护、环境风险防范措施，以便及时发现事故隐患，及时采取有效的应对措施。</w:t>
            </w:r>
          </w:p>
          <w:p>
            <w:pPr>
              <w:pStyle w:val="116"/>
              <w:rPr>
                <w:rFonts w:eastAsia="宋体" w:cs="Times New Roman"/>
                <w:b/>
                <w:bCs w:val="0"/>
                <w:color w:val="auto"/>
                <w:sz w:val="30"/>
                <w:szCs w:val="30"/>
                <w:lang w:val="en-GB"/>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6</w:t>
            </w:r>
            <w:r>
              <w:rPr>
                <w:rFonts w:eastAsia="宋体" w:cs="Times New Roman"/>
                <w:b/>
                <w:bCs w:val="0"/>
                <w:color w:val="auto"/>
                <w:sz w:val="30"/>
                <w:szCs w:val="30"/>
                <w:lang w:val="en-GB"/>
              </w:rPr>
              <w:t>.</w:t>
            </w:r>
            <w:r>
              <w:rPr>
                <w:rFonts w:hint="eastAsia" w:eastAsia="宋体" w:cs="Times New Roman"/>
                <w:b/>
                <w:bCs w:val="0"/>
                <w:color w:val="auto"/>
                <w:sz w:val="30"/>
                <w:szCs w:val="30"/>
              </w:rPr>
              <w:t>3跟踪监测要求</w:t>
            </w:r>
          </w:p>
          <w:p>
            <w:pPr>
              <w:pStyle w:val="97"/>
              <w:ind w:firstLine="480"/>
              <w:rPr>
                <w:color w:val="auto"/>
                <w:kern w:val="0"/>
              </w:rPr>
            </w:pPr>
            <w:r>
              <w:rPr>
                <w:rFonts w:hint="eastAsia"/>
                <w:color w:val="auto"/>
                <w:kern w:val="0"/>
              </w:rPr>
              <w:t>扩建项目选址于</w:t>
            </w:r>
            <w:r>
              <w:rPr>
                <w:color w:val="auto"/>
                <w:szCs w:val="21"/>
              </w:rPr>
              <w:t>福建省</w:t>
            </w:r>
            <w:r>
              <w:rPr>
                <w:rFonts w:hint="eastAsia"/>
                <w:color w:val="auto"/>
                <w:szCs w:val="21"/>
              </w:rPr>
              <w:t>福州</w:t>
            </w:r>
            <w:r>
              <w:rPr>
                <w:color w:val="auto"/>
                <w:szCs w:val="21"/>
              </w:rPr>
              <w:t>市</w:t>
            </w:r>
            <w:r>
              <w:rPr>
                <w:rFonts w:hint="eastAsia"/>
                <w:color w:val="auto"/>
                <w:szCs w:val="21"/>
              </w:rPr>
              <w:t>长乐区漳港街道渡桥村</w:t>
            </w:r>
            <w:r>
              <w:rPr>
                <w:rFonts w:hint="eastAsia"/>
                <w:color w:val="auto"/>
                <w:kern w:val="0"/>
              </w:rPr>
              <w:t>，厂房性质为工业厂房，周边以工业企业为主，项目周边地下水、土壤环境相对不敏感，采取有效的防渗措施后，项目对地下水、土壤环境影响很小，本评价不对项目地下水、土壤环境进行跟踪监测。</w:t>
            </w:r>
          </w:p>
          <w:p>
            <w:pPr>
              <w:pStyle w:val="89"/>
              <w:rPr>
                <w:rFonts w:eastAsia="宋体" w:cs="Times New Roman"/>
                <w:b/>
                <w:bCs w:val="0"/>
                <w:color w:val="auto"/>
                <w:sz w:val="30"/>
                <w:szCs w:val="30"/>
              </w:rPr>
            </w:pPr>
            <w:r>
              <w:rPr>
                <w:rFonts w:hint="eastAsia" w:eastAsia="宋体" w:cs="Times New Roman"/>
                <w:b/>
                <w:bCs w:val="0"/>
                <w:color w:val="auto"/>
                <w:sz w:val="30"/>
                <w:szCs w:val="30"/>
              </w:rPr>
              <w:t>4.7</w:t>
            </w:r>
            <w:r>
              <w:rPr>
                <w:rFonts w:eastAsia="宋体" w:cs="Times New Roman"/>
                <w:b/>
                <w:bCs w:val="0"/>
                <w:color w:val="auto"/>
                <w:sz w:val="30"/>
                <w:szCs w:val="30"/>
              </w:rPr>
              <w:t>环境风险分析</w:t>
            </w:r>
            <w:r>
              <w:rPr>
                <w:rFonts w:hint="eastAsia" w:eastAsia="宋体" w:cs="Times New Roman"/>
                <w:b/>
                <w:bCs w:val="0"/>
                <w:color w:val="auto"/>
                <w:sz w:val="30"/>
                <w:szCs w:val="30"/>
              </w:rPr>
              <w:t>及防治措施</w:t>
            </w:r>
          </w:p>
          <w:p>
            <w:pPr>
              <w:pStyle w:val="97"/>
              <w:ind w:firstLine="480"/>
              <w:rPr>
                <w:color w:val="auto"/>
              </w:rPr>
            </w:pPr>
            <w:r>
              <w:rPr>
                <w:color w:val="auto"/>
              </w:rPr>
              <w:t>根据《建设项目环境风险评价技术导则》</w:t>
            </w:r>
            <w:r>
              <w:rPr>
                <w:rFonts w:hint="eastAsia"/>
                <w:color w:val="auto"/>
              </w:rPr>
              <w:t>（</w:t>
            </w:r>
            <w:r>
              <w:rPr>
                <w:color w:val="auto"/>
              </w:rPr>
              <w:t>HJ169-2018</w:t>
            </w:r>
            <w:r>
              <w:rPr>
                <w:rFonts w:hint="eastAsia"/>
                <w:color w:val="auto"/>
              </w:rPr>
              <w:t>）</w:t>
            </w:r>
            <w:r>
              <w:rPr>
                <w:color w:val="auto"/>
              </w:rPr>
              <w:t>以及《关于进一步加强环境影响评价管理防范环境风险的通知》</w:t>
            </w:r>
            <w:r>
              <w:rPr>
                <w:rFonts w:hint="eastAsia"/>
                <w:color w:val="auto"/>
              </w:rPr>
              <w:t>（</w:t>
            </w:r>
            <w:r>
              <w:rPr>
                <w:color w:val="auto"/>
              </w:rPr>
              <w:t>环发</w:t>
            </w:r>
            <w:r>
              <w:rPr>
                <w:rFonts w:hint="eastAsia"/>
                <w:color w:val="auto"/>
              </w:rPr>
              <w:t>〔</w:t>
            </w:r>
            <w:r>
              <w:rPr>
                <w:color w:val="auto"/>
              </w:rPr>
              <w:t>2012</w:t>
            </w:r>
            <w:r>
              <w:rPr>
                <w:rFonts w:hint="eastAsia"/>
                <w:color w:val="auto"/>
              </w:rPr>
              <w:t>〕</w:t>
            </w:r>
            <w:r>
              <w:rPr>
                <w:color w:val="auto"/>
              </w:rPr>
              <w:t>77号</w:t>
            </w:r>
            <w:r>
              <w:rPr>
                <w:rFonts w:hint="eastAsia"/>
                <w:color w:val="auto"/>
              </w:rPr>
              <w:t>）</w:t>
            </w:r>
            <w:r>
              <w:rPr>
                <w:color w:val="auto"/>
              </w:rPr>
              <w:t>，环境风险评价应以突发性事故导致的危险物质环境急性损害防控为目标，对建设项目的环境风险进行分析、预测和评估，提出环境风险预防、控制、减缓措施。</w:t>
            </w:r>
          </w:p>
          <w:p>
            <w:pPr>
              <w:pStyle w:val="116"/>
              <w:rPr>
                <w:rFonts w:eastAsia="宋体" w:cs="Times New Roman"/>
                <w:b/>
                <w:bCs w:val="0"/>
                <w:color w:val="auto"/>
                <w:sz w:val="30"/>
                <w:szCs w:val="30"/>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7</w:t>
            </w:r>
            <w:r>
              <w:rPr>
                <w:rFonts w:eastAsia="宋体" w:cs="Times New Roman"/>
                <w:b/>
                <w:bCs w:val="0"/>
                <w:color w:val="auto"/>
                <w:sz w:val="30"/>
                <w:szCs w:val="30"/>
                <w:lang w:val="en-GB"/>
              </w:rPr>
              <w:t>.</w:t>
            </w:r>
            <w:r>
              <w:rPr>
                <w:rFonts w:hint="eastAsia" w:eastAsia="宋体" w:cs="Times New Roman"/>
                <w:b/>
                <w:bCs w:val="0"/>
                <w:color w:val="auto"/>
                <w:sz w:val="30"/>
                <w:szCs w:val="30"/>
              </w:rPr>
              <w:t>1环境风险识别</w:t>
            </w:r>
          </w:p>
          <w:p>
            <w:pPr>
              <w:pStyle w:val="195"/>
              <w:spacing w:line="360" w:lineRule="auto"/>
              <w:ind w:firstLine="480"/>
              <w:rPr>
                <w:color w:val="auto"/>
                <w:szCs w:val="22"/>
              </w:rPr>
            </w:pPr>
            <w:r>
              <w:rPr>
                <w:rFonts w:hint="eastAsia"/>
                <w:color w:val="auto"/>
                <w:szCs w:val="22"/>
              </w:rPr>
              <w:t>环境风险识别范围包括生产过程所涉及的物质和生产设施风险识别。</w:t>
            </w:r>
          </w:p>
          <w:p>
            <w:pPr>
              <w:pStyle w:val="195"/>
              <w:numPr>
                <w:ilvl w:val="0"/>
                <w:numId w:val="10"/>
              </w:numPr>
              <w:spacing w:line="360" w:lineRule="auto"/>
              <w:ind w:firstLine="480"/>
              <w:rPr>
                <w:color w:val="auto"/>
              </w:rPr>
            </w:pPr>
            <w:r>
              <w:rPr>
                <w:color w:val="auto"/>
                <w:szCs w:val="22"/>
              </w:rPr>
              <w:t>物质危险性识别范围包括：公司使用的主要原辅材料、燃料、中间产品和最终产品以及生产过程排放的“三废”污染物等；根据有毒有害物质放散原因，可以把风险分为泄</w:t>
            </w:r>
            <w:r>
              <w:rPr>
                <w:rFonts w:hint="eastAsia"/>
                <w:color w:val="auto"/>
                <w:szCs w:val="22"/>
              </w:rPr>
              <w:t>漏</w:t>
            </w:r>
            <w:r>
              <w:rPr>
                <w:color w:val="auto"/>
                <w:szCs w:val="22"/>
              </w:rPr>
              <w:t>及火灾/爆炸两种类型。</w:t>
            </w:r>
          </w:p>
          <w:p>
            <w:pPr>
              <w:pStyle w:val="195"/>
              <w:numPr>
                <w:ilvl w:val="0"/>
                <w:numId w:val="10"/>
              </w:numPr>
              <w:spacing w:line="360" w:lineRule="auto"/>
              <w:ind w:firstLine="480"/>
              <w:rPr>
                <w:color w:val="auto"/>
              </w:rPr>
            </w:pPr>
            <w:r>
              <w:rPr>
                <w:color w:val="auto"/>
              </w:rPr>
              <w:t>生产设施风险识别范围指厂区内部的主要生产装置、</w:t>
            </w:r>
            <w:r>
              <w:rPr>
                <w:rFonts w:hint="eastAsia"/>
                <w:color w:val="auto"/>
                <w:lang w:val="en-US" w:eastAsia="zh-CN"/>
              </w:rPr>
              <w:t>公用</w:t>
            </w:r>
            <w:r>
              <w:rPr>
                <w:color w:val="auto"/>
              </w:rPr>
              <w:t>工程系统及辅助生产设施，主要有生产区、仓库、“三废”处理设施等。</w:t>
            </w:r>
          </w:p>
          <w:p>
            <w:pPr>
              <w:pStyle w:val="116"/>
              <w:ind w:firstLine="482" w:firstLineChars="200"/>
              <w:rPr>
                <w:rFonts w:eastAsia="宋体" w:cs="Times New Roman"/>
                <w:b/>
                <w:color w:val="auto"/>
                <w:spacing w:val="0"/>
                <w:kern w:val="0"/>
                <w:szCs w:val="24"/>
              </w:rPr>
            </w:pPr>
            <w:r>
              <w:rPr>
                <w:rFonts w:hint="eastAsia" w:eastAsia="宋体" w:cs="Times New Roman"/>
                <w:b/>
                <w:color w:val="auto"/>
                <w:spacing w:val="0"/>
                <w:kern w:val="0"/>
                <w:szCs w:val="24"/>
              </w:rPr>
              <w:t>1、风险物质识别分析</w:t>
            </w:r>
          </w:p>
          <w:p>
            <w:pPr>
              <w:pStyle w:val="195"/>
              <w:spacing w:line="360" w:lineRule="auto"/>
              <w:ind w:firstLine="480"/>
              <w:rPr>
                <w:color w:val="auto"/>
                <w:szCs w:val="22"/>
              </w:rPr>
            </w:pPr>
            <w:r>
              <w:rPr>
                <w:rFonts w:hint="eastAsia"/>
                <w:snapToGrid w:val="0"/>
                <w:color w:val="auto"/>
                <w:szCs w:val="21"/>
              </w:rPr>
              <w:t>收集扩建</w:t>
            </w:r>
            <w:r>
              <w:rPr>
                <w:snapToGrid w:val="0"/>
                <w:color w:val="auto"/>
                <w:szCs w:val="21"/>
              </w:rPr>
              <w:t>项目所使用的主要原辅材料、产品以及生产过程中排放的“三废”涉及主要物质，并查阅各危险物质MSDS并对照《危险化学品目录（2015年版）》分别统计其理化性质</w:t>
            </w:r>
            <w:r>
              <w:rPr>
                <w:color w:val="auto"/>
                <w:szCs w:val="22"/>
              </w:rPr>
              <w:t>，</w:t>
            </w:r>
            <w:r>
              <w:rPr>
                <w:rFonts w:hint="eastAsia"/>
                <w:color w:val="auto"/>
                <w:szCs w:val="30"/>
              </w:rPr>
              <w:t>扩建</w:t>
            </w:r>
            <w:r>
              <w:rPr>
                <w:color w:val="auto"/>
                <w:szCs w:val="30"/>
              </w:rPr>
              <w:t>项目涉及危险化学品理化性质、毒性一览表</w:t>
            </w:r>
            <w:r>
              <w:rPr>
                <w:color w:val="auto"/>
                <w:szCs w:val="22"/>
              </w:rPr>
              <w:t>见</w:t>
            </w:r>
            <w:r>
              <w:rPr>
                <w:b/>
                <w:bCs/>
                <w:color w:val="auto"/>
                <w:szCs w:val="22"/>
              </w:rPr>
              <w:t>表</w:t>
            </w:r>
            <w:r>
              <w:rPr>
                <w:rFonts w:hint="eastAsia"/>
                <w:b/>
                <w:bCs/>
                <w:color w:val="auto"/>
                <w:szCs w:val="22"/>
              </w:rPr>
              <w:t>4.7-1</w:t>
            </w:r>
            <w:r>
              <w:rPr>
                <w:color w:val="auto"/>
                <w:szCs w:val="22"/>
              </w:rPr>
              <w:t>。</w:t>
            </w:r>
          </w:p>
          <w:p>
            <w:pPr>
              <w:pStyle w:val="97"/>
              <w:ind w:firstLine="480"/>
              <w:rPr>
                <w:color w:val="auto"/>
              </w:rPr>
            </w:pPr>
            <w:r>
              <w:rPr>
                <w:rFonts w:hint="eastAsia"/>
                <w:color w:val="auto"/>
                <w:kern w:val="0"/>
              </w:rPr>
              <w:t>对照</w:t>
            </w:r>
            <w:r>
              <w:rPr>
                <w:color w:val="auto"/>
                <w:kern w:val="0"/>
              </w:rPr>
              <w:t>《建设项目环境风险评价技术导则》</w:t>
            </w:r>
            <w:r>
              <w:rPr>
                <w:rFonts w:hint="eastAsia"/>
                <w:color w:val="auto"/>
                <w:kern w:val="0"/>
              </w:rPr>
              <w:t>（</w:t>
            </w:r>
            <w:r>
              <w:rPr>
                <w:color w:val="auto"/>
                <w:kern w:val="0"/>
              </w:rPr>
              <w:t>HJ169-2018</w:t>
            </w:r>
            <w:r>
              <w:rPr>
                <w:rFonts w:hint="eastAsia"/>
                <w:color w:val="auto"/>
                <w:kern w:val="0"/>
              </w:rPr>
              <w:t>）</w:t>
            </w:r>
            <w:r>
              <w:rPr>
                <w:color w:val="auto"/>
                <w:kern w:val="0"/>
              </w:rPr>
              <w:t>附录B.1和附录B.2，</w:t>
            </w:r>
            <w:r>
              <w:rPr>
                <w:rFonts w:hint="eastAsia"/>
                <w:color w:val="auto"/>
                <w:kern w:val="0"/>
              </w:rPr>
              <w:t>扩建</w:t>
            </w:r>
            <w:r>
              <w:rPr>
                <w:color w:val="auto"/>
              </w:rPr>
              <w:t>项目</w:t>
            </w:r>
            <w:r>
              <w:rPr>
                <w:rFonts w:hint="eastAsia"/>
                <w:color w:val="auto"/>
              </w:rPr>
              <w:t>生产过程使用溶剂（乙酸乙酯、醇酸正丙酯、异丙醇）和油性油墨含有的乙酸乙酯、醇酸正丙酯、异丙醇和粘合剂含有的乙酸乙酯均属于</w:t>
            </w:r>
            <w:r>
              <w:rPr>
                <w:iCs/>
                <w:color w:val="auto"/>
              </w:rPr>
              <w:t>《建设项目环境风险评价技术导则》</w:t>
            </w:r>
            <w:r>
              <w:rPr>
                <w:rFonts w:hint="eastAsia"/>
                <w:color w:val="auto"/>
              </w:rPr>
              <w:t>（</w:t>
            </w:r>
            <w:r>
              <w:rPr>
                <w:color w:val="auto"/>
              </w:rPr>
              <w:t>HJ169-2018</w:t>
            </w:r>
            <w:r>
              <w:rPr>
                <w:rFonts w:hint="eastAsia"/>
                <w:color w:val="auto"/>
              </w:rPr>
              <w:t>）</w:t>
            </w:r>
            <w:r>
              <w:rPr>
                <w:iCs/>
                <w:color w:val="auto"/>
              </w:rPr>
              <w:t>附录B</w:t>
            </w:r>
            <w:r>
              <w:rPr>
                <w:rFonts w:hint="eastAsia"/>
                <w:iCs/>
                <w:color w:val="auto"/>
              </w:rPr>
              <w:t>中</w:t>
            </w:r>
            <w:r>
              <w:rPr>
                <w:iCs/>
                <w:color w:val="auto"/>
              </w:rPr>
              <w:t>风险物质</w:t>
            </w:r>
            <w:r>
              <w:rPr>
                <w:rFonts w:hint="eastAsia"/>
                <w:iCs/>
                <w:color w:val="auto"/>
              </w:rPr>
              <w:t>。</w:t>
            </w:r>
          </w:p>
          <w:p>
            <w:pPr>
              <w:spacing w:line="360" w:lineRule="auto"/>
              <w:ind w:firstLine="480" w:firstLineChars="200"/>
              <w:rPr>
                <w:color w:val="auto"/>
                <w:sz w:val="24"/>
              </w:rPr>
            </w:pPr>
            <w:r>
              <w:rPr>
                <w:color w:val="auto"/>
                <w:sz w:val="24"/>
                <w:lang w:bidi="ar"/>
              </w:rPr>
              <w:t>根据《建设项目环境风险评价技术导则》(HJ169-2018)中附录C，计算所涉及的每种危险物质在厂界内的最大存在总量与其在附录B中对应临界量的比值Q。当只涉及一种危险物质时，计算该物质的数量与其临界量比值，即为Q：当存在多种危险物质时，则按下式计算物质总量与其临界量比值(Q)：</w:t>
            </w:r>
          </w:p>
          <w:p>
            <w:pPr>
              <w:spacing w:line="360" w:lineRule="auto"/>
              <w:ind w:firstLine="200"/>
              <w:jc w:val="center"/>
              <w:rPr>
                <w:color w:val="auto"/>
                <w:sz w:val="24"/>
              </w:rPr>
            </w:pPr>
            <w:r>
              <w:rPr>
                <w:color w:val="auto"/>
                <w:position w:val="-10"/>
                <w:sz w:val="24"/>
                <w:lang w:bidi="ar"/>
              </w:rPr>
              <w:drawing>
                <wp:inline distT="0" distB="0" distL="114300" distR="114300">
                  <wp:extent cx="2009775" cy="219075"/>
                  <wp:effectExtent l="0" t="0" r="1905" b="1079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44"/>
                          <a:stretch>
                            <a:fillRect/>
                          </a:stretch>
                        </pic:blipFill>
                        <pic:spPr>
                          <a:xfrm>
                            <a:off x="0" y="0"/>
                            <a:ext cx="2009775" cy="219075"/>
                          </a:xfrm>
                          <a:prstGeom prst="rect">
                            <a:avLst/>
                          </a:prstGeom>
                          <a:noFill/>
                          <a:ln>
                            <a:noFill/>
                          </a:ln>
                        </pic:spPr>
                      </pic:pic>
                    </a:graphicData>
                  </a:graphic>
                </wp:inline>
              </w:drawing>
            </w:r>
          </w:p>
          <w:p>
            <w:pPr>
              <w:spacing w:line="360" w:lineRule="auto"/>
              <w:ind w:firstLine="480" w:firstLineChars="200"/>
              <w:rPr>
                <w:color w:val="auto"/>
                <w:sz w:val="24"/>
              </w:rPr>
            </w:pPr>
            <w:r>
              <w:rPr>
                <w:color w:val="auto"/>
                <w:sz w:val="24"/>
                <w:lang w:bidi="ar"/>
              </w:rPr>
              <w:t>式中：q</w:t>
            </w:r>
            <w:r>
              <w:rPr>
                <w:color w:val="auto"/>
                <w:sz w:val="24"/>
                <w:vertAlign w:val="subscript"/>
                <w:lang w:bidi="ar"/>
              </w:rPr>
              <w:t>1</w:t>
            </w:r>
            <w:r>
              <w:rPr>
                <w:color w:val="auto"/>
                <w:sz w:val="24"/>
                <w:lang w:bidi="ar"/>
              </w:rPr>
              <w:t>，q</w:t>
            </w:r>
            <w:r>
              <w:rPr>
                <w:color w:val="auto"/>
                <w:sz w:val="24"/>
                <w:vertAlign w:val="subscript"/>
                <w:lang w:bidi="ar"/>
              </w:rPr>
              <w:t>2</w:t>
            </w:r>
            <w:r>
              <w:rPr>
                <w:color w:val="auto"/>
                <w:sz w:val="24"/>
                <w:lang w:bidi="ar"/>
              </w:rPr>
              <w:t>，…，qn—每种危险物质的最大存在总量，t，</w:t>
            </w:r>
          </w:p>
          <w:p>
            <w:pPr>
              <w:spacing w:line="360" w:lineRule="auto"/>
              <w:ind w:firstLine="1200" w:firstLineChars="500"/>
              <w:rPr>
                <w:color w:val="auto"/>
                <w:sz w:val="24"/>
              </w:rPr>
            </w:pPr>
            <w:r>
              <w:rPr>
                <w:color w:val="auto"/>
                <w:sz w:val="24"/>
                <w:lang w:bidi="ar"/>
              </w:rPr>
              <w:t>Q</w:t>
            </w:r>
            <w:r>
              <w:rPr>
                <w:color w:val="auto"/>
                <w:sz w:val="24"/>
                <w:vertAlign w:val="subscript"/>
                <w:lang w:bidi="ar"/>
              </w:rPr>
              <w:t>1</w:t>
            </w:r>
            <w:r>
              <w:rPr>
                <w:color w:val="auto"/>
                <w:sz w:val="24"/>
                <w:lang w:bidi="ar"/>
              </w:rPr>
              <w:t>，Q</w:t>
            </w:r>
            <w:r>
              <w:rPr>
                <w:color w:val="auto"/>
                <w:sz w:val="24"/>
                <w:vertAlign w:val="subscript"/>
                <w:lang w:bidi="ar"/>
              </w:rPr>
              <w:t>2</w:t>
            </w:r>
            <w:r>
              <w:rPr>
                <w:color w:val="auto"/>
                <w:sz w:val="24"/>
                <w:lang w:bidi="ar"/>
              </w:rPr>
              <w:t>，…，Q</w:t>
            </w:r>
            <w:r>
              <w:rPr>
                <w:color w:val="auto"/>
                <w:sz w:val="24"/>
                <w:vertAlign w:val="subscript"/>
                <w:lang w:bidi="ar"/>
              </w:rPr>
              <w:t>n</w:t>
            </w:r>
            <w:r>
              <w:rPr>
                <w:color w:val="auto"/>
                <w:sz w:val="24"/>
                <w:lang w:bidi="ar"/>
              </w:rPr>
              <w:t>—</w:t>
            </w:r>
            <w:r>
              <w:rPr>
                <w:color w:val="auto"/>
                <w:sz w:val="24"/>
                <w:vertAlign w:val="subscript"/>
                <w:lang w:bidi="ar"/>
              </w:rPr>
              <w:t xml:space="preserve"> </w:t>
            </w:r>
            <w:r>
              <w:rPr>
                <w:color w:val="auto"/>
                <w:sz w:val="24"/>
                <w:lang w:bidi="ar"/>
              </w:rPr>
              <w:t>每种危险物质的临界量，t。</w:t>
            </w:r>
          </w:p>
          <w:p>
            <w:pPr>
              <w:spacing w:line="360" w:lineRule="auto"/>
              <w:ind w:firstLine="1200" w:firstLineChars="500"/>
              <w:rPr>
                <w:color w:val="auto"/>
                <w:sz w:val="24"/>
              </w:rPr>
            </w:pPr>
            <w:r>
              <w:rPr>
                <w:color w:val="auto"/>
                <w:sz w:val="24"/>
                <w:lang w:bidi="ar"/>
              </w:rPr>
              <w:t>当Q&lt;1时，该项目环境</w:t>
            </w:r>
            <w:r>
              <w:rPr>
                <w:rFonts w:hint="eastAsia"/>
                <w:color w:val="auto"/>
                <w:sz w:val="24"/>
                <w:lang w:bidi="ar"/>
              </w:rPr>
              <w:t>风险</w:t>
            </w:r>
            <w:r>
              <w:rPr>
                <w:color w:val="auto"/>
                <w:sz w:val="24"/>
                <w:lang w:bidi="ar"/>
              </w:rPr>
              <w:t>潜势为Ⅰ</w:t>
            </w:r>
          </w:p>
          <w:p>
            <w:pPr>
              <w:pStyle w:val="195"/>
              <w:spacing w:line="360" w:lineRule="auto"/>
              <w:ind w:firstLine="480"/>
              <w:rPr>
                <w:bCs/>
                <w:color w:val="auto"/>
                <w:szCs w:val="24"/>
              </w:rPr>
            </w:pPr>
            <w:r>
              <w:rPr>
                <w:color w:val="auto"/>
                <w:lang w:bidi="ar"/>
              </w:rPr>
              <w:t>当Q≥1时，将Q值划分为：(1)1≤Q&lt;10；(2)</w:t>
            </w:r>
            <w:bookmarkStart w:id="25" w:name="OLE_LINK1"/>
            <w:r>
              <w:rPr>
                <w:color w:val="auto"/>
                <w:lang w:bidi="ar"/>
              </w:rPr>
              <w:t>10≤Q&lt;100</w:t>
            </w:r>
            <w:bookmarkEnd w:id="25"/>
            <w:r>
              <w:rPr>
                <w:color w:val="auto"/>
                <w:lang w:bidi="ar"/>
              </w:rPr>
              <w:t>；(3)Q≥100</w:t>
            </w:r>
            <w:r>
              <w:rPr>
                <w:bCs/>
                <w:color w:val="auto"/>
                <w:szCs w:val="24"/>
              </w:rPr>
              <w:t>。</w:t>
            </w:r>
          </w:p>
          <w:p>
            <w:pPr>
              <w:pStyle w:val="195"/>
              <w:spacing w:line="360" w:lineRule="auto"/>
              <w:ind w:firstLine="480"/>
              <w:rPr>
                <w:color w:val="auto"/>
                <w:szCs w:val="24"/>
              </w:rPr>
            </w:pPr>
            <w:r>
              <w:rPr>
                <w:rFonts w:hint="eastAsia"/>
                <w:color w:val="auto"/>
                <w:szCs w:val="24"/>
              </w:rPr>
              <w:t>扩建</w:t>
            </w:r>
            <w:r>
              <w:rPr>
                <w:color w:val="auto"/>
                <w:szCs w:val="24"/>
              </w:rPr>
              <w:t>项目危险物质数量与临界量比值（Q）辨识结果见</w:t>
            </w:r>
            <w:r>
              <w:rPr>
                <w:b/>
                <w:bCs/>
                <w:color w:val="auto"/>
                <w:szCs w:val="24"/>
              </w:rPr>
              <w:t>表</w:t>
            </w:r>
            <w:r>
              <w:rPr>
                <w:rFonts w:hint="eastAsia"/>
                <w:b/>
                <w:bCs/>
                <w:color w:val="auto"/>
                <w:szCs w:val="24"/>
              </w:rPr>
              <w:t>4.7-2</w:t>
            </w:r>
            <w:r>
              <w:rPr>
                <w:color w:val="auto"/>
                <w:szCs w:val="24"/>
              </w:rPr>
              <w:t>。</w:t>
            </w:r>
          </w:p>
          <w:p>
            <w:pPr>
              <w:pStyle w:val="136"/>
              <w:rPr>
                <w:rFonts w:eastAsia="宋体"/>
                <w:b/>
                <w:bCs/>
                <w:color w:val="auto"/>
                <w:lang w:val="en-US"/>
              </w:rPr>
            </w:pPr>
            <w:r>
              <w:rPr>
                <w:rFonts w:hint="eastAsia" w:eastAsia="宋体"/>
                <w:b/>
                <w:bCs/>
                <w:color w:val="auto"/>
                <w:lang w:val="en-US"/>
              </w:rPr>
              <w:t>表4.7-2  扩建项目涉及危险物质存在量及其临界值量表</w:t>
            </w:r>
          </w:p>
          <w:tbl>
            <w:tblPr>
              <w:tblStyle w:val="36"/>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1268"/>
              <w:gridCol w:w="1440"/>
              <w:gridCol w:w="1650"/>
              <w:gridCol w:w="1170"/>
              <w:gridCol w:w="1395"/>
              <w:gridCol w:w="8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6" w:type="dxa"/>
                  <w:tcBorders>
                    <w:top w:val="single" w:color="auto" w:sz="12" w:space="0"/>
                  </w:tcBorders>
                  <w:vAlign w:val="center"/>
                </w:tcPr>
                <w:p>
                  <w:pPr>
                    <w:jc w:val="center"/>
                    <w:rPr>
                      <w:color w:val="auto"/>
                      <w:szCs w:val="21"/>
                    </w:rPr>
                  </w:pPr>
                  <w:r>
                    <w:rPr>
                      <w:color w:val="auto"/>
                      <w:szCs w:val="21"/>
                    </w:rPr>
                    <w:t>序号</w:t>
                  </w:r>
                </w:p>
              </w:tc>
              <w:tc>
                <w:tcPr>
                  <w:tcW w:w="2708" w:type="dxa"/>
                  <w:gridSpan w:val="2"/>
                  <w:tcBorders>
                    <w:top w:val="single" w:color="auto" w:sz="12" w:space="0"/>
                  </w:tcBorders>
                  <w:vAlign w:val="center"/>
                </w:tcPr>
                <w:p>
                  <w:pPr>
                    <w:jc w:val="center"/>
                    <w:rPr>
                      <w:color w:val="auto"/>
                      <w:szCs w:val="21"/>
                    </w:rPr>
                  </w:pPr>
                  <w:r>
                    <w:rPr>
                      <w:color w:val="auto"/>
                      <w:szCs w:val="21"/>
                    </w:rPr>
                    <w:t>风险物质</w:t>
                  </w:r>
                </w:p>
              </w:tc>
              <w:tc>
                <w:tcPr>
                  <w:tcW w:w="1650" w:type="dxa"/>
                  <w:tcBorders>
                    <w:top w:val="single" w:color="auto" w:sz="12" w:space="0"/>
                  </w:tcBorders>
                  <w:vAlign w:val="center"/>
                </w:tcPr>
                <w:p>
                  <w:pPr>
                    <w:jc w:val="center"/>
                    <w:rPr>
                      <w:color w:val="auto"/>
                      <w:szCs w:val="21"/>
                    </w:rPr>
                  </w:pPr>
                  <w:r>
                    <w:rPr>
                      <w:color w:val="auto"/>
                      <w:szCs w:val="21"/>
                    </w:rPr>
                    <w:t>最大储存量（t）</w:t>
                  </w:r>
                </w:p>
              </w:tc>
              <w:tc>
                <w:tcPr>
                  <w:tcW w:w="1170" w:type="dxa"/>
                  <w:tcBorders>
                    <w:top w:val="single" w:color="auto" w:sz="12" w:space="0"/>
                  </w:tcBorders>
                  <w:vAlign w:val="center"/>
                </w:tcPr>
                <w:p>
                  <w:pPr>
                    <w:jc w:val="center"/>
                    <w:rPr>
                      <w:color w:val="auto"/>
                      <w:szCs w:val="21"/>
                    </w:rPr>
                  </w:pPr>
                  <w:r>
                    <w:rPr>
                      <w:color w:val="auto"/>
                      <w:szCs w:val="21"/>
                    </w:rPr>
                    <w:t>临界量（t）</w:t>
                  </w:r>
                </w:p>
              </w:tc>
              <w:tc>
                <w:tcPr>
                  <w:tcW w:w="1395" w:type="dxa"/>
                  <w:tcBorders>
                    <w:top w:val="single" w:color="auto" w:sz="12" w:space="0"/>
                  </w:tcBorders>
                  <w:vAlign w:val="center"/>
                </w:tcPr>
                <w:p>
                  <w:pPr>
                    <w:jc w:val="center"/>
                    <w:rPr>
                      <w:color w:val="auto"/>
                      <w:szCs w:val="21"/>
                    </w:rPr>
                  </w:pPr>
                  <w:r>
                    <w:rPr>
                      <w:color w:val="auto"/>
                      <w:szCs w:val="21"/>
                    </w:rPr>
                    <w:t>存储位置</w:t>
                  </w:r>
                </w:p>
              </w:tc>
              <w:tc>
                <w:tcPr>
                  <w:tcW w:w="895" w:type="dxa"/>
                  <w:tcBorders>
                    <w:top w:val="single" w:color="auto" w:sz="12" w:space="0"/>
                    <w:right w:val="nil"/>
                  </w:tcBorders>
                  <w:vAlign w:val="center"/>
                </w:tcPr>
                <w:p>
                  <w:pPr>
                    <w:jc w:val="center"/>
                    <w:rPr>
                      <w:color w:val="auto"/>
                      <w:szCs w:val="21"/>
                    </w:rPr>
                  </w:pPr>
                  <w:r>
                    <w:rPr>
                      <w:color w:val="auto"/>
                      <w:szCs w:val="21"/>
                    </w:rPr>
                    <w:t>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6" w:type="dxa"/>
                  <w:tcBorders>
                    <w:left w:val="nil"/>
                  </w:tcBorders>
                  <w:vAlign w:val="center"/>
                </w:tcPr>
                <w:p>
                  <w:pPr>
                    <w:jc w:val="center"/>
                    <w:rPr>
                      <w:color w:val="auto"/>
                      <w:szCs w:val="21"/>
                    </w:rPr>
                  </w:pPr>
                  <w:r>
                    <w:rPr>
                      <w:color w:val="auto"/>
                      <w:szCs w:val="21"/>
                    </w:rPr>
                    <w:t>1</w:t>
                  </w:r>
                </w:p>
              </w:tc>
              <w:tc>
                <w:tcPr>
                  <w:tcW w:w="1268" w:type="dxa"/>
                  <w:vMerge w:val="restart"/>
                  <w:vAlign w:val="center"/>
                </w:tcPr>
                <w:p>
                  <w:pPr>
                    <w:jc w:val="center"/>
                    <w:rPr>
                      <w:color w:val="auto"/>
                      <w:szCs w:val="21"/>
                    </w:rPr>
                  </w:pPr>
                  <w:r>
                    <w:rPr>
                      <w:rFonts w:hint="eastAsia"/>
                      <w:color w:val="auto"/>
                      <w:szCs w:val="21"/>
                    </w:rPr>
                    <w:t>油性油墨</w:t>
                  </w:r>
                </w:p>
              </w:tc>
              <w:tc>
                <w:tcPr>
                  <w:tcW w:w="1440" w:type="dxa"/>
                  <w:vAlign w:val="center"/>
                </w:tcPr>
                <w:p>
                  <w:pPr>
                    <w:jc w:val="center"/>
                    <w:rPr>
                      <w:color w:val="auto"/>
                      <w:szCs w:val="21"/>
                    </w:rPr>
                  </w:pPr>
                  <w:r>
                    <w:rPr>
                      <w:rFonts w:hint="eastAsia"/>
                      <w:color w:val="auto"/>
                      <w:szCs w:val="21"/>
                    </w:rPr>
                    <w:t>乙酸乙酯</w:t>
                  </w:r>
                </w:p>
              </w:tc>
              <w:tc>
                <w:tcPr>
                  <w:tcW w:w="1650" w:type="dxa"/>
                  <w:vAlign w:val="center"/>
                </w:tcPr>
                <w:p>
                  <w:pPr>
                    <w:jc w:val="center"/>
                    <w:rPr>
                      <w:color w:val="auto"/>
                      <w:szCs w:val="21"/>
                    </w:rPr>
                  </w:pPr>
                  <w:r>
                    <w:rPr>
                      <w:rFonts w:hint="eastAsia"/>
                      <w:color w:val="auto"/>
                      <w:szCs w:val="21"/>
                    </w:rPr>
                    <w:t>0.35</w:t>
                  </w:r>
                </w:p>
              </w:tc>
              <w:tc>
                <w:tcPr>
                  <w:tcW w:w="1170" w:type="dxa"/>
                  <w:vAlign w:val="center"/>
                </w:tcPr>
                <w:p>
                  <w:pPr>
                    <w:jc w:val="center"/>
                    <w:rPr>
                      <w:color w:val="auto"/>
                      <w:szCs w:val="21"/>
                    </w:rPr>
                  </w:pPr>
                  <w:r>
                    <w:rPr>
                      <w:rFonts w:hint="eastAsia"/>
                      <w:color w:val="auto"/>
                      <w:szCs w:val="21"/>
                    </w:rPr>
                    <w:t>10</w:t>
                  </w:r>
                </w:p>
              </w:tc>
              <w:tc>
                <w:tcPr>
                  <w:tcW w:w="1395" w:type="dxa"/>
                  <w:vMerge w:val="restart"/>
                  <w:vAlign w:val="center"/>
                </w:tcPr>
                <w:p>
                  <w:pPr>
                    <w:jc w:val="center"/>
                    <w:rPr>
                      <w:color w:val="auto"/>
                      <w:szCs w:val="21"/>
                    </w:rPr>
                  </w:pPr>
                  <w:r>
                    <w:rPr>
                      <w:rFonts w:hint="eastAsia"/>
                      <w:color w:val="auto"/>
                      <w:szCs w:val="21"/>
                    </w:rPr>
                    <w:t>油墨仓库</w:t>
                  </w:r>
                </w:p>
              </w:tc>
              <w:tc>
                <w:tcPr>
                  <w:tcW w:w="895" w:type="dxa"/>
                  <w:tcBorders>
                    <w:right w:val="nil"/>
                  </w:tcBorders>
                  <w:vAlign w:val="center"/>
                </w:tcPr>
                <w:p>
                  <w:pPr>
                    <w:jc w:val="center"/>
                    <w:rPr>
                      <w:color w:val="auto"/>
                      <w:szCs w:val="21"/>
                    </w:rPr>
                  </w:pPr>
                  <w:r>
                    <w:rPr>
                      <w:rFonts w:hint="eastAsia"/>
                      <w:color w:val="auto"/>
                      <w:szCs w:val="21"/>
                    </w:rPr>
                    <w:t>0.035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6" w:type="dxa"/>
                  <w:tcBorders>
                    <w:left w:val="nil"/>
                  </w:tcBorders>
                  <w:vAlign w:val="center"/>
                </w:tcPr>
                <w:p>
                  <w:pPr>
                    <w:jc w:val="center"/>
                    <w:rPr>
                      <w:color w:val="auto"/>
                      <w:szCs w:val="21"/>
                    </w:rPr>
                  </w:pPr>
                  <w:r>
                    <w:rPr>
                      <w:rFonts w:hint="eastAsia"/>
                      <w:color w:val="auto"/>
                      <w:szCs w:val="21"/>
                    </w:rPr>
                    <w:t>2</w:t>
                  </w:r>
                </w:p>
              </w:tc>
              <w:tc>
                <w:tcPr>
                  <w:tcW w:w="1268" w:type="dxa"/>
                  <w:vMerge w:val="continue"/>
                  <w:vAlign w:val="center"/>
                </w:tcPr>
                <w:p>
                  <w:pPr>
                    <w:jc w:val="center"/>
                    <w:rPr>
                      <w:color w:val="auto"/>
                      <w:szCs w:val="21"/>
                    </w:rPr>
                  </w:pPr>
                </w:p>
              </w:tc>
              <w:tc>
                <w:tcPr>
                  <w:tcW w:w="1440" w:type="dxa"/>
                  <w:vAlign w:val="center"/>
                </w:tcPr>
                <w:p>
                  <w:pPr>
                    <w:jc w:val="center"/>
                    <w:rPr>
                      <w:color w:val="auto"/>
                      <w:szCs w:val="21"/>
                    </w:rPr>
                  </w:pPr>
                  <w:r>
                    <w:rPr>
                      <w:rFonts w:hint="eastAsia"/>
                      <w:color w:val="auto"/>
                      <w:szCs w:val="21"/>
                    </w:rPr>
                    <w:t>醋酸正丙酯</w:t>
                  </w:r>
                </w:p>
              </w:tc>
              <w:tc>
                <w:tcPr>
                  <w:tcW w:w="1650" w:type="dxa"/>
                  <w:vAlign w:val="center"/>
                </w:tcPr>
                <w:p>
                  <w:pPr>
                    <w:jc w:val="center"/>
                    <w:rPr>
                      <w:color w:val="auto"/>
                      <w:szCs w:val="21"/>
                    </w:rPr>
                  </w:pPr>
                  <w:r>
                    <w:rPr>
                      <w:rFonts w:hint="eastAsia"/>
                      <w:color w:val="auto"/>
                      <w:szCs w:val="21"/>
                    </w:rPr>
                    <w:t>0.45</w:t>
                  </w:r>
                </w:p>
              </w:tc>
              <w:tc>
                <w:tcPr>
                  <w:tcW w:w="1170" w:type="dxa"/>
                  <w:vAlign w:val="center"/>
                </w:tcPr>
                <w:p>
                  <w:pPr>
                    <w:jc w:val="center"/>
                    <w:rPr>
                      <w:color w:val="auto"/>
                      <w:szCs w:val="21"/>
                    </w:rPr>
                  </w:pPr>
                  <w:r>
                    <w:rPr>
                      <w:rFonts w:hint="eastAsia"/>
                      <w:color w:val="auto"/>
                      <w:szCs w:val="21"/>
                    </w:rPr>
                    <w:t>50</w:t>
                  </w:r>
                </w:p>
              </w:tc>
              <w:tc>
                <w:tcPr>
                  <w:tcW w:w="1395" w:type="dxa"/>
                  <w:vMerge w:val="continue"/>
                  <w:vAlign w:val="center"/>
                </w:tcPr>
                <w:p>
                  <w:pPr>
                    <w:jc w:val="center"/>
                    <w:rPr>
                      <w:color w:val="auto"/>
                      <w:szCs w:val="21"/>
                    </w:rPr>
                  </w:pPr>
                </w:p>
              </w:tc>
              <w:tc>
                <w:tcPr>
                  <w:tcW w:w="895" w:type="dxa"/>
                  <w:tcBorders>
                    <w:right w:val="nil"/>
                  </w:tcBorders>
                  <w:vAlign w:val="center"/>
                </w:tcPr>
                <w:p>
                  <w:pPr>
                    <w:jc w:val="center"/>
                    <w:rPr>
                      <w:color w:val="auto"/>
                      <w:szCs w:val="21"/>
                    </w:rPr>
                  </w:pPr>
                  <w:r>
                    <w:rPr>
                      <w:rFonts w:hint="eastAsia"/>
                      <w:color w:val="auto"/>
                      <w:szCs w:val="21"/>
                    </w:rPr>
                    <w:t>0.009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6" w:type="dxa"/>
                  <w:tcBorders>
                    <w:left w:val="nil"/>
                  </w:tcBorders>
                  <w:vAlign w:val="center"/>
                </w:tcPr>
                <w:p>
                  <w:pPr>
                    <w:jc w:val="center"/>
                    <w:rPr>
                      <w:color w:val="auto"/>
                      <w:szCs w:val="21"/>
                    </w:rPr>
                  </w:pPr>
                  <w:r>
                    <w:rPr>
                      <w:rFonts w:hint="eastAsia"/>
                      <w:color w:val="auto"/>
                      <w:szCs w:val="21"/>
                    </w:rPr>
                    <w:t>3</w:t>
                  </w:r>
                </w:p>
              </w:tc>
              <w:tc>
                <w:tcPr>
                  <w:tcW w:w="1268" w:type="dxa"/>
                  <w:vMerge w:val="continue"/>
                  <w:vAlign w:val="center"/>
                </w:tcPr>
                <w:p>
                  <w:pPr>
                    <w:jc w:val="center"/>
                    <w:rPr>
                      <w:color w:val="auto"/>
                      <w:szCs w:val="21"/>
                    </w:rPr>
                  </w:pPr>
                </w:p>
              </w:tc>
              <w:tc>
                <w:tcPr>
                  <w:tcW w:w="1440" w:type="dxa"/>
                  <w:vAlign w:val="center"/>
                </w:tcPr>
                <w:p>
                  <w:pPr>
                    <w:jc w:val="center"/>
                    <w:rPr>
                      <w:color w:val="auto"/>
                      <w:szCs w:val="21"/>
                    </w:rPr>
                  </w:pPr>
                  <w:r>
                    <w:rPr>
                      <w:rFonts w:hint="eastAsia"/>
                      <w:color w:val="auto"/>
                      <w:szCs w:val="21"/>
                    </w:rPr>
                    <w:t>异丙醇</w:t>
                  </w:r>
                </w:p>
              </w:tc>
              <w:tc>
                <w:tcPr>
                  <w:tcW w:w="1650" w:type="dxa"/>
                  <w:vAlign w:val="center"/>
                </w:tcPr>
                <w:p>
                  <w:pPr>
                    <w:jc w:val="center"/>
                    <w:rPr>
                      <w:color w:val="auto"/>
                      <w:szCs w:val="21"/>
                    </w:rPr>
                  </w:pPr>
                  <w:r>
                    <w:rPr>
                      <w:rFonts w:hint="eastAsia"/>
                      <w:color w:val="auto"/>
                      <w:szCs w:val="21"/>
                    </w:rPr>
                    <w:t>0.15</w:t>
                  </w:r>
                </w:p>
              </w:tc>
              <w:tc>
                <w:tcPr>
                  <w:tcW w:w="1170" w:type="dxa"/>
                  <w:vAlign w:val="center"/>
                </w:tcPr>
                <w:p>
                  <w:pPr>
                    <w:jc w:val="center"/>
                    <w:rPr>
                      <w:color w:val="auto"/>
                      <w:szCs w:val="21"/>
                    </w:rPr>
                  </w:pPr>
                  <w:r>
                    <w:rPr>
                      <w:rFonts w:hint="eastAsia"/>
                      <w:color w:val="auto"/>
                      <w:szCs w:val="21"/>
                    </w:rPr>
                    <w:t>10</w:t>
                  </w:r>
                </w:p>
              </w:tc>
              <w:tc>
                <w:tcPr>
                  <w:tcW w:w="1395" w:type="dxa"/>
                  <w:vMerge w:val="continue"/>
                  <w:vAlign w:val="center"/>
                </w:tcPr>
                <w:p>
                  <w:pPr>
                    <w:jc w:val="center"/>
                    <w:rPr>
                      <w:color w:val="auto"/>
                      <w:szCs w:val="21"/>
                    </w:rPr>
                  </w:pPr>
                </w:p>
              </w:tc>
              <w:tc>
                <w:tcPr>
                  <w:tcW w:w="895" w:type="dxa"/>
                  <w:tcBorders>
                    <w:right w:val="nil"/>
                  </w:tcBorders>
                  <w:vAlign w:val="center"/>
                </w:tcPr>
                <w:p>
                  <w:pPr>
                    <w:jc w:val="center"/>
                    <w:rPr>
                      <w:color w:val="auto"/>
                      <w:szCs w:val="21"/>
                    </w:rPr>
                  </w:pPr>
                  <w:r>
                    <w:rPr>
                      <w:rFonts w:hint="eastAsia"/>
                      <w:color w:val="auto"/>
                      <w:szCs w:val="21"/>
                    </w:rPr>
                    <w:t>0.015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6" w:type="dxa"/>
                  <w:tcBorders>
                    <w:left w:val="nil"/>
                  </w:tcBorders>
                  <w:vAlign w:val="center"/>
                </w:tcPr>
                <w:p>
                  <w:pPr>
                    <w:jc w:val="center"/>
                    <w:rPr>
                      <w:color w:val="auto"/>
                      <w:szCs w:val="21"/>
                    </w:rPr>
                  </w:pPr>
                  <w:r>
                    <w:rPr>
                      <w:rFonts w:hint="eastAsia"/>
                      <w:color w:val="auto"/>
                      <w:szCs w:val="21"/>
                    </w:rPr>
                    <w:t>4</w:t>
                  </w:r>
                </w:p>
              </w:tc>
              <w:tc>
                <w:tcPr>
                  <w:tcW w:w="1268" w:type="dxa"/>
                  <w:vAlign w:val="center"/>
                </w:tcPr>
                <w:p>
                  <w:pPr>
                    <w:jc w:val="center"/>
                    <w:rPr>
                      <w:color w:val="auto"/>
                      <w:szCs w:val="21"/>
                    </w:rPr>
                  </w:pPr>
                  <w:r>
                    <w:rPr>
                      <w:rFonts w:hint="eastAsia"/>
                      <w:color w:val="auto"/>
                      <w:szCs w:val="21"/>
                    </w:rPr>
                    <w:t>酯溶型聚氨酯粘合剂</w:t>
                  </w:r>
                </w:p>
              </w:tc>
              <w:tc>
                <w:tcPr>
                  <w:tcW w:w="1440" w:type="dxa"/>
                  <w:vAlign w:val="center"/>
                </w:tcPr>
                <w:p>
                  <w:pPr>
                    <w:jc w:val="center"/>
                    <w:rPr>
                      <w:color w:val="auto"/>
                      <w:szCs w:val="21"/>
                    </w:rPr>
                  </w:pPr>
                  <w:r>
                    <w:rPr>
                      <w:rFonts w:hint="eastAsia"/>
                      <w:color w:val="auto"/>
                      <w:szCs w:val="21"/>
                    </w:rPr>
                    <w:t>乙酸乙酯</w:t>
                  </w:r>
                </w:p>
              </w:tc>
              <w:tc>
                <w:tcPr>
                  <w:tcW w:w="1650" w:type="dxa"/>
                  <w:vAlign w:val="center"/>
                </w:tcPr>
                <w:p>
                  <w:pPr>
                    <w:jc w:val="center"/>
                    <w:rPr>
                      <w:color w:val="auto"/>
                      <w:szCs w:val="21"/>
                    </w:rPr>
                  </w:pPr>
                  <w:r>
                    <w:rPr>
                      <w:rFonts w:hint="eastAsia"/>
                      <w:color w:val="auto"/>
                      <w:szCs w:val="21"/>
                    </w:rPr>
                    <w:t>0.5</w:t>
                  </w:r>
                </w:p>
              </w:tc>
              <w:tc>
                <w:tcPr>
                  <w:tcW w:w="1170" w:type="dxa"/>
                  <w:vAlign w:val="center"/>
                </w:tcPr>
                <w:p>
                  <w:pPr>
                    <w:jc w:val="center"/>
                    <w:rPr>
                      <w:color w:val="auto"/>
                      <w:szCs w:val="21"/>
                    </w:rPr>
                  </w:pPr>
                  <w:r>
                    <w:rPr>
                      <w:rFonts w:hint="eastAsia"/>
                      <w:color w:val="auto"/>
                      <w:szCs w:val="21"/>
                    </w:rPr>
                    <w:t>10</w:t>
                  </w:r>
                </w:p>
              </w:tc>
              <w:tc>
                <w:tcPr>
                  <w:tcW w:w="1395" w:type="dxa"/>
                  <w:vAlign w:val="center"/>
                </w:tcPr>
                <w:p>
                  <w:pPr>
                    <w:jc w:val="center"/>
                    <w:rPr>
                      <w:color w:val="auto"/>
                      <w:szCs w:val="21"/>
                    </w:rPr>
                  </w:pPr>
                  <w:r>
                    <w:rPr>
                      <w:rFonts w:hint="eastAsia"/>
                      <w:color w:val="auto"/>
                      <w:szCs w:val="21"/>
                    </w:rPr>
                    <w:t>粘合剂仓库</w:t>
                  </w:r>
                </w:p>
              </w:tc>
              <w:tc>
                <w:tcPr>
                  <w:tcW w:w="895" w:type="dxa"/>
                  <w:tcBorders>
                    <w:right w:val="nil"/>
                  </w:tcBorders>
                  <w:vAlign w:val="center"/>
                </w:tcPr>
                <w:p>
                  <w:pPr>
                    <w:jc w:val="center"/>
                    <w:rPr>
                      <w:color w:val="auto"/>
                      <w:szCs w:val="21"/>
                    </w:rPr>
                  </w:pPr>
                  <w:r>
                    <w:rPr>
                      <w:rFonts w:hint="eastAsia"/>
                      <w:color w:val="auto"/>
                      <w:szCs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6" w:type="dxa"/>
                  <w:tcBorders>
                    <w:left w:val="nil"/>
                  </w:tcBorders>
                  <w:vAlign w:val="center"/>
                </w:tcPr>
                <w:p>
                  <w:pPr>
                    <w:jc w:val="center"/>
                    <w:rPr>
                      <w:color w:val="auto"/>
                      <w:szCs w:val="21"/>
                    </w:rPr>
                  </w:pPr>
                  <w:r>
                    <w:rPr>
                      <w:rFonts w:hint="eastAsia"/>
                      <w:color w:val="auto"/>
                      <w:szCs w:val="21"/>
                    </w:rPr>
                    <w:t>5</w:t>
                  </w:r>
                </w:p>
              </w:tc>
              <w:tc>
                <w:tcPr>
                  <w:tcW w:w="1268" w:type="dxa"/>
                  <w:vMerge w:val="restart"/>
                  <w:vAlign w:val="center"/>
                </w:tcPr>
                <w:p>
                  <w:pPr>
                    <w:jc w:val="center"/>
                    <w:rPr>
                      <w:color w:val="auto"/>
                      <w:szCs w:val="21"/>
                    </w:rPr>
                  </w:pPr>
                  <w:r>
                    <w:rPr>
                      <w:rFonts w:hint="eastAsia"/>
                      <w:color w:val="auto"/>
                      <w:szCs w:val="21"/>
                    </w:rPr>
                    <w:t>溶剂</w:t>
                  </w:r>
                </w:p>
              </w:tc>
              <w:tc>
                <w:tcPr>
                  <w:tcW w:w="1440" w:type="dxa"/>
                  <w:vAlign w:val="center"/>
                </w:tcPr>
                <w:p>
                  <w:pPr>
                    <w:jc w:val="center"/>
                    <w:rPr>
                      <w:color w:val="auto"/>
                      <w:szCs w:val="21"/>
                    </w:rPr>
                  </w:pPr>
                  <w:r>
                    <w:rPr>
                      <w:rFonts w:hint="eastAsia"/>
                      <w:color w:val="auto"/>
                      <w:szCs w:val="21"/>
                    </w:rPr>
                    <w:t>乙酸乙酯</w:t>
                  </w:r>
                </w:p>
              </w:tc>
              <w:tc>
                <w:tcPr>
                  <w:tcW w:w="1650" w:type="dxa"/>
                  <w:vAlign w:val="center"/>
                </w:tcPr>
                <w:p>
                  <w:pPr>
                    <w:jc w:val="center"/>
                    <w:rPr>
                      <w:color w:val="auto"/>
                      <w:szCs w:val="21"/>
                    </w:rPr>
                  </w:pPr>
                  <w:r>
                    <w:rPr>
                      <w:rFonts w:hint="eastAsia"/>
                      <w:color w:val="auto"/>
                      <w:szCs w:val="21"/>
                    </w:rPr>
                    <w:t>0.72</w:t>
                  </w:r>
                </w:p>
              </w:tc>
              <w:tc>
                <w:tcPr>
                  <w:tcW w:w="1170" w:type="dxa"/>
                  <w:vAlign w:val="center"/>
                </w:tcPr>
                <w:p>
                  <w:pPr>
                    <w:jc w:val="center"/>
                    <w:rPr>
                      <w:color w:val="auto"/>
                      <w:szCs w:val="21"/>
                    </w:rPr>
                  </w:pPr>
                  <w:r>
                    <w:rPr>
                      <w:rFonts w:hint="eastAsia"/>
                      <w:color w:val="auto"/>
                      <w:szCs w:val="21"/>
                    </w:rPr>
                    <w:t>10</w:t>
                  </w:r>
                </w:p>
              </w:tc>
              <w:tc>
                <w:tcPr>
                  <w:tcW w:w="1395" w:type="dxa"/>
                  <w:vAlign w:val="center"/>
                </w:tcPr>
                <w:p>
                  <w:pPr>
                    <w:jc w:val="center"/>
                    <w:rPr>
                      <w:color w:val="auto"/>
                      <w:szCs w:val="21"/>
                    </w:rPr>
                  </w:pPr>
                  <w:r>
                    <w:rPr>
                      <w:rFonts w:hint="eastAsia"/>
                      <w:color w:val="auto"/>
                      <w:szCs w:val="21"/>
                    </w:rPr>
                    <w:t>溶剂房</w:t>
                  </w:r>
                </w:p>
              </w:tc>
              <w:tc>
                <w:tcPr>
                  <w:tcW w:w="895" w:type="dxa"/>
                  <w:tcBorders>
                    <w:right w:val="nil"/>
                  </w:tcBorders>
                  <w:vAlign w:val="center"/>
                </w:tcPr>
                <w:p>
                  <w:pPr>
                    <w:jc w:val="center"/>
                    <w:rPr>
                      <w:color w:val="auto"/>
                      <w:szCs w:val="21"/>
                    </w:rPr>
                  </w:pPr>
                  <w:r>
                    <w:rPr>
                      <w:rFonts w:hint="eastAsia"/>
                      <w:color w:val="auto"/>
                      <w:szCs w:val="21"/>
                    </w:rPr>
                    <w:t>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6" w:type="dxa"/>
                  <w:tcBorders>
                    <w:left w:val="nil"/>
                  </w:tcBorders>
                  <w:vAlign w:val="center"/>
                </w:tcPr>
                <w:p>
                  <w:pPr>
                    <w:jc w:val="center"/>
                    <w:rPr>
                      <w:color w:val="auto"/>
                      <w:szCs w:val="21"/>
                    </w:rPr>
                  </w:pPr>
                  <w:r>
                    <w:rPr>
                      <w:rFonts w:hint="eastAsia"/>
                      <w:color w:val="auto"/>
                      <w:szCs w:val="21"/>
                    </w:rPr>
                    <w:t>6</w:t>
                  </w:r>
                </w:p>
              </w:tc>
              <w:tc>
                <w:tcPr>
                  <w:tcW w:w="1268" w:type="dxa"/>
                  <w:vMerge w:val="continue"/>
                  <w:vAlign w:val="center"/>
                </w:tcPr>
                <w:p>
                  <w:pPr>
                    <w:jc w:val="center"/>
                    <w:rPr>
                      <w:color w:val="auto"/>
                      <w:szCs w:val="21"/>
                    </w:rPr>
                  </w:pPr>
                </w:p>
              </w:tc>
              <w:tc>
                <w:tcPr>
                  <w:tcW w:w="1440" w:type="dxa"/>
                  <w:vAlign w:val="center"/>
                </w:tcPr>
                <w:p>
                  <w:pPr>
                    <w:jc w:val="center"/>
                    <w:rPr>
                      <w:color w:val="auto"/>
                      <w:szCs w:val="21"/>
                    </w:rPr>
                  </w:pPr>
                  <w:r>
                    <w:rPr>
                      <w:rFonts w:hint="eastAsia"/>
                      <w:color w:val="auto"/>
                      <w:szCs w:val="21"/>
                    </w:rPr>
                    <w:t>醋酸正丙酯</w:t>
                  </w:r>
                </w:p>
              </w:tc>
              <w:tc>
                <w:tcPr>
                  <w:tcW w:w="1650" w:type="dxa"/>
                  <w:vAlign w:val="center"/>
                </w:tcPr>
                <w:p>
                  <w:pPr>
                    <w:jc w:val="center"/>
                    <w:rPr>
                      <w:color w:val="auto"/>
                      <w:szCs w:val="21"/>
                    </w:rPr>
                  </w:pPr>
                  <w:r>
                    <w:rPr>
                      <w:rFonts w:hint="eastAsia"/>
                      <w:color w:val="auto"/>
                      <w:szCs w:val="21"/>
                    </w:rPr>
                    <w:t>0.36</w:t>
                  </w:r>
                </w:p>
              </w:tc>
              <w:tc>
                <w:tcPr>
                  <w:tcW w:w="1170" w:type="dxa"/>
                  <w:vAlign w:val="center"/>
                </w:tcPr>
                <w:p>
                  <w:pPr>
                    <w:jc w:val="center"/>
                    <w:rPr>
                      <w:color w:val="auto"/>
                      <w:szCs w:val="21"/>
                    </w:rPr>
                  </w:pPr>
                  <w:r>
                    <w:rPr>
                      <w:rFonts w:hint="eastAsia"/>
                      <w:color w:val="auto"/>
                      <w:szCs w:val="21"/>
                    </w:rPr>
                    <w:t>50</w:t>
                  </w:r>
                </w:p>
              </w:tc>
              <w:tc>
                <w:tcPr>
                  <w:tcW w:w="1395" w:type="dxa"/>
                  <w:vAlign w:val="center"/>
                </w:tcPr>
                <w:p>
                  <w:pPr>
                    <w:jc w:val="center"/>
                    <w:rPr>
                      <w:color w:val="auto"/>
                      <w:szCs w:val="21"/>
                    </w:rPr>
                  </w:pPr>
                  <w:r>
                    <w:rPr>
                      <w:rFonts w:hint="eastAsia"/>
                      <w:color w:val="auto"/>
                      <w:szCs w:val="21"/>
                    </w:rPr>
                    <w:t>溶剂房</w:t>
                  </w:r>
                </w:p>
              </w:tc>
              <w:tc>
                <w:tcPr>
                  <w:tcW w:w="895" w:type="dxa"/>
                  <w:tcBorders>
                    <w:right w:val="nil"/>
                  </w:tcBorders>
                  <w:vAlign w:val="center"/>
                </w:tcPr>
                <w:p>
                  <w:pPr>
                    <w:jc w:val="center"/>
                    <w:rPr>
                      <w:color w:val="auto"/>
                      <w:szCs w:val="21"/>
                    </w:rPr>
                  </w:pPr>
                  <w:r>
                    <w:rPr>
                      <w:rFonts w:hint="eastAsia"/>
                      <w:color w:val="auto"/>
                      <w:szCs w:val="21"/>
                    </w:rPr>
                    <w:t>0.0072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686" w:type="dxa"/>
                  <w:tcBorders>
                    <w:left w:val="nil"/>
                  </w:tcBorders>
                  <w:vAlign w:val="center"/>
                </w:tcPr>
                <w:p>
                  <w:pPr>
                    <w:jc w:val="center"/>
                    <w:rPr>
                      <w:color w:val="auto"/>
                      <w:szCs w:val="21"/>
                    </w:rPr>
                  </w:pPr>
                  <w:r>
                    <w:rPr>
                      <w:rFonts w:hint="eastAsia"/>
                      <w:color w:val="auto"/>
                      <w:szCs w:val="21"/>
                    </w:rPr>
                    <w:t>7</w:t>
                  </w:r>
                </w:p>
              </w:tc>
              <w:tc>
                <w:tcPr>
                  <w:tcW w:w="1268" w:type="dxa"/>
                  <w:vMerge w:val="continue"/>
                  <w:vAlign w:val="center"/>
                </w:tcPr>
                <w:p>
                  <w:pPr>
                    <w:jc w:val="center"/>
                    <w:rPr>
                      <w:color w:val="auto"/>
                      <w:szCs w:val="21"/>
                    </w:rPr>
                  </w:pPr>
                </w:p>
              </w:tc>
              <w:tc>
                <w:tcPr>
                  <w:tcW w:w="1440" w:type="dxa"/>
                  <w:vAlign w:val="center"/>
                </w:tcPr>
                <w:p>
                  <w:pPr>
                    <w:jc w:val="center"/>
                    <w:rPr>
                      <w:color w:val="auto"/>
                      <w:szCs w:val="21"/>
                    </w:rPr>
                  </w:pPr>
                  <w:r>
                    <w:rPr>
                      <w:rFonts w:hint="eastAsia"/>
                      <w:color w:val="auto"/>
                      <w:szCs w:val="21"/>
                    </w:rPr>
                    <w:t>异丙醇</w:t>
                  </w:r>
                </w:p>
              </w:tc>
              <w:tc>
                <w:tcPr>
                  <w:tcW w:w="1650" w:type="dxa"/>
                  <w:vAlign w:val="center"/>
                </w:tcPr>
                <w:p>
                  <w:pPr>
                    <w:jc w:val="center"/>
                    <w:rPr>
                      <w:color w:val="auto"/>
                      <w:szCs w:val="21"/>
                    </w:rPr>
                  </w:pPr>
                  <w:r>
                    <w:rPr>
                      <w:rFonts w:hint="eastAsia"/>
                      <w:color w:val="auto"/>
                      <w:szCs w:val="21"/>
                    </w:rPr>
                    <w:t>0.18</w:t>
                  </w:r>
                </w:p>
              </w:tc>
              <w:tc>
                <w:tcPr>
                  <w:tcW w:w="1170" w:type="dxa"/>
                  <w:vAlign w:val="center"/>
                </w:tcPr>
                <w:p>
                  <w:pPr>
                    <w:jc w:val="center"/>
                    <w:rPr>
                      <w:color w:val="auto"/>
                      <w:szCs w:val="21"/>
                    </w:rPr>
                  </w:pPr>
                  <w:r>
                    <w:rPr>
                      <w:rFonts w:hint="eastAsia"/>
                      <w:color w:val="auto"/>
                      <w:szCs w:val="21"/>
                    </w:rPr>
                    <w:t>10</w:t>
                  </w:r>
                </w:p>
              </w:tc>
              <w:tc>
                <w:tcPr>
                  <w:tcW w:w="1395" w:type="dxa"/>
                  <w:vAlign w:val="center"/>
                </w:tcPr>
                <w:p>
                  <w:pPr>
                    <w:jc w:val="center"/>
                    <w:rPr>
                      <w:color w:val="auto"/>
                      <w:szCs w:val="21"/>
                    </w:rPr>
                  </w:pPr>
                  <w:r>
                    <w:rPr>
                      <w:rFonts w:hint="eastAsia"/>
                      <w:color w:val="auto"/>
                      <w:szCs w:val="21"/>
                    </w:rPr>
                    <w:t>溶剂房</w:t>
                  </w:r>
                </w:p>
              </w:tc>
              <w:tc>
                <w:tcPr>
                  <w:tcW w:w="895" w:type="dxa"/>
                  <w:tcBorders>
                    <w:right w:val="nil"/>
                  </w:tcBorders>
                  <w:vAlign w:val="center"/>
                </w:tcPr>
                <w:p>
                  <w:pPr>
                    <w:jc w:val="center"/>
                    <w:rPr>
                      <w:color w:val="auto"/>
                      <w:szCs w:val="21"/>
                    </w:rPr>
                  </w:pPr>
                  <w:r>
                    <w:rPr>
                      <w:rFonts w:hint="eastAsia"/>
                      <w:color w:val="auto"/>
                      <w:szCs w:val="21"/>
                    </w:rPr>
                    <w:t>0.018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609" w:type="dxa"/>
                  <w:gridSpan w:val="6"/>
                  <w:tcBorders>
                    <w:left w:val="nil"/>
                  </w:tcBorders>
                  <w:vAlign w:val="center"/>
                </w:tcPr>
                <w:p>
                  <w:pPr>
                    <w:jc w:val="center"/>
                    <w:rPr>
                      <w:color w:val="auto"/>
                      <w:szCs w:val="21"/>
                    </w:rPr>
                  </w:pPr>
                  <w:r>
                    <w:rPr>
                      <w:rFonts w:hint="eastAsia"/>
                      <w:color w:val="auto"/>
                      <w:szCs w:val="21"/>
                    </w:rPr>
                    <w:t>合计</w:t>
                  </w:r>
                </w:p>
              </w:tc>
              <w:tc>
                <w:tcPr>
                  <w:tcW w:w="895" w:type="dxa"/>
                  <w:tcBorders>
                    <w:right w:val="nil"/>
                  </w:tcBorders>
                  <w:vAlign w:val="center"/>
                </w:tcPr>
                <w:p>
                  <w:pPr>
                    <w:jc w:val="center"/>
                    <w:rPr>
                      <w:color w:val="auto"/>
                      <w:szCs w:val="21"/>
                    </w:rPr>
                  </w:pPr>
                  <w:r>
                    <w:rPr>
                      <w:rFonts w:hint="eastAsia"/>
                      <w:color w:val="auto"/>
                      <w:szCs w:val="21"/>
                    </w:rPr>
                    <w:t>0.2062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8504" w:type="dxa"/>
                  <w:gridSpan w:val="7"/>
                  <w:tcBorders>
                    <w:left w:val="nil"/>
                    <w:bottom w:val="single" w:color="auto" w:sz="12" w:space="0"/>
                    <w:right w:val="nil"/>
                  </w:tcBorders>
                  <w:vAlign w:val="center"/>
                </w:tcPr>
                <w:p>
                  <w:pPr>
                    <w:pStyle w:val="195"/>
                    <w:ind w:firstLine="0" w:firstLineChars="0"/>
                    <w:rPr>
                      <w:color w:val="auto"/>
                      <w:sz w:val="21"/>
                      <w:szCs w:val="21"/>
                    </w:rPr>
                  </w:pPr>
                  <w:r>
                    <w:rPr>
                      <w:rFonts w:hint="eastAsia"/>
                      <w:color w:val="auto"/>
                      <w:sz w:val="21"/>
                      <w:szCs w:val="21"/>
                    </w:rPr>
                    <w:t>注：油性油墨（乙酸乙酯最大含量35%、醋酸正丙酯最大含量45%、异丙酯最大含量15%）</w:t>
                  </w:r>
                </w:p>
                <w:p>
                  <w:pPr>
                    <w:pStyle w:val="195"/>
                    <w:ind w:firstLine="0" w:firstLineChars="0"/>
                    <w:rPr>
                      <w:color w:val="auto"/>
                      <w:szCs w:val="21"/>
                    </w:rPr>
                  </w:pPr>
                  <w:r>
                    <w:rPr>
                      <w:rFonts w:hint="eastAsia"/>
                      <w:color w:val="auto"/>
                      <w:sz w:val="21"/>
                      <w:szCs w:val="21"/>
                    </w:rPr>
                    <w:t>的最大储存量为1t，酯溶型聚氨酯粘合剂（乙酸乙酯最大含量50%）的最大储存量为1t。则油性油墨中乙酸乙酯的最大储存量0.35t、醋酸正丙酯最大储存量0.45t、异丙酯最大储存量0.15t；粘合剂中乙酸乙酯的最大储存量0.5t。</w:t>
                  </w:r>
                </w:p>
              </w:tc>
            </w:tr>
          </w:tbl>
          <w:p>
            <w:pPr>
              <w:pStyle w:val="97"/>
              <w:ind w:firstLine="480"/>
              <w:jc w:val="left"/>
              <w:rPr>
                <w:color w:val="auto"/>
              </w:rPr>
            </w:pPr>
            <w:r>
              <w:rPr>
                <w:color w:val="auto"/>
              </w:rPr>
              <w:t>根据上表危险物质数量与临界量比值（Q）辨识结果，扩建项目Q=</w:t>
            </w:r>
            <w:r>
              <w:rPr>
                <w:color w:val="auto"/>
                <w:kern w:val="0"/>
                <w:lang w:bidi="ar"/>
              </w:rPr>
              <w:t>0.</w:t>
            </w:r>
            <w:r>
              <w:rPr>
                <w:rFonts w:hint="eastAsia"/>
                <w:color w:val="auto"/>
                <w:kern w:val="0"/>
                <w:lang w:bidi="ar"/>
              </w:rPr>
              <w:t>2062。</w:t>
            </w:r>
            <w:r>
              <w:rPr>
                <w:color w:val="auto"/>
              </w:rPr>
              <w:t>根据《建设项目环境风险评价技术导则》（HJ169-2018）附录C，当Q＜1时，该项目环境风险潜势为Ⅰ，无需进行P、E值的计算，评价等级为“简单分析”</w:t>
            </w:r>
            <w:r>
              <w:rPr>
                <w:rFonts w:hint="eastAsia"/>
                <w:color w:val="auto"/>
              </w:rPr>
              <w:t>，则扩建项目</w:t>
            </w:r>
            <w:r>
              <w:rPr>
                <w:color w:val="auto"/>
              </w:rPr>
              <w:t>Q=</w:t>
            </w:r>
            <w:r>
              <w:rPr>
                <w:color w:val="auto"/>
                <w:kern w:val="0"/>
                <w:lang w:bidi="ar"/>
              </w:rPr>
              <w:t>0.</w:t>
            </w:r>
            <w:r>
              <w:rPr>
                <w:rFonts w:hint="eastAsia"/>
                <w:color w:val="auto"/>
                <w:kern w:val="0"/>
                <w:lang w:bidi="ar"/>
              </w:rPr>
              <w:t>2062</w:t>
            </w:r>
            <w:r>
              <w:rPr>
                <w:color w:val="auto"/>
              </w:rPr>
              <w:t>＜1</w:t>
            </w:r>
            <w:r>
              <w:rPr>
                <w:rFonts w:hint="eastAsia"/>
                <w:color w:val="auto"/>
              </w:rPr>
              <w:t>，本评价进行简单分析。</w:t>
            </w:r>
          </w:p>
          <w:p>
            <w:pPr>
              <w:pStyle w:val="116"/>
              <w:ind w:firstLine="482" w:firstLineChars="200"/>
              <w:rPr>
                <w:rFonts w:eastAsia="宋体" w:cs="Times New Roman"/>
                <w:b/>
                <w:color w:val="auto"/>
                <w:spacing w:val="0"/>
                <w:kern w:val="0"/>
                <w:szCs w:val="24"/>
              </w:rPr>
            </w:pPr>
            <w:r>
              <w:rPr>
                <w:rFonts w:hint="eastAsia" w:eastAsia="宋体" w:cs="Times New Roman"/>
                <w:b/>
                <w:color w:val="auto"/>
                <w:spacing w:val="0"/>
                <w:kern w:val="0"/>
                <w:szCs w:val="24"/>
              </w:rPr>
              <w:t>2、主要风险单元识别</w:t>
            </w:r>
          </w:p>
          <w:p>
            <w:pPr>
              <w:pStyle w:val="97"/>
              <w:ind w:firstLine="480"/>
              <w:rPr>
                <w:color w:val="auto"/>
              </w:rPr>
            </w:pPr>
            <w:r>
              <w:rPr>
                <w:rFonts w:hint="eastAsia"/>
                <w:color w:val="auto"/>
              </w:rPr>
              <w:t>扩建项目主要风险单元详见</w:t>
            </w:r>
            <w:r>
              <w:rPr>
                <w:rFonts w:hint="eastAsia"/>
                <w:b/>
                <w:bCs/>
                <w:color w:val="auto"/>
              </w:rPr>
              <w:t>表4.7-3</w:t>
            </w:r>
            <w:r>
              <w:rPr>
                <w:rFonts w:hint="eastAsia"/>
                <w:color w:val="auto"/>
              </w:rPr>
              <w:t>。</w:t>
            </w:r>
          </w:p>
          <w:p>
            <w:pPr>
              <w:jc w:val="center"/>
              <w:rPr>
                <w:b/>
                <w:bCs/>
                <w:color w:val="auto"/>
                <w:kern w:val="0"/>
                <w:szCs w:val="21"/>
                <w:lang w:bidi="ar"/>
              </w:rPr>
            </w:pPr>
            <w:r>
              <w:rPr>
                <w:rFonts w:hint="eastAsia"/>
                <w:b/>
                <w:bCs/>
                <w:color w:val="auto"/>
                <w:kern w:val="0"/>
                <w:sz w:val="24"/>
                <w:lang w:bidi="ar"/>
              </w:rPr>
              <w:t>表4.7-3  扩建项目所涉及危险物质单元情况</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626"/>
              <w:gridCol w:w="1418"/>
              <w:gridCol w:w="2537"/>
              <w:gridCol w:w="1993"/>
              <w:gridCol w:w="19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6"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序号</w:t>
                  </w:r>
                </w:p>
              </w:tc>
              <w:tc>
                <w:tcPr>
                  <w:tcW w:w="1418"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风险单元</w:t>
                  </w:r>
                </w:p>
              </w:tc>
              <w:tc>
                <w:tcPr>
                  <w:tcW w:w="2537"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事故类型</w:t>
                  </w:r>
                </w:p>
              </w:tc>
              <w:tc>
                <w:tcPr>
                  <w:tcW w:w="1993"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主要危险物质</w:t>
                  </w:r>
                </w:p>
              </w:tc>
              <w:tc>
                <w:tcPr>
                  <w:tcW w:w="1930"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环境风险识别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6"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1</w:t>
                  </w:r>
                </w:p>
              </w:tc>
              <w:tc>
                <w:tcPr>
                  <w:tcW w:w="1418"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溶剂房、油墨仓库、粘合剂仓库、厂房一楼</w:t>
                  </w:r>
                </w:p>
              </w:tc>
              <w:tc>
                <w:tcPr>
                  <w:tcW w:w="2537"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溶剂、粘合剂等贮存、使用、厂内运输过程中因包装容器破损、不当操作导致泄漏</w:t>
                  </w:r>
                </w:p>
              </w:tc>
              <w:tc>
                <w:tcPr>
                  <w:tcW w:w="1993"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乙酸乙酯、醋酸正丙酯、异丙醇等</w:t>
                  </w:r>
                </w:p>
              </w:tc>
              <w:tc>
                <w:tcPr>
                  <w:tcW w:w="1930"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泄漏、火灾、爆炸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26"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2</w:t>
                  </w:r>
                </w:p>
              </w:tc>
              <w:tc>
                <w:tcPr>
                  <w:tcW w:w="1418"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危废仓库</w:t>
                  </w:r>
                </w:p>
              </w:tc>
              <w:tc>
                <w:tcPr>
                  <w:tcW w:w="2537"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废油墨等泄漏</w:t>
                  </w:r>
                </w:p>
              </w:tc>
              <w:tc>
                <w:tcPr>
                  <w:tcW w:w="1993" w:type="dxa"/>
                  <w:tcBorders>
                    <w:tl2br w:val="nil"/>
                    <w:tr2bl w:val="nil"/>
                  </w:tcBorders>
                  <w:vAlign w:val="center"/>
                </w:tcPr>
                <w:p>
                  <w:pPr>
                    <w:pStyle w:val="161"/>
                    <w:adjustRightInd w:val="0"/>
                    <w:snapToGrid w:val="0"/>
                    <w:jc w:val="center"/>
                    <w:rPr>
                      <w:rFonts w:hint="eastAsia" w:eastAsia="宋体"/>
                      <w:color w:val="auto"/>
                      <w:sz w:val="21"/>
                      <w:szCs w:val="21"/>
                      <w:lang w:val="en-US" w:eastAsia="zh-CN"/>
                    </w:rPr>
                  </w:pPr>
                  <w:r>
                    <w:rPr>
                      <w:rFonts w:hint="eastAsia"/>
                      <w:color w:val="auto"/>
                      <w:sz w:val="21"/>
                      <w:szCs w:val="21"/>
                    </w:rPr>
                    <w:t>乙酸乙酯、醋酸正丙酯、异丙醇等</w:t>
                  </w:r>
                  <w:r>
                    <w:rPr>
                      <w:rFonts w:hint="eastAsia"/>
                      <w:color w:val="auto"/>
                      <w:sz w:val="21"/>
                      <w:szCs w:val="21"/>
                      <w:lang w:val="en-US" w:eastAsia="zh-CN"/>
                    </w:rPr>
                    <w:t>有机物</w:t>
                  </w:r>
                </w:p>
              </w:tc>
              <w:tc>
                <w:tcPr>
                  <w:tcW w:w="1930" w:type="dxa"/>
                  <w:tcBorders>
                    <w:tl2br w:val="nil"/>
                    <w:tr2bl w:val="nil"/>
                  </w:tcBorders>
                  <w:vAlign w:val="center"/>
                </w:tcPr>
                <w:p>
                  <w:pPr>
                    <w:pStyle w:val="161"/>
                    <w:adjustRightInd w:val="0"/>
                    <w:snapToGrid w:val="0"/>
                    <w:jc w:val="center"/>
                    <w:rPr>
                      <w:color w:val="auto"/>
                      <w:sz w:val="21"/>
                      <w:szCs w:val="21"/>
                    </w:rPr>
                  </w:pPr>
                  <w:r>
                    <w:rPr>
                      <w:rFonts w:hint="eastAsia"/>
                      <w:color w:val="auto"/>
                      <w:sz w:val="21"/>
                      <w:szCs w:val="21"/>
                    </w:rPr>
                    <w:t>泄漏、火灾、爆炸</w:t>
                  </w:r>
                </w:p>
              </w:tc>
            </w:tr>
          </w:tbl>
          <w:p>
            <w:pPr>
              <w:pStyle w:val="13"/>
              <w:spacing w:line="360" w:lineRule="auto"/>
              <w:ind w:firstLine="480" w:firstLineChars="200"/>
              <w:jc w:val="left"/>
              <w:rPr>
                <w:rFonts w:eastAsia="宋体"/>
                <w:color w:val="auto"/>
                <w:sz w:val="21"/>
                <w:szCs w:val="21"/>
              </w:rPr>
            </w:pPr>
            <w:r>
              <w:rPr>
                <w:rFonts w:hint="eastAsia" w:eastAsia="宋体"/>
                <w:color w:val="auto"/>
                <w:sz w:val="24"/>
                <w:szCs w:val="24"/>
              </w:rPr>
              <w:t>由上表可知，主要风险单元为溶剂房、粘合剂仓库、厂房一楼、危废间，存在乙酸乙酯、醋酸正丙酯、异丙醇等危险物质泄漏及火灾的风险事故。</w:t>
            </w:r>
          </w:p>
          <w:p>
            <w:pPr>
              <w:pStyle w:val="116"/>
              <w:ind w:firstLine="482" w:firstLineChars="200"/>
              <w:rPr>
                <w:rFonts w:eastAsia="宋体" w:cs="Times New Roman"/>
                <w:b/>
                <w:color w:val="auto"/>
                <w:spacing w:val="0"/>
                <w:kern w:val="0"/>
                <w:szCs w:val="24"/>
              </w:rPr>
            </w:pPr>
            <w:r>
              <w:rPr>
                <w:rFonts w:hint="eastAsia" w:eastAsia="宋体" w:cs="Times New Roman"/>
                <w:b/>
                <w:color w:val="auto"/>
                <w:spacing w:val="0"/>
                <w:kern w:val="0"/>
                <w:szCs w:val="24"/>
              </w:rPr>
              <w:t>3、事故影响分析</w:t>
            </w:r>
          </w:p>
          <w:p>
            <w:pPr>
              <w:pStyle w:val="13"/>
              <w:spacing w:line="360" w:lineRule="auto"/>
              <w:ind w:firstLine="480" w:firstLineChars="200"/>
              <w:rPr>
                <w:rFonts w:eastAsia="宋体"/>
                <w:color w:val="auto"/>
                <w:sz w:val="24"/>
                <w:szCs w:val="24"/>
              </w:rPr>
            </w:pPr>
            <w:r>
              <w:rPr>
                <w:rFonts w:hint="eastAsia" w:eastAsia="宋体"/>
                <w:color w:val="auto"/>
                <w:sz w:val="24"/>
                <w:szCs w:val="24"/>
              </w:rPr>
              <w:t>扩建项目涉及风险的物质主要为溶剂、粘合剂、废油墨，主要危险物质存放在溶剂房、粘合剂仓库、油墨仓库和危废仓库，因此，扩建项目主要环境风险来自溶剂房、粘合剂仓库、油墨仓库和危废仓库中有毒和易燃物质泄漏，由此可能引发的火灾事故等。</w:t>
            </w:r>
          </w:p>
          <w:p>
            <w:pPr>
              <w:pStyle w:val="116"/>
              <w:rPr>
                <w:rFonts w:eastAsia="宋体" w:cs="Times New Roman"/>
                <w:b/>
                <w:bCs w:val="0"/>
                <w:color w:val="auto"/>
                <w:sz w:val="30"/>
                <w:szCs w:val="30"/>
              </w:rPr>
            </w:pPr>
            <w:r>
              <w:rPr>
                <w:rFonts w:hint="eastAsia" w:eastAsia="宋体" w:cs="Times New Roman"/>
                <w:b/>
                <w:bCs w:val="0"/>
                <w:color w:val="auto"/>
                <w:sz w:val="30"/>
                <w:szCs w:val="30"/>
              </w:rPr>
              <w:t>4</w:t>
            </w:r>
            <w:r>
              <w:rPr>
                <w:rFonts w:eastAsia="宋体" w:cs="Times New Roman"/>
                <w:b/>
                <w:bCs w:val="0"/>
                <w:color w:val="auto"/>
                <w:sz w:val="30"/>
                <w:szCs w:val="30"/>
                <w:lang w:val="en-GB"/>
              </w:rPr>
              <w:t>.</w:t>
            </w:r>
            <w:r>
              <w:rPr>
                <w:rFonts w:hint="eastAsia" w:eastAsia="宋体" w:cs="Times New Roman"/>
                <w:b/>
                <w:bCs w:val="0"/>
                <w:color w:val="auto"/>
                <w:sz w:val="30"/>
                <w:szCs w:val="30"/>
              </w:rPr>
              <w:t>7</w:t>
            </w:r>
            <w:r>
              <w:rPr>
                <w:rFonts w:eastAsia="宋体" w:cs="Times New Roman"/>
                <w:b/>
                <w:bCs w:val="0"/>
                <w:color w:val="auto"/>
                <w:sz w:val="30"/>
                <w:szCs w:val="30"/>
                <w:lang w:val="en-GB"/>
              </w:rPr>
              <w:t>.</w:t>
            </w:r>
            <w:r>
              <w:rPr>
                <w:rFonts w:hint="eastAsia" w:eastAsia="宋体" w:cs="Times New Roman"/>
                <w:b/>
                <w:bCs w:val="0"/>
                <w:color w:val="auto"/>
                <w:sz w:val="30"/>
                <w:szCs w:val="30"/>
              </w:rPr>
              <w:t>2环境风险防范措施</w:t>
            </w:r>
          </w:p>
          <w:p>
            <w:pPr>
              <w:pStyle w:val="97"/>
              <w:ind w:firstLine="480"/>
              <w:rPr>
                <w:color w:val="auto"/>
              </w:rPr>
            </w:pPr>
            <w:r>
              <w:rPr>
                <w:rFonts w:hint="eastAsia"/>
                <w:color w:val="auto"/>
              </w:rPr>
              <w:t>（1）贮存过程中安全防范措施</w:t>
            </w:r>
          </w:p>
          <w:p>
            <w:pPr>
              <w:pStyle w:val="97"/>
              <w:ind w:firstLine="480"/>
              <w:rPr>
                <w:color w:val="auto"/>
              </w:rPr>
            </w:pPr>
            <w:r>
              <w:rPr>
                <w:rFonts w:hint="eastAsia"/>
                <w:color w:val="auto"/>
              </w:rPr>
              <w:t>A.溶剂房、粘合剂仓库、油墨仓库、厂房一楼</w:t>
            </w:r>
            <w:r>
              <w:rPr>
                <w:color w:val="auto"/>
              </w:rPr>
              <w:t>应设有通风设施，</w:t>
            </w:r>
            <w:r>
              <w:rPr>
                <w:rFonts w:hint="eastAsia"/>
                <w:color w:val="auto"/>
              </w:rPr>
              <w:t>其</w:t>
            </w:r>
            <w:r>
              <w:rPr>
                <w:color w:val="auto"/>
              </w:rPr>
              <w:t>周边不能布置火源，</w:t>
            </w:r>
            <w:r>
              <w:rPr>
                <w:rFonts w:hint="eastAsia"/>
                <w:color w:val="auto"/>
              </w:rPr>
              <w:t>溶剂房、油墨仓库、粘合剂仓库</w:t>
            </w:r>
            <w:r>
              <w:rPr>
                <w:color w:val="auto"/>
              </w:rPr>
              <w:t>内应布置有消防器材</w:t>
            </w:r>
            <w:r>
              <w:rPr>
                <w:rFonts w:hint="eastAsia"/>
                <w:color w:val="auto"/>
              </w:rPr>
              <w:t>，</w:t>
            </w:r>
            <w:r>
              <w:rPr>
                <w:color w:val="auto"/>
              </w:rPr>
              <w:t>具备防风、防雨，并配备泄漏应急处理设施。</w:t>
            </w:r>
          </w:p>
          <w:p>
            <w:pPr>
              <w:pStyle w:val="97"/>
              <w:ind w:firstLine="480"/>
              <w:rPr>
                <w:color w:val="auto"/>
              </w:rPr>
            </w:pPr>
            <w:r>
              <w:rPr>
                <w:rFonts w:hint="eastAsia"/>
                <w:color w:val="auto"/>
              </w:rPr>
              <w:t>B.厂房一楼西南侧设置1间危险仓库收集危险废物，一旦在贮存过程中泄漏，将对人体和环境造成污染。扩建项目废油墨、废粘合剂、废活性炭等危废采用不漏水、防腐蚀的密封袋或密封桶储存，废油墨桶、废溶剂桶、废粘合剂桶直接存放于危废仓库，危废仓库按《危险废物贮存污染控制工程》（GB18597-2023）相关要求进行设置。本评价认为危废定期运走，且有防渗漏等设计，出现环境事故可能性小。</w:t>
            </w:r>
          </w:p>
          <w:p>
            <w:pPr>
              <w:pStyle w:val="97"/>
              <w:ind w:firstLine="480"/>
              <w:rPr>
                <w:color w:val="auto"/>
              </w:rPr>
            </w:pPr>
            <w:r>
              <w:rPr>
                <w:color w:val="auto"/>
              </w:rPr>
              <w:t>（2）溶剂房、粘合剂仓库、油墨仓库、危废仓库的防渗措施</w:t>
            </w:r>
          </w:p>
          <w:p>
            <w:pPr>
              <w:pStyle w:val="97"/>
              <w:ind w:firstLine="480"/>
              <w:rPr>
                <w:color w:val="auto"/>
              </w:rPr>
            </w:pPr>
            <w:r>
              <w:rPr>
                <w:color w:val="auto"/>
              </w:rPr>
              <w:t>项目溶剂房、粘合剂仓库、油墨仓库、危废仓库的内部地坪宜比门口或墙体开洞低至少0.15m，以确保物料不会溢流到室外；溶剂房、粘合剂仓库、油墨仓库、危废仓库的地面基础必须防渗，防渗层应采用至少1m厚粘土层(渗透系数≤10</w:t>
            </w:r>
            <w:r>
              <w:rPr>
                <w:color w:val="auto"/>
                <w:vertAlign w:val="superscript"/>
              </w:rPr>
              <w:t>-7</w:t>
            </w:r>
            <w:r>
              <w:rPr>
                <w:color w:val="auto"/>
              </w:rPr>
              <w:t>cm/s)，或2mm厚高密度聚乙烯(HDPE土工膜)，或至少2mm厚的其他人工材料，渗透系数≤10</w:t>
            </w:r>
            <w:r>
              <w:rPr>
                <w:color w:val="auto"/>
                <w:vertAlign w:val="superscript"/>
              </w:rPr>
              <w:t>-10</w:t>
            </w:r>
            <w:r>
              <w:rPr>
                <w:color w:val="auto"/>
              </w:rPr>
              <w:t>cm/s。溶剂房、粘合剂仓库、油墨仓库地面全部进行防渗处理、裙脚与地面之间须无缝处理，以确保减轻地下水及土壤的影响。</w:t>
            </w:r>
          </w:p>
          <w:p>
            <w:pPr>
              <w:pStyle w:val="97"/>
              <w:ind w:firstLine="480"/>
              <w:rPr>
                <w:color w:val="auto"/>
              </w:rPr>
            </w:pPr>
            <w:r>
              <w:rPr>
                <w:rFonts w:hint="eastAsia"/>
                <w:color w:val="auto"/>
              </w:rPr>
              <w:t>（3）火灾、爆炸事故的防范措施</w:t>
            </w:r>
          </w:p>
          <w:p>
            <w:pPr>
              <w:pStyle w:val="97"/>
              <w:ind w:firstLine="480"/>
              <w:rPr>
                <w:color w:val="auto"/>
              </w:rPr>
            </w:pPr>
            <w:r>
              <w:rPr>
                <w:rFonts w:hint="eastAsia"/>
                <w:color w:val="auto"/>
              </w:rPr>
              <w:t>A.原辅材料、危废在储运过程中在包装上标识是否为易燃物体；生产车间、危废间设置防火、禁止吸烟等标志，原辅材料要注意防潮、远离热源、火种，在原料仓库和危险废物暂存间设置足够的消防器械。</w:t>
            </w:r>
          </w:p>
          <w:p>
            <w:pPr>
              <w:pStyle w:val="97"/>
              <w:ind w:firstLine="480"/>
              <w:rPr>
                <w:color w:val="auto"/>
              </w:rPr>
            </w:pPr>
            <w:r>
              <w:rPr>
                <w:rFonts w:hint="eastAsia"/>
                <w:color w:val="auto"/>
              </w:rPr>
              <w:t>B.严格控制火源：严禁在仓库、生产车间附近吸烟和违章用火；防止金属撞击及静电火花发产生；定期测试线路绝缘防止线路老化着火；电气设施要符合防爆等级要求等，这些都是预防火源产生的措施。</w:t>
            </w:r>
          </w:p>
          <w:p>
            <w:pPr>
              <w:pStyle w:val="97"/>
              <w:ind w:firstLine="480"/>
              <w:rPr>
                <w:color w:val="auto"/>
              </w:rPr>
            </w:pPr>
            <w:r>
              <w:rPr>
                <w:rFonts w:hint="eastAsia"/>
                <w:color w:val="auto"/>
              </w:rPr>
              <w:t>C.不得将原料或产品堆放于道路上，必须确保消防通道畅通及消防设施的完好可靠。</w:t>
            </w:r>
          </w:p>
          <w:p>
            <w:pPr>
              <w:pStyle w:val="97"/>
              <w:ind w:firstLine="480"/>
              <w:rPr>
                <w:color w:val="auto"/>
              </w:rPr>
            </w:pPr>
            <w:r>
              <w:rPr>
                <w:rFonts w:hint="eastAsia"/>
                <w:color w:val="auto"/>
              </w:rPr>
              <w:t>D.项目应当建立健全各项消防安全制度和制定防火安全检查表。</w:t>
            </w:r>
          </w:p>
          <w:p>
            <w:pPr>
              <w:pStyle w:val="97"/>
              <w:ind w:firstLine="480"/>
              <w:rPr>
                <w:bCs/>
                <w:color w:val="auto"/>
                <w:kern w:val="0"/>
              </w:rPr>
            </w:pPr>
            <w:r>
              <w:rPr>
                <w:rFonts w:hint="eastAsia"/>
                <w:color w:val="auto"/>
              </w:rPr>
              <w:t>E.</w:t>
            </w:r>
            <w:r>
              <w:rPr>
                <w:color w:val="auto"/>
              </w:rPr>
              <w:t>在生产车间要求设置明显的禁火标志；车间内设置墙式灭火栓箱，配装干粉灭火器等应急灭火器材。</w:t>
            </w:r>
          </w:p>
        </w:tc>
      </w:tr>
    </w:tbl>
    <w:p>
      <w:pPr>
        <w:adjustRightInd w:val="0"/>
        <w:snapToGrid w:val="0"/>
        <w:spacing w:line="360" w:lineRule="auto"/>
        <w:rPr>
          <w:b/>
          <w:color w:val="auto"/>
          <w:kern w:val="0"/>
          <w:sz w:val="28"/>
          <w:szCs w:val="28"/>
        </w:rPr>
        <w:sectPr>
          <w:pgSz w:w="11907" w:h="16840"/>
          <w:pgMar w:top="1701" w:right="1531" w:bottom="2127" w:left="1531" w:header="851" w:footer="851" w:gutter="0"/>
          <w:cols w:space="720" w:num="1"/>
          <w:docGrid w:linePitch="312" w:charSpace="0"/>
        </w:sectPr>
      </w:pPr>
    </w:p>
    <w:tbl>
      <w:tblPr>
        <w:tblStyle w:val="36"/>
        <w:tblW w:w="1417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08"/>
        <w:gridCol w:w="137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677" w:hRule="atLeast"/>
          <w:jc w:val="center"/>
        </w:trPr>
        <w:tc>
          <w:tcPr>
            <w:tcW w:w="408" w:type="dxa"/>
            <w:tcMar>
              <w:left w:w="28" w:type="dxa"/>
              <w:right w:w="28" w:type="dxa"/>
            </w:tcMar>
            <w:vAlign w:val="center"/>
          </w:tcPr>
          <w:p>
            <w:pPr>
              <w:spacing w:line="360" w:lineRule="auto"/>
              <w:jc w:val="center"/>
              <w:rPr>
                <w:b/>
                <w:bCs/>
                <w:color w:val="auto"/>
                <w:sz w:val="24"/>
                <w:szCs w:val="21"/>
              </w:rPr>
            </w:pPr>
            <w:r>
              <w:rPr>
                <w:b/>
                <w:bCs/>
                <w:color w:val="auto"/>
                <w:sz w:val="24"/>
                <w:szCs w:val="21"/>
              </w:rPr>
              <w:t>运</w:t>
            </w:r>
          </w:p>
          <w:p>
            <w:pPr>
              <w:spacing w:line="360" w:lineRule="auto"/>
              <w:jc w:val="center"/>
              <w:rPr>
                <w:b/>
                <w:bCs/>
                <w:color w:val="auto"/>
                <w:sz w:val="24"/>
                <w:szCs w:val="21"/>
              </w:rPr>
            </w:pPr>
            <w:r>
              <w:rPr>
                <w:b/>
                <w:bCs/>
                <w:color w:val="auto"/>
                <w:sz w:val="24"/>
                <w:szCs w:val="21"/>
              </w:rPr>
              <w:t>营</w:t>
            </w:r>
          </w:p>
          <w:p>
            <w:pPr>
              <w:spacing w:line="360" w:lineRule="auto"/>
              <w:jc w:val="center"/>
              <w:rPr>
                <w:b/>
                <w:bCs/>
                <w:color w:val="auto"/>
                <w:sz w:val="24"/>
                <w:szCs w:val="21"/>
              </w:rPr>
            </w:pPr>
            <w:r>
              <w:rPr>
                <w:b/>
                <w:bCs/>
                <w:color w:val="auto"/>
                <w:sz w:val="24"/>
                <w:szCs w:val="21"/>
              </w:rPr>
              <w:t>期</w:t>
            </w:r>
          </w:p>
          <w:p>
            <w:pPr>
              <w:spacing w:line="360" w:lineRule="auto"/>
              <w:jc w:val="center"/>
              <w:rPr>
                <w:b/>
                <w:bCs/>
                <w:color w:val="auto"/>
                <w:sz w:val="24"/>
                <w:szCs w:val="21"/>
              </w:rPr>
            </w:pPr>
            <w:r>
              <w:rPr>
                <w:b/>
                <w:bCs/>
                <w:color w:val="auto"/>
                <w:sz w:val="24"/>
                <w:szCs w:val="21"/>
              </w:rPr>
              <w:t>环</w:t>
            </w:r>
          </w:p>
          <w:p>
            <w:pPr>
              <w:spacing w:line="360" w:lineRule="auto"/>
              <w:jc w:val="center"/>
              <w:rPr>
                <w:b/>
                <w:bCs/>
                <w:color w:val="auto"/>
                <w:sz w:val="24"/>
                <w:szCs w:val="21"/>
              </w:rPr>
            </w:pPr>
            <w:r>
              <w:rPr>
                <w:b/>
                <w:bCs/>
                <w:color w:val="auto"/>
                <w:sz w:val="24"/>
                <w:szCs w:val="21"/>
              </w:rPr>
              <w:t>境</w:t>
            </w:r>
          </w:p>
          <w:p>
            <w:pPr>
              <w:spacing w:line="360" w:lineRule="auto"/>
              <w:jc w:val="center"/>
              <w:rPr>
                <w:b/>
                <w:bCs/>
                <w:color w:val="auto"/>
                <w:sz w:val="24"/>
                <w:szCs w:val="21"/>
              </w:rPr>
            </w:pPr>
            <w:r>
              <w:rPr>
                <w:b/>
                <w:bCs/>
                <w:color w:val="auto"/>
                <w:sz w:val="24"/>
                <w:szCs w:val="21"/>
              </w:rPr>
              <w:t>影</w:t>
            </w:r>
          </w:p>
          <w:p>
            <w:pPr>
              <w:spacing w:line="360" w:lineRule="auto"/>
              <w:jc w:val="center"/>
              <w:rPr>
                <w:b/>
                <w:bCs/>
                <w:color w:val="auto"/>
                <w:sz w:val="24"/>
                <w:szCs w:val="21"/>
              </w:rPr>
            </w:pPr>
            <w:r>
              <w:rPr>
                <w:b/>
                <w:bCs/>
                <w:color w:val="auto"/>
                <w:sz w:val="24"/>
                <w:szCs w:val="21"/>
              </w:rPr>
              <w:t>响</w:t>
            </w:r>
          </w:p>
          <w:p>
            <w:pPr>
              <w:spacing w:line="360" w:lineRule="auto"/>
              <w:jc w:val="center"/>
              <w:rPr>
                <w:b/>
                <w:bCs/>
                <w:color w:val="auto"/>
                <w:sz w:val="24"/>
                <w:szCs w:val="21"/>
              </w:rPr>
            </w:pPr>
            <w:r>
              <w:rPr>
                <w:b/>
                <w:bCs/>
                <w:color w:val="auto"/>
                <w:sz w:val="24"/>
                <w:szCs w:val="21"/>
              </w:rPr>
              <w:t>和</w:t>
            </w:r>
          </w:p>
          <w:p>
            <w:pPr>
              <w:spacing w:line="360" w:lineRule="auto"/>
              <w:jc w:val="center"/>
              <w:rPr>
                <w:b/>
                <w:bCs/>
                <w:color w:val="auto"/>
                <w:sz w:val="24"/>
                <w:szCs w:val="21"/>
              </w:rPr>
            </w:pPr>
            <w:r>
              <w:rPr>
                <w:b/>
                <w:bCs/>
                <w:color w:val="auto"/>
                <w:sz w:val="24"/>
                <w:szCs w:val="21"/>
              </w:rPr>
              <w:t>保</w:t>
            </w:r>
          </w:p>
          <w:p>
            <w:pPr>
              <w:spacing w:line="360" w:lineRule="auto"/>
              <w:jc w:val="center"/>
              <w:rPr>
                <w:b/>
                <w:bCs/>
                <w:color w:val="auto"/>
                <w:sz w:val="24"/>
                <w:szCs w:val="21"/>
              </w:rPr>
            </w:pPr>
            <w:r>
              <w:rPr>
                <w:b/>
                <w:bCs/>
                <w:color w:val="auto"/>
                <w:sz w:val="24"/>
                <w:szCs w:val="21"/>
              </w:rPr>
              <w:t>护</w:t>
            </w:r>
          </w:p>
          <w:p>
            <w:pPr>
              <w:spacing w:line="360" w:lineRule="auto"/>
              <w:jc w:val="center"/>
              <w:rPr>
                <w:b/>
                <w:bCs/>
                <w:color w:val="auto"/>
                <w:sz w:val="24"/>
                <w:szCs w:val="21"/>
              </w:rPr>
            </w:pPr>
            <w:r>
              <w:rPr>
                <w:b/>
                <w:bCs/>
                <w:color w:val="auto"/>
                <w:sz w:val="24"/>
                <w:szCs w:val="21"/>
              </w:rPr>
              <w:t>措</w:t>
            </w:r>
          </w:p>
          <w:p>
            <w:pPr>
              <w:pStyle w:val="2"/>
              <w:spacing w:before="48"/>
              <w:rPr>
                <w:rFonts w:hint="eastAsia"/>
                <w:color w:val="auto"/>
              </w:rPr>
            </w:pPr>
            <w:r>
              <w:rPr>
                <w:color w:val="auto"/>
                <w:sz w:val="24"/>
                <w:szCs w:val="21"/>
              </w:rPr>
              <w:t>施</w:t>
            </w:r>
          </w:p>
        </w:tc>
        <w:tc>
          <w:tcPr>
            <w:tcW w:w="13765" w:type="dxa"/>
          </w:tcPr>
          <w:p>
            <w:pPr>
              <w:pStyle w:val="197"/>
              <w:snapToGrid w:val="0"/>
              <w:rPr>
                <w:rFonts w:ascii="Times New Roman" w:hAnsi="Times New Roman"/>
                <w:color w:val="auto"/>
                <w:szCs w:val="30"/>
              </w:rPr>
            </w:pPr>
            <w:bookmarkStart w:id="26" w:name="_Ref50120650"/>
            <w:r>
              <w:rPr>
                <w:rFonts w:ascii="Times New Roman" w:hAnsi="Times New Roman"/>
                <w:color w:val="auto"/>
                <w:szCs w:val="30"/>
              </w:rPr>
              <w:t>表</w:t>
            </w:r>
            <w:bookmarkEnd w:id="26"/>
            <w:r>
              <w:rPr>
                <w:rFonts w:hint="eastAsia" w:ascii="Times New Roman" w:hAnsi="Times New Roman"/>
                <w:color w:val="auto"/>
                <w:szCs w:val="30"/>
              </w:rPr>
              <w:t>4.7-1</w:t>
            </w:r>
            <w:r>
              <w:rPr>
                <w:rFonts w:ascii="Times New Roman" w:hAnsi="Times New Roman"/>
                <w:color w:val="auto"/>
                <w:szCs w:val="30"/>
              </w:rPr>
              <w:t xml:space="preserve">  </w:t>
            </w:r>
            <w:r>
              <w:rPr>
                <w:rFonts w:hint="eastAsia" w:ascii="Times New Roman" w:hAnsi="Times New Roman"/>
                <w:color w:val="auto"/>
                <w:szCs w:val="30"/>
              </w:rPr>
              <w:t>扩建</w:t>
            </w:r>
            <w:r>
              <w:rPr>
                <w:rFonts w:ascii="Times New Roman" w:hAnsi="Times New Roman"/>
                <w:color w:val="auto"/>
                <w:szCs w:val="30"/>
              </w:rPr>
              <w:t>项目</w:t>
            </w:r>
            <w:r>
              <w:rPr>
                <w:rFonts w:hint="eastAsia" w:ascii="Times New Roman" w:hAnsi="Times New Roman"/>
                <w:color w:val="auto"/>
                <w:szCs w:val="30"/>
              </w:rPr>
              <w:t>溶剂</w:t>
            </w:r>
            <w:r>
              <w:rPr>
                <w:rFonts w:ascii="Times New Roman" w:hAnsi="Times New Roman"/>
                <w:color w:val="auto"/>
                <w:szCs w:val="30"/>
              </w:rPr>
              <w:t>涉及</w:t>
            </w:r>
            <w:r>
              <w:rPr>
                <w:rFonts w:hint="eastAsia" w:ascii="Times New Roman" w:hAnsi="Times New Roman"/>
                <w:color w:val="auto"/>
                <w:szCs w:val="30"/>
              </w:rPr>
              <w:t>的</w:t>
            </w:r>
            <w:r>
              <w:rPr>
                <w:rFonts w:ascii="Times New Roman" w:hAnsi="Times New Roman"/>
                <w:color w:val="auto"/>
                <w:szCs w:val="30"/>
              </w:rPr>
              <w:t>危险化学品理化性质、毒性一览表</w:t>
            </w:r>
          </w:p>
          <w:tbl>
            <w:tblPr>
              <w:tblStyle w:val="36"/>
              <w:tblW w:w="1360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1"/>
              <w:gridCol w:w="948"/>
              <w:gridCol w:w="1054"/>
              <w:gridCol w:w="935"/>
              <w:gridCol w:w="631"/>
              <w:gridCol w:w="886"/>
              <w:gridCol w:w="783"/>
              <w:gridCol w:w="1062"/>
              <w:gridCol w:w="459"/>
              <w:gridCol w:w="665"/>
              <w:gridCol w:w="883"/>
              <w:gridCol w:w="541"/>
              <w:gridCol w:w="1299"/>
              <w:gridCol w:w="1144"/>
              <w:gridCol w:w="17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1" w:type="dxa"/>
                  <w:vMerge w:val="restart"/>
                  <w:tcBorders>
                    <w:tl2br w:val="nil"/>
                    <w:tr2bl w:val="nil"/>
                  </w:tcBorders>
                  <w:vAlign w:val="center"/>
                </w:tcPr>
                <w:p>
                  <w:pPr>
                    <w:adjustRightInd w:val="0"/>
                    <w:snapToGrid w:val="0"/>
                    <w:jc w:val="center"/>
                    <w:rPr>
                      <w:color w:val="auto"/>
                      <w:szCs w:val="21"/>
                    </w:rPr>
                  </w:pPr>
                  <w:r>
                    <w:rPr>
                      <w:color w:val="auto"/>
                      <w:szCs w:val="21"/>
                    </w:rPr>
                    <w:t>危险物质名称</w:t>
                  </w:r>
                </w:p>
              </w:tc>
              <w:tc>
                <w:tcPr>
                  <w:tcW w:w="948" w:type="dxa"/>
                  <w:vMerge w:val="restart"/>
                  <w:tcBorders>
                    <w:tl2br w:val="nil"/>
                    <w:tr2bl w:val="nil"/>
                  </w:tcBorders>
                  <w:vAlign w:val="center"/>
                </w:tcPr>
                <w:p>
                  <w:pPr>
                    <w:adjustRightInd w:val="0"/>
                    <w:snapToGrid w:val="0"/>
                    <w:jc w:val="center"/>
                    <w:rPr>
                      <w:color w:val="auto"/>
                      <w:szCs w:val="21"/>
                    </w:rPr>
                  </w:pPr>
                  <w:r>
                    <w:rPr>
                      <w:color w:val="auto"/>
                      <w:szCs w:val="21"/>
                    </w:rPr>
                    <w:t>化学式</w:t>
                  </w:r>
                </w:p>
              </w:tc>
              <w:tc>
                <w:tcPr>
                  <w:tcW w:w="1054" w:type="dxa"/>
                  <w:vMerge w:val="restart"/>
                  <w:tcBorders>
                    <w:tl2br w:val="nil"/>
                    <w:tr2bl w:val="nil"/>
                  </w:tcBorders>
                  <w:vAlign w:val="center"/>
                </w:tcPr>
                <w:p>
                  <w:pPr>
                    <w:adjustRightInd w:val="0"/>
                    <w:snapToGrid w:val="0"/>
                    <w:jc w:val="center"/>
                    <w:rPr>
                      <w:color w:val="auto"/>
                      <w:szCs w:val="21"/>
                    </w:rPr>
                  </w:pPr>
                  <w:r>
                    <w:rPr>
                      <w:color w:val="auto"/>
                      <w:szCs w:val="21"/>
                    </w:rPr>
                    <w:t>CAS号</w:t>
                  </w:r>
                </w:p>
              </w:tc>
              <w:tc>
                <w:tcPr>
                  <w:tcW w:w="935" w:type="dxa"/>
                  <w:vMerge w:val="restart"/>
                  <w:tcBorders>
                    <w:tl2br w:val="nil"/>
                    <w:tr2bl w:val="nil"/>
                  </w:tcBorders>
                  <w:vAlign w:val="center"/>
                </w:tcPr>
                <w:p>
                  <w:pPr>
                    <w:adjustRightInd w:val="0"/>
                    <w:snapToGrid w:val="0"/>
                    <w:jc w:val="center"/>
                    <w:rPr>
                      <w:color w:val="auto"/>
                      <w:szCs w:val="21"/>
                    </w:rPr>
                  </w:pPr>
                  <w:r>
                    <w:rPr>
                      <w:color w:val="auto"/>
                      <w:szCs w:val="21"/>
                    </w:rPr>
                    <w:t>分子量</w:t>
                  </w:r>
                </w:p>
              </w:tc>
              <w:tc>
                <w:tcPr>
                  <w:tcW w:w="3821" w:type="dxa"/>
                  <w:gridSpan w:val="5"/>
                  <w:tcBorders>
                    <w:tl2br w:val="nil"/>
                    <w:tr2bl w:val="nil"/>
                  </w:tcBorders>
                  <w:vAlign w:val="center"/>
                </w:tcPr>
                <w:p>
                  <w:pPr>
                    <w:adjustRightInd w:val="0"/>
                    <w:snapToGrid w:val="0"/>
                    <w:jc w:val="center"/>
                    <w:rPr>
                      <w:color w:val="auto"/>
                      <w:szCs w:val="21"/>
                    </w:rPr>
                  </w:pPr>
                  <w:r>
                    <w:rPr>
                      <w:color w:val="auto"/>
                      <w:szCs w:val="21"/>
                    </w:rPr>
                    <w:t>物理特性</w:t>
                  </w:r>
                </w:p>
              </w:tc>
              <w:tc>
                <w:tcPr>
                  <w:tcW w:w="2089" w:type="dxa"/>
                  <w:gridSpan w:val="3"/>
                  <w:tcBorders>
                    <w:tl2br w:val="nil"/>
                    <w:tr2bl w:val="nil"/>
                  </w:tcBorders>
                  <w:vAlign w:val="center"/>
                </w:tcPr>
                <w:p>
                  <w:pPr>
                    <w:adjustRightInd w:val="0"/>
                    <w:snapToGrid w:val="0"/>
                    <w:jc w:val="center"/>
                    <w:rPr>
                      <w:color w:val="auto"/>
                      <w:szCs w:val="21"/>
                    </w:rPr>
                  </w:pPr>
                  <w:r>
                    <w:rPr>
                      <w:color w:val="auto"/>
                      <w:szCs w:val="21"/>
                    </w:rPr>
                    <w:t>燃爆特性</w:t>
                  </w:r>
                </w:p>
              </w:tc>
              <w:tc>
                <w:tcPr>
                  <w:tcW w:w="2443" w:type="dxa"/>
                  <w:gridSpan w:val="2"/>
                  <w:tcBorders>
                    <w:tl2br w:val="nil"/>
                    <w:tr2bl w:val="nil"/>
                  </w:tcBorders>
                  <w:vAlign w:val="center"/>
                </w:tcPr>
                <w:p>
                  <w:pPr>
                    <w:adjustRightInd w:val="0"/>
                    <w:snapToGrid w:val="0"/>
                    <w:jc w:val="center"/>
                    <w:rPr>
                      <w:color w:val="auto"/>
                      <w:szCs w:val="21"/>
                    </w:rPr>
                  </w:pPr>
                  <w:r>
                    <w:rPr>
                      <w:color w:val="auto"/>
                      <w:szCs w:val="21"/>
                    </w:rPr>
                    <w:t>毒理学信息</w:t>
                  </w:r>
                  <w:r>
                    <w:rPr>
                      <w:color w:val="auto"/>
                      <w:szCs w:val="21"/>
                      <w:vertAlign w:val="superscript"/>
                    </w:rPr>
                    <w:t>（1）</w:t>
                  </w:r>
                </w:p>
              </w:tc>
              <w:tc>
                <w:tcPr>
                  <w:tcW w:w="1745" w:type="dxa"/>
                  <w:vMerge w:val="restart"/>
                  <w:tcBorders>
                    <w:tl2br w:val="nil"/>
                    <w:tr2bl w:val="nil"/>
                  </w:tcBorders>
                  <w:vAlign w:val="center"/>
                </w:tcPr>
                <w:p>
                  <w:pPr>
                    <w:adjustRightInd w:val="0"/>
                    <w:snapToGrid w:val="0"/>
                    <w:jc w:val="center"/>
                    <w:rPr>
                      <w:color w:val="auto"/>
                      <w:szCs w:val="21"/>
                    </w:rPr>
                  </w:pPr>
                  <w:r>
                    <w:rPr>
                      <w:color w:val="auto"/>
                      <w:szCs w:val="21"/>
                    </w:rPr>
                    <w:t>危险性类别</w:t>
                  </w:r>
                  <w:r>
                    <w:rPr>
                      <w:color w:val="auto"/>
                      <w:szCs w:val="21"/>
                      <w:vertAlign w:val="superscript"/>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blHeader/>
                <w:jc w:val="center"/>
              </w:trPr>
              <w:tc>
                <w:tcPr>
                  <w:tcW w:w="571" w:type="dxa"/>
                  <w:vMerge w:val="continue"/>
                  <w:tcBorders>
                    <w:tl2br w:val="nil"/>
                    <w:tr2bl w:val="nil"/>
                  </w:tcBorders>
                  <w:vAlign w:val="center"/>
                </w:tcPr>
                <w:p>
                  <w:pPr>
                    <w:widowControl/>
                    <w:adjustRightInd w:val="0"/>
                    <w:snapToGrid w:val="0"/>
                    <w:jc w:val="center"/>
                    <w:rPr>
                      <w:color w:val="auto"/>
                      <w:szCs w:val="21"/>
                    </w:rPr>
                  </w:pPr>
                </w:p>
              </w:tc>
              <w:tc>
                <w:tcPr>
                  <w:tcW w:w="948" w:type="dxa"/>
                  <w:vMerge w:val="continue"/>
                  <w:tcBorders>
                    <w:tl2br w:val="nil"/>
                    <w:tr2bl w:val="nil"/>
                  </w:tcBorders>
                  <w:vAlign w:val="center"/>
                </w:tcPr>
                <w:p>
                  <w:pPr>
                    <w:widowControl/>
                    <w:adjustRightInd w:val="0"/>
                    <w:snapToGrid w:val="0"/>
                    <w:jc w:val="center"/>
                    <w:rPr>
                      <w:color w:val="auto"/>
                      <w:szCs w:val="21"/>
                    </w:rPr>
                  </w:pPr>
                </w:p>
              </w:tc>
              <w:tc>
                <w:tcPr>
                  <w:tcW w:w="1054" w:type="dxa"/>
                  <w:vMerge w:val="continue"/>
                  <w:tcBorders>
                    <w:tl2br w:val="nil"/>
                    <w:tr2bl w:val="nil"/>
                  </w:tcBorders>
                  <w:vAlign w:val="center"/>
                </w:tcPr>
                <w:p>
                  <w:pPr>
                    <w:widowControl/>
                    <w:adjustRightInd w:val="0"/>
                    <w:snapToGrid w:val="0"/>
                    <w:jc w:val="center"/>
                    <w:rPr>
                      <w:color w:val="auto"/>
                      <w:szCs w:val="21"/>
                    </w:rPr>
                  </w:pPr>
                </w:p>
              </w:tc>
              <w:tc>
                <w:tcPr>
                  <w:tcW w:w="935" w:type="dxa"/>
                  <w:vMerge w:val="continue"/>
                  <w:tcBorders>
                    <w:tl2br w:val="nil"/>
                    <w:tr2bl w:val="nil"/>
                  </w:tcBorders>
                  <w:vAlign w:val="center"/>
                </w:tcPr>
                <w:p>
                  <w:pPr>
                    <w:widowControl/>
                    <w:adjustRightInd w:val="0"/>
                    <w:snapToGrid w:val="0"/>
                    <w:jc w:val="center"/>
                    <w:rPr>
                      <w:color w:val="auto"/>
                      <w:szCs w:val="21"/>
                    </w:rPr>
                  </w:pPr>
                </w:p>
              </w:tc>
              <w:tc>
                <w:tcPr>
                  <w:tcW w:w="631" w:type="dxa"/>
                  <w:tcBorders>
                    <w:tl2br w:val="nil"/>
                    <w:tr2bl w:val="nil"/>
                  </w:tcBorders>
                  <w:vAlign w:val="center"/>
                </w:tcPr>
                <w:p>
                  <w:pPr>
                    <w:adjustRightInd w:val="0"/>
                    <w:snapToGrid w:val="0"/>
                    <w:jc w:val="center"/>
                    <w:rPr>
                      <w:color w:val="auto"/>
                      <w:szCs w:val="21"/>
                    </w:rPr>
                  </w:pPr>
                  <w:r>
                    <w:rPr>
                      <w:color w:val="auto"/>
                      <w:szCs w:val="21"/>
                    </w:rPr>
                    <w:t>形态</w:t>
                  </w:r>
                </w:p>
              </w:tc>
              <w:tc>
                <w:tcPr>
                  <w:tcW w:w="886" w:type="dxa"/>
                  <w:tcBorders>
                    <w:tl2br w:val="nil"/>
                    <w:tr2bl w:val="nil"/>
                  </w:tcBorders>
                  <w:vAlign w:val="center"/>
                </w:tcPr>
                <w:p>
                  <w:pPr>
                    <w:adjustRightInd w:val="0"/>
                    <w:snapToGrid w:val="0"/>
                    <w:jc w:val="center"/>
                    <w:rPr>
                      <w:color w:val="auto"/>
                      <w:szCs w:val="21"/>
                    </w:rPr>
                  </w:pPr>
                  <w:r>
                    <w:rPr>
                      <w:color w:val="auto"/>
                      <w:szCs w:val="21"/>
                    </w:rPr>
                    <w:t>密度g/cm</w:t>
                  </w:r>
                  <w:r>
                    <w:rPr>
                      <w:color w:val="auto"/>
                      <w:szCs w:val="21"/>
                      <w:vertAlign w:val="superscript"/>
                    </w:rPr>
                    <w:t>3</w:t>
                  </w:r>
                </w:p>
              </w:tc>
              <w:tc>
                <w:tcPr>
                  <w:tcW w:w="783" w:type="dxa"/>
                  <w:tcBorders>
                    <w:tl2br w:val="nil"/>
                    <w:tr2bl w:val="nil"/>
                  </w:tcBorders>
                  <w:vAlign w:val="center"/>
                </w:tcPr>
                <w:p>
                  <w:pPr>
                    <w:adjustRightInd w:val="0"/>
                    <w:snapToGrid w:val="0"/>
                    <w:jc w:val="center"/>
                    <w:rPr>
                      <w:color w:val="auto"/>
                      <w:szCs w:val="21"/>
                    </w:rPr>
                  </w:pPr>
                  <w:r>
                    <w:rPr>
                      <w:color w:val="auto"/>
                      <w:szCs w:val="21"/>
                    </w:rPr>
                    <w:t>熔点℃</w:t>
                  </w:r>
                </w:p>
              </w:tc>
              <w:tc>
                <w:tcPr>
                  <w:tcW w:w="1062" w:type="dxa"/>
                  <w:tcBorders>
                    <w:tl2br w:val="nil"/>
                    <w:tr2bl w:val="nil"/>
                  </w:tcBorders>
                  <w:vAlign w:val="center"/>
                </w:tcPr>
                <w:p>
                  <w:pPr>
                    <w:adjustRightInd w:val="0"/>
                    <w:snapToGrid w:val="0"/>
                    <w:jc w:val="center"/>
                    <w:rPr>
                      <w:color w:val="auto"/>
                      <w:szCs w:val="21"/>
                    </w:rPr>
                  </w:pPr>
                  <w:r>
                    <w:rPr>
                      <w:color w:val="auto"/>
                      <w:szCs w:val="21"/>
                    </w:rPr>
                    <w:t>沸点℃</w:t>
                  </w:r>
                </w:p>
              </w:tc>
              <w:tc>
                <w:tcPr>
                  <w:tcW w:w="459" w:type="dxa"/>
                  <w:tcBorders>
                    <w:tl2br w:val="nil"/>
                    <w:tr2bl w:val="nil"/>
                  </w:tcBorders>
                  <w:vAlign w:val="center"/>
                </w:tcPr>
                <w:p>
                  <w:pPr>
                    <w:adjustRightInd w:val="0"/>
                    <w:snapToGrid w:val="0"/>
                    <w:jc w:val="center"/>
                    <w:rPr>
                      <w:color w:val="auto"/>
                      <w:szCs w:val="21"/>
                    </w:rPr>
                  </w:pPr>
                  <w:r>
                    <w:rPr>
                      <w:color w:val="auto"/>
                      <w:szCs w:val="21"/>
                    </w:rPr>
                    <w:t>水溶性</w:t>
                  </w:r>
                </w:p>
              </w:tc>
              <w:tc>
                <w:tcPr>
                  <w:tcW w:w="665" w:type="dxa"/>
                  <w:tcBorders>
                    <w:tl2br w:val="nil"/>
                    <w:tr2bl w:val="nil"/>
                  </w:tcBorders>
                  <w:vAlign w:val="center"/>
                </w:tcPr>
                <w:p>
                  <w:pPr>
                    <w:adjustRightInd w:val="0"/>
                    <w:snapToGrid w:val="0"/>
                    <w:jc w:val="center"/>
                    <w:rPr>
                      <w:color w:val="auto"/>
                      <w:szCs w:val="21"/>
                    </w:rPr>
                  </w:pPr>
                  <w:r>
                    <w:rPr>
                      <w:color w:val="auto"/>
                      <w:szCs w:val="21"/>
                    </w:rPr>
                    <w:t>闪点℃</w:t>
                  </w:r>
                </w:p>
              </w:tc>
              <w:tc>
                <w:tcPr>
                  <w:tcW w:w="883" w:type="dxa"/>
                  <w:tcBorders>
                    <w:tl2br w:val="nil"/>
                    <w:tr2bl w:val="nil"/>
                  </w:tcBorders>
                  <w:vAlign w:val="center"/>
                </w:tcPr>
                <w:p>
                  <w:pPr>
                    <w:adjustRightInd w:val="0"/>
                    <w:snapToGrid w:val="0"/>
                    <w:jc w:val="center"/>
                    <w:rPr>
                      <w:color w:val="auto"/>
                      <w:szCs w:val="21"/>
                    </w:rPr>
                  </w:pPr>
                  <w:r>
                    <w:rPr>
                      <w:color w:val="auto"/>
                      <w:szCs w:val="21"/>
                    </w:rPr>
                    <w:t>爆炸极限（%）</w:t>
                  </w:r>
                </w:p>
              </w:tc>
              <w:tc>
                <w:tcPr>
                  <w:tcW w:w="541" w:type="dxa"/>
                  <w:tcBorders>
                    <w:tl2br w:val="nil"/>
                    <w:tr2bl w:val="nil"/>
                  </w:tcBorders>
                  <w:vAlign w:val="center"/>
                </w:tcPr>
                <w:p>
                  <w:pPr>
                    <w:adjustRightInd w:val="0"/>
                    <w:snapToGrid w:val="0"/>
                    <w:jc w:val="center"/>
                    <w:rPr>
                      <w:color w:val="auto"/>
                      <w:szCs w:val="21"/>
                    </w:rPr>
                  </w:pPr>
                  <w:r>
                    <w:rPr>
                      <w:color w:val="auto"/>
                      <w:szCs w:val="21"/>
                    </w:rPr>
                    <w:t>火灾危险性</w:t>
                  </w:r>
                </w:p>
              </w:tc>
              <w:tc>
                <w:tcPr>
                  <w:tcW w:w="1299" w:type="dxa"/>
                  <w:tcBorders>
                    <w:tl2br w:val="nil"/>
                    <w:tr2bl w:val="nil"/>
                  </w:tcBorders>
                  <w:vAlign w:val="center"/>
                </w:tcPr>
                <w:p>
                  <w:pPr>
                    <w:pStyle w:val="101"/>
                    <w:spacing w:before="24" w:after="24" w:line="240" w:lineRule="auto"/>
                    <w:rPr>
                      <w:rFonts w:ascii="Times New Roman"/>
                      <w:color w:val="auto"/>
                      <w:szCs w:val="21"/>
                    </w:rPr>
                  </w:pPr>
                  <w:r>
                    <w:rPr>
                      <w:rFonts w:ascii="Times New Roman"/>
                      <w:color w:val="auto"/>
                      <w:szCs w:val="21"/>
                    </w:rPr>
                    <w:t>LD</w:t>
                  </w:r>
                  <w:r>
                    <w:rPr>
                      <w:rFonts w:ascii="Times New Roman"/>
                      <w:color w:val="auto"/>
                      <w:szCs w:val="21"/>
                      <w:vertAlign w:val="subscript"/>
                    </w:rPr>
                    <w:t>50</w:t>
                  </w:r>
                </w:p>
              </w:tc>
              <w:tc>
                <w:tcPr>
                  <w:tcW w:w="1144" w:type="dxa"/>
                  <w:tcBorders>
                    <w:tl2br w:val="nil"/>
                    <w:tr2bl w:val="nil"/>
                  </w:tcBorders>
                  <w:vAlign w:val="center"/>
                </w:tcPr>
                <w:p>
                  <w:pPr>
                    <w:pStyle w:val="101"/>
                    <w:spacing w:before="24" w:after="24" w:line="240" w:lineRule="auto"/>
                    <w:rPr>
                      <w:rFonts w:ascii="Times New Roman"/>
                      <w:color w:val="auto"/>
                      <w:szCs w:val="21"/>
                    </w:rPr>
                  </w:pPr>
                  <w:r>
                    <w:rPr>
                      <w:rFonts w:ascii="Times New Roman"/>
                      <w:color w:val="auto"/>
                      <w:szCs w:val="21"/>
                    </w:rPr>
                    <w:t>LC</w:t>
                  </w:r>
                  <w:r>
                    <w:rPr>
                      <w:rFonts w:ascii="Times New Roman"/>
                      <w:color w:val="auto"/>
                      <w:szCs w:val="21"/>
                      <w:vertAlign w:val="subscript"/>
                    </w:rPr>
                    <w:t>50</w:t>
                  </w:r>
                </w:p>
              </w:tc>
              <w:tc>
                <w:tcPr>
                  <w:tcW w:w="1745" w:type="dxa"/>
                  <w:vMerge w:val="continue"/>
                  <w:tcBorders>
                    <w:tl2br w:val="nil"/>
                    <w:tr2bl w:val="nil"/>
                  </w:tcBorders>
                  <w:vAlign w:val="center"/>
                </w:tcPr>
                <w:p>
                  <w:pPr>
                    <w:widowControl/>
                    <w:adjustRightInd w:val="0"/>
                    <w:snapToGrid w:val="0"/>
                    <w:jc w:val="center"/>
                    <w:rPr>
                      <w:color w:val="auto"/>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1" w:type="dxa"/>
                  <w:tcBorders>
                    <w:tl2br w:val="nil"/>
                    <w:tr2bl w:val="nil"/>
                  </w:tcBorders>
                  <w:vAlign w:val="center"/>
                </w:tcPr>
                <w:p>
                  <w:pPr>
                    <w:adjustRightInd w:val="0"/>
                    <w:snapToGrid w:val="0"/>
                    <w:jc w:val="center"/>
                    <w:rPr>
                      <w:color w:val="auto"/>
                      <w:szCs w:val="21"/>
                    </w:rPr>
                  </w:pPr>
                  <w:r>
                    <w:rPr>
                      <w:rFonts w:hint="eastAsia"/>
                      <w:color w:val="auto"/>
                      <w:szCs w:val="21"/>
                    </w:rPr>
                    <w:t>乙酸乙酯</w:t>
                  </w:r>
                </w:p>
              </w:tc>
              <w:tc>
                <w:tcPr>
                  <w:tcW w:w="948" w:type="dxa"/>
                  <w:tcBorders>
                    <w:tl2br w:val="nil"/>
                    <w:tr2bl w:val="nil"/>
                  </w:tcBorders>
                  <w:vAlign w:val="center"/>
                </w:tcPr>
                <w:p>
                  <w:pPr>
                    <w:adjustRightInd w:val="0"/>
                    <w:snapToGrid w:val="0"/>
                    <w:jc w:val="center"/>
                    <w:rPr>
                      <w:rStyle w:val="40"/>
                      <w:b w:val="0"/>
                      <w:color w:val="auto"/>
                      <w:szCs w:val="21"/>
                    </w:rPr>
                  </w:pPr>
                  <w:r>
                    <w:rPr>
                      <w:rStyle w:val="40"/>
                      <w:rFonts w:hint="eastAsia"/>
                      <w:b w:val="0"/>
                      <w:color w:val="auto"/>
                      <w:szCs w:val="21"/>
                    </w:rPr>
                    <w:t>C</w:t>
                  </w:r>
                  <w:r>
                    <w:rPr>
                      <w:rStyle w:val="40"/>
                      <w:rFonts w:hint="eastAsia"/>
                      <w:b w:val="0"/>
                      <w:color w:val="auto"/>
                      <w:szCs w:val="21"/>
                      <w:vertAlign w:val="subscript"/>
                    </w:rPr>
                    <w:t>4</w:t>
                  </w:r>
                  <w:r>
                    <w:rPr>
                      <w:rStyle w:val="40"/>
                      <w:rFonts w:hint="eastAsia"/>
                      <w:b w:val="0"/>
                      <w:color w:val="auto"/>
                      <w:szCs w:val="21"/>
                    </w:rPr>
                    <w:t>H</w:t>
                  </w:r>
                  <w:r>
                    <w:rPr>
                      <w:rStyle w:val="40"/>
                      <w:rFonts w:hint="eastAsia"/>
                      <w:b w:val="0"/>
                      <w:color w:val="auto"/>
                      <w:szCs w:val="21"/>
                      <w:vertAlign w:val="subscript"/>
                    </w:rPr>
                    <w:t>8</w:t>
                  </w:r>
                  <w:r>
                    <w:rPr>
                      <w:rStyle w:val="40"/>
                      <w:rFonts w:hint="eastAsia"/>
                      <w:b w:val="0"/>
                      <w:color w:val="auto"/>
                      <w:szCs w:val="21"/>
                    </w:rPr>
                    <w:t>O</w:t>
                  </w:r>
                  <w:r>
                    <w:rPr>
                      <w:rStyle w:val="40"/>
                      <w:rFonts w:hint="eastAsia"/>
                      <w:b w:val="0"/>
                      <w:color w:val="auto"/>
                      <w:szCs w:val="21"/>
                      <w:vertAlign w:val="subscript"/>
                    </w:rPr>
                    <w:t>2</w:t>
                  </w:r>
                </w:p>
              </w:tc>
              <w:tc>
                <w:tcPr>
                  <w:tcW w:w="1054" w:type="dxa"/>
                  <w:tcBorders>
                    <w:tl2br w:val="nil"/>
                    <w:tr2bl w:val="nil"/>
                  </w:tcBorders>
                  <w:vAlign w:val="center"/>
                </w:tcPr>
                <w:p>
                  <w:pPr>
                    <w:adjustRightInd w:val="0"/>
                    <w:snapToGrid w:val="0"/>
                    <w:jc w:val="center"/>
                    <w:rPr>
                      <w:color w:val="auto"/>
                      <w:szCs w:val="21"/>
                      <w:shd w:val="clear" w:color="auto" w:fill="FFFFFF"/>
                    </w:rPr>
                  </w:pPr>
                  <w:r>
                    <w:rPr>
                      <w:rFonts w:hint="eastAsia"/>
                      <w:color w:val="auto"/>
                      <w:szCs w:val="21"/>
                      <w:shd w:val="clear" w:color="auto" w:fill="FFFFFF"/>
                    </w:rPr>
                    <w:t>141</w:t>
                  </w:r>
                  <w:r>
                    <w:rPr>
                      <w:color w:val="auto"/>
                      <w:szCs w:val="21"/>
                      <w:shd w:val="clear" w:color="auto" w:fill="FFFFFF"/>
                    </w:rPr>
                    <w:t>-</w:t>
                  </w:r>
                  <w:r>
                    <w:rPr>
                      <w:rFonts w:hint="eastAsia"/>
                      <w:color w:val="auto"/>
                      <w:szCs w:val="21"/>
                      <w:shd w:val="clear" w:color="auto" w:fill="FFFFFF"/>
                    </w:rPr>
                    <w:t>78</w:t>
                  </w:r>
                  <w:r>
                    <w:rPr>
                      <w:color w:val="auto"/>
                      <w:szCs w:val="21"/>
                      <w:shd w:val="clear" w:color="auto" w:fill="FFFFFF"/>
                    </w:rPr>
                    <w:t>-</w:t>
                  </w:r>
                  <w:r>
                    <w:rPr>
                      <w:rFonts w:hint="eastAsia"/>
                      <w:color w:val="auto"/>
                      <w:szCs w:val="21"/>
                      <w:shd w:val="clear" w:color="auto" w:fill="FFFFFF"/>
                    </w:rPr>
                    <w:t>6</w:t>
                  </w:r>
                </w:p>
              </w:tc>
              <w:tc>
                <w:tcPr>
                  <w:tcW w:w="935" w:type="dxa"/>
                  <w:tcBorders>
                    <w:tl2br w:val="nil"/>
                    <w:tr2bl w:val="nil"/>
                  </w:tcBorders>
                  <w:vAlign w:val="center"/>
                </w:tcPr>
                <w:p>
                  <w:pPr>
                    <w:adjustRightInd w:val="0"/>
                    <w:snapToGrid w:val="0"/>
                    <w:jc w:val="center"/>
                    <w:rPr>
                      <w:color w:val="auto"/>
                      <w:szCs w:val="21"/>
                    </w:rPr>
                  </w:pPr>
                  <w:r>
                    <w:rPr>
                      <w:rFonts w:hint="eastAsia"/>
                      <w:color w:val="auto"/>
                      <w:szCs w:val="21"/>
                    </w:rPr>
                    <w:t>88.105</w:t>
                  </w:r>
                </w:p>
              </w:tc>
              <w:tc>
                <w:tcPr>
                  <w:tcW w:w="631" w:type="dxa"/>
                  <w:tcBorders>
                    <w:tl2br w:val="nil"/>
                    <w:tr2bl w:val="nil"/>
                  </w:tcBorders>
                  <w:vAlign w:val="center"/>
                </w:tcPr>
                <w:p>
                  <w:pPr>
                    <w:adjustRightInd w:val="0"/>
                    <w:snapToGrid w:val="0"/>
                    <w:jc w:val="center"/>
                    <w:rPr>
                      <w:color w:val="auto"/>
                      <w:szCs w:val="21"/>
                      <w:shd w:val="clear" w:color="auto" w:fill="FFFFFF"/>
                    </w:rPr>
                  </w:pPr>
                  <w:r>
                    <w:rPr>
                      <w:color w:val="auto"/>
                      <w:szCs w:val="21"/>
                    </w:rPr>
                    <w:t>无色液体</w:t>
                  </w:r>
                </w:p>
              </w:tc>
              <w:tc>
                <w:tcPr>
                  <w:tcW w:w="886" w:type="dxa"/>
                  <w:tcBorders>
                    <w:tl2br w:val="nil"/>
                    <w:tr2bl w:val="nil"/>
                  </w:tcBorders>
                  <w:vAlign w:val="center"/>
                </w:tcPr>
                <w:p>
                  <w:pPr>
                    <w:adjustRightInd w:val="0"/>
                    <w:snapToGrid w:val="0"/>
                    <w:jc w:val="center"/>
                    <w:rPr>
                      <w:color w:val="auto"/>
                      <w:szCs w:val="21"/>
                      <w:shd w:val="clear" w:color="auto" w:fill="FFFFFF"/>
                    </w:rPr>
                  </w:pPr>
                  <w:r>
                    <w:rPr>
                      <w:rFonts w:hint="eastAsia"/>
                      <w:color w:val="auto"/>
                      <w:szCs w:val="21"/>
                      <w:shd w:val="clear" w:color="auto" w:fill="FFFFFF"/>
                    </w:rPr>
                    <w:t>0.902</w:t>
                  </w:r>
                </w:p>
              </w:tc>
              <w:tc>
                <w:tcPr>
                  <w:tcW w:w="783" w:type="dxa"/>
                  <w:tcBorders>
                    <w:tl2br w:val="nil"/>
                    <w:tr2bl w:val="nil"/>
                  </w:tcBorders>
                  <w:vAlign w:val="center"/>
                </w:tcPr>
                <w:p>
                  <w:pPr>
                    <w:pStyle w:val="46"/>
                    <w:adjustRightInd w:val="0"/>
                    <w:snapToGrid w:val="0"/>
                    <w:rPr>
                      <w:color w:val="auto"/>
                      <w:szCs w:val="21"/>
                    </w:rPr>
                  </w:pPr>
                  <w:r>
                    <w:rPr>
                      <w:color w:val="auto"/>
                      <w:szCs w:val="21"/>
                    </w:rPr>
                    <w:t>-</w:t>
                  </w:r>
                  <w:r>
                    <w:rPr>
                      <w:rFonts w:hint="eastAsia"/>
                      <w:color w:val="auto"/>
                      <w:szCs w:val="21"/>
                    </w:rPr>
                    <w:t>84</w:t>
                  </w:r>
                </w:p>
              </w:tc>
              <w:tc>
                <w:tcPr>
                  <w:tcW w:w="1062" w:type="dxa"/>
                  <w:tcBorders>
                    <w:tl2br w:val="nil"/>
                    <w:tr2bl w:val="nil"/>
                  </w:tcBorders>
                  <w:vAlign w:val="center"/>
                </w:tcPr>
                <w:p>
                  <w:pPr>
                    <w:pStyle w:val="46"/>
                    <w:adjustRightInd w:val="0"/>
                    <w:snapToGrid w:val="0"/>
                    <w:rPr>
                      <w:color w:val="auto"/>
                      <w:szCs w:val="21"/>
                    </w:rPr>
                  </w:pPr>
                  <w:r>
                    <w:rPr>
                      <w:rFonts w:hint="eastAsia"/>
                      <w:color w:val="auto"/>
                      <w:szCs w:val="21"/>
                    </w:rPr>
                    <w:t>76.5-77.5</w:t>
                  </w:r>
                </w:p>
              </w:tc>
              <w:tc>
                <w:tcPr>
                  <w:tcW w:w="459" w:type="dxa"/>
                  <w:tcBorders>
                    <w:tl2br w:val="nil"/>
                    <w:tr2bl w:val="nil"/>
                  </w:tcBorders>
                  <w:vAlign w:val="center"/>
                </w:tcPr>
                <w:p>
                  <w:pPr>
                    <w:adjustRightInd w:val="0"/>
                    <w:snapToGrid w:val="0"/>
                    <w:jc w:val="center"/>
                    <w:rPr>
                      <w:color w:val="auto"/>
                      <w:szCs w:val="21"/>
                    </w:rPr>
                  </w:pPr>
                  <w:r>
                    <w:rPr>
                      <w:rFonts w:hint="eastAsia"/>
                      <w:color w:val="auto"/>
                      <w:szCs w:val="21"/>
                    </w:rPr>
                    <w:t>微溶于水</w:t>
                  </w:r>
                </w:p>
              </w:tc>
              <w:tc>
                <w:tcPr>
                  <w:tcW w:w="665"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-4</w:t>
                  </w:r>
                </w:p>
              </w:tc>
              <w:tc>
                <w:tcPr>
                  <w:tcW w:w="883"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爆炸上限11.5%</w:t>
                  </w:r>
                </w:p>
              </w:tc>
              <w:tc>
                <w:tcPr>
                  <w:tcW w:w="541" w:type="dxa"/>
                  <w:tcBorders>
                    <w:tl2br w:val="nil"/>
                    <w:tr2bl w:val="nil"/>
                  </w:tcBorders>
                  <w:vAlign w:val="center"/>
                </w:tcPr>
                <w:p>
                  <w:pPr>
                    <w:adjustRightInd w:val="0"/>
                    <w:snapToGrid w:val="0"/>
                    <w:spacing w:before="24" w:beforeLines="10" w:after="24" w:afterLines="10"/>
                    <w:jc w:val="center"/>
                    <w:rPr>
                      <w:color w:val="auto"/>
                      <w:szCs w:val="21"/>
                    </w:rPr>
                  </w:pPr>
                  <w:r>
                    <w:rPr>
                      <w:color w:val="auto"/>
                      <w:szCs w:val="21"/>
                    </w:rPr>
                    <w:t>甲</w:t>
                  </w:r>
                </w:p>
              </w:tc>
              <w:tc>
                <w:tcPr>
                  <w:tcW w:w="1299"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5620</w:t>
                  </w:r>
                  <w:r>
                    <w:rPr>
                      <w:color w:val="auto"/>
                      <w:szCs w:val="21"/>
                    </w:rPr>
                    <w:t>mg/</w:t>
                  </w:r>
                  <w:r>
                    <w:rPr>
                      <w:rFonts w:hint="eastAsia"/>
                      <w:color w:val="auto"/>
                      <w:szCs w:val="21"/>
                    </w:rPr>
                    <w:t>kg</w:t>
                  </w:r>
                </w:p>
                <w:p>
                  <w:pPr>
                    <w:adjustRightInd w:val="0"/>
                    <w:snapToGrid w:val="0"/>
                    <w:spacing w:before="24" w:beforeLines="10" w:after="24" w:afterLines="10"/>
                    <w:jc w:val="center"/>
                    <w:rPr>
                      <w:color w:val="auto"/>
                      <w:szCs w:val="21"/>
                    </w:rPr>
                  </w:pPr>
                  <w:r>
                    <w:rPr>
                      <w:color w:val="auto"/>
                      <w:szCs w:val="21"/>
                    </w:rPr>
                    <w:t>(大鼠</w:t>
                  </w:r>
                  <w:r>
                    <w:rPr>
                      <w:rFonts w:hint="eastAsia"/>
                      <w:color w:val="auto"/>
                      <w:szCs w:val="21"/>
                    </w:rPr>
                    <w:t>经口</w:t>
                  </w:r>
                  <w:r>
                    <w:rPr>
                      <w:color w:val="auto"/>
                      <w:szCs w:val="21"/>
                    </w:rPr>
                    <w:t>)</w:t>
                  </w:r>
                </w:p>
              </w:tc>
              <w:tc>
                <w:tcPr>
                  <w:tcW w:w="1144"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200</w:t>
                  </w:r>
                  <w:r>
                    <w:rPr>
                      <w:color w:val="auto"/>
                      <w:szCs w:val="21"/>
                    </w:rPr>
                    <w:t>mg/</w:t>
                  </w:r>
                  <w:r>
                    <w:rPr>
                      <w:rFonts w:hint="eastAsia"/>
                      <w:color w:val="auto"/>
                      <w:szCs w:val="21"/>
                    </w:rPr>
                    <w:t>m</w:t>
                  </w:r>
                  <w:r>
                    <w:rPr>
                      <w:rFonts w:hint="eastAsia"/>
                      <w:color w:val="auto"/>
                      <w:szCs w:val="21"/>
                      <w:vertAlign w:val="superscript"/>
                    </w:rPr>
                    <w:t>3</w:t>
                  </w:r>
                </w:p>
                <w:p>
                  <w:pPr>
                    <w:adjustRightInd w:val="0"/>
                    <w:snapToGrid w:val="0"/>
                    <w:jc w:val="center"/>
                    <w:rPr>
                      <w:color w:val="auto"/>
                      <w:szCs w:val="21"/>
                      <w:shd w:val="clear" w:color="auto" w:fill="FFFFFF"/>
                    </w:rPr>
                  </w:pPr>
                  <w:r>
                    <w:rPr>
                      <w:color w:val="auto"/>
                      <w:szCs w:val="21"/>
                    </w:rPr>
                    <w:t>(大鼠</w:t>
                  </w:r>
                  <w:r>
                    <w:rPr>
                      <w:rFonts w:hint="eastAsia"/>
                      <w:color w:val="auto"/>
                      <w:szCs w:val="21"/>
                    </w:rPr>
                    <w:t>吸入</w:t>
                  </w:r>
                  <w:r>
                    <w:rPr>
                      <w:color w:val="auto"/>
                      <w:szCs w:val="21"/>
                    </w:rPr>
                    <w:t>)</w:t>
                  </w:r>
                </w:p>
              </w:tc>
              <w:tc>
                <w:tcPr>
                  <w:tcW w:w="1745" w:type="dxa"/>
                  <w:tcBorders>
                    <w:tl2br w:val="nil"/>
                    <w:tr2bl w:val="nil"/>
                  </w:tcBorders>
                  <w:vAlign w:val="center"/>
                </w:tcPr>
                <w:p>
                  <w:pPr>
                    <w:pStyle w:val="198"/>
                    <w:rPr>
                      <w:color w:val="auto"/>
                      <w:szCs w:val="21"/>
                      <w:lang w:bidi="ar"/>
                    </w:rPr>
                  </w:pPr>
                  <w:r>
                    <w:rPr>
                      <w:bCs/>
                      <w:color w:val="auto"/>
                    </w:rPr>
                    <w:t>易燃</w:t>
                  </w:r>
                  <w:r>
                    <w:rPr>
                      <w:rFonts w:hint="eastAsia"/>
                      <w:bCs/>
                      <w:color w:val="auto"/>
                    </w:rPr>
                    <w:t>液体,</w:t>
                  </w:r>
                  <w:r>
                    <w:rPr>
                      <w:bCs/>
                      <w:color w:val="auto"/>
                    </w:rPr>
                    <w:t>类别</w:t>
                  </w:r>
                  <w:r>
                    <w:rPr>
                      <w:rFonts w:hint="eastAsia"/>
                      <w:bCs/>
                      <w:color w:val="auto"/>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1" w:type="dxa"/>
                  <w:tcBorders>
                    <w:tl2br w:val="nil"/>
                    <w:tr2bl w:val="nil"/>
                  </w:tcBorders>
                  <w:vAlign w:val="center"/>
                </w:tcPr>
                <w:p>
                  <w:pPr>
                    <w:adjustRightInd w:val="0"/>
                    <w:snapToGrid w:val="0"/>
                    <w:jc w:val="center"/>
                    <w:rPr>
                      <w:color w:val="auto"/>
                      <w:szCs w:val="21"/>
                    </w:rPr>
                  </w:pPr>
                  <w:r>
                    <w:rPr>
                      <w:rFonts w:hint="eastAsia"/>
                      <w:color w:val="auto"/>
                      <w:szCs w:val="21"/>
                    </w:rPr>
                    <w:t>醋酸</w:t>
                  </w:r>
                </w:p>
                <w:p>
                  <w:pPr>
                    <w:adjustRightInd w:val="0"/>
                    <w:snapToGrid w:val="0"/>
                    <w:jc w:val="center"/>
                    <w:rPr>
                      <w:color w:val="auto"/>
                      <w:szCs w:val="21"/>
                    </w:rPr>
                  </w:pPr>
                  <w:r>
                    <w:rPr>
                      <w:rFonts w:hint="eastAsia"/>
                      <w:color w:val="auto"/>
                      <w:szCs w:val="21"/>
                    </w:rPr>
                    <w:t>正丙酯</w:t>
                  </w:r>
                </w:p>
              </w:tc>
              <w:tc>
                <w:tcPr>
                  <w:tcW w:w="948" w:type="dxa"/>
                  <w:tcBorders>
                    <w:tl2br w:val="nil"/>
                    <w:tr2bl w:val="nil"/>
                  </w:tcBorders>
                  <w:vAlign w:val="center"/>
                </w:tcPr>
                <w:p>
                  <w:pPr>
                    <w:adjustRightInd w:val="0"/>
                    <w:snapToGrid w:val="0"/>
                    <w:jc w:val="center"/>
                    <w:rPr>
                      <w:rStyle w:val="40"/>
                      <w:b w:val="0"/>
                      <w:color w:val="auto"/>
                      <w:szCs w:val="21"/>
                    </w:rPr>
                  </w:pPr>
                  <w:r>
                    <w:rPr>
                      <w:rStyle w:val="40"/>
                      <w:rFonts w:hint="eastAsia"/>
                      <w:b w:val="0"/>
                      <w:color w:val="auto"/>
                      <w:szCs w:val="21"/>
                    </w:rPr>
                    <w:t>C</w:t>
                  </w:r>
                  <w:r>
                    <w:rPr>
                      <w:rStyle w:val="40"/>
                      <w:rFonts w:hint="eastAsia"/>
                      <w:b w:val="0"/>
                      <w:color w:val="auto"/>
                      <w:szCs w:val="21"/>
                      <w:vertAlign w:val="subscript"/>
                    </w:rPr>
                    <w:t>5</w:t>
                  </w:r>
                  <w:r>
                    <w:rPr>
                      <w:rStyle w:val="40"/>
                      <w:rFonts w:hint="eastAsia"/>
                      <w:b w:val="0"/>
                      <w:color w:val="auto"/>
                      <w:szCs w:val="21"/>
                    </w:rPr>
                    <w:t>H</w:t>
                  </w:r>
                  <w:r>
                    <w:rPr>
                      <w:rStyle w:val="40"/>
                      <w:rFonts w:hint="eastAsia"/>
                      <w:b w:val="0"/>
                      <w:color w:val="auto"/>
                      <w:szCs w:val="21"/>
                      <w:vertAlign w:val="subscript"/>
                    </w:rPr>
                    <w:t>10</w:t>
                  </w:r>
                  <w:r>
                    <w:rPr>
                      <w:rStyle w:val="40"/>
                      <w:rFonts w:hint="eastAsia"/>
                      <w:b w:val="0"/>
                      <w:color w:val="auto"/>
                      <w:szCs w:val="21"/>
                    </w:rPr>
                    <w:t>O</w:t>
                  </w:r>
                  <w:r>
                    <w:rPr>
                      <w:rStyle w:val="40"/>
                      <w:rFonts w:hint="eastAsia"/>
                      <w:b w:val="0"/>
                      <w:color w:val="auto"/>
                      <w:szCs w:val="21"/>
                      <w:vertAlign w:val="subscript"/>
                    </w:rPr>
                    <w:t>2</w:t>
                  </w:r>
                </w:p>
              </w:tc>
              <w:tc>
                <w:tcPr>
                  <w:tcW w:w="1054" w:type="dxa"/>
                  <w:tcBorders>
                    <w:tl2br w:val="nil"/>
                    <w:tr2bl w:val="nil"/>
                  </w:tcBorders>
                  <w:vAlign w:val="center"/>
                </w:tcPr>
                <w:p>
                  <w:pPr>
                    <w:adjustRightInd w:val="0"/>
                    <w:snapToGrid w:val="0"/>
                    <w:jc w:val="center"/>
                    <w:rPr>
                      <w:color w:val="auto"/>
                      <w:szCs w:val="21"/>
                      <w:shd w:val="clear" w:color="auto" w:fill="FFFFFF"/>
                    </w:rPr>
                  </w:pPr>
                  <w:r>
                    <w:rPr>
                      <w:rFonts w:hint="eastAsia"/>
                      <w:color w:val="auto"/>
                      <w:szCs w:val="21"/>
                      <w:shd w:val="clear" w:color="auto" w:fill="FFFFFF"/>
                    </w:rPr>
                    <w:t>109</w:t>
                  </w:r>
                  <w:r>
                    <w:rPr>
                      <w:color w:val="auto"/>
                      <w:szCs w:val="21"/>
                      <w:shd w:val="clear" w:color="auto" w:fill="FFFFFF"/>
                    </w:rPr>
                    <w:t>-</w:t>
                  </w:r>
                  <w:r>
                    <w:rPr>
                      <w:rFonts w:hint="eastAsia"/>
                      <w:color w:val="auto"/>
                      <w:szCs w:val="21"/>
                      <w:shd w:val="clear" w:color="auto" w:fill="FFFFFF"/>
                    </w:rPr>
                    <w:t>60</w:t>
                  </w:r>
                  <w:r>
                    <w:rPr>
                      <w:color w:val="auto"/>
                      <w:szCs w:val="21"/>
                      <w:shd w:val="clear" w:color="auto" w:fill="FFFFFF"/>
                    </w:rPr>
                    <w:t>-</w:t>
                  </w:r>
                  <w:r>
                    <w:rPr>
                      <w:rFonts w:hint="eastAsia"/>
                      <w:color w:val="auto"/>
                      <w:szCs w:val="21"/>
                      <w:shd w:val="clear" w:color="auto" w:fill="FFFFFF"/>
                    </w:rPr>
                    <w:t>4</w:t>
                  </w:r>
                </w:p>
              </w:tc>
              <w:tc>
                <w:tcPr>
                  <w:tcW w:w="935" w:type="dxa"/>
                  <w:tcBorders>
                    <w:tl2br w:val="nil"/>
                    <w:tr2bl w:val="nil"/>
                  </w:tcBorders>
                  <w:vAlign w:val="center"/>
                </w:tcPr>
                <w:p>
                  <w:pPr>
                    <w:adjustRightInd w:val="0"/>
                    <w:snapToGrid w:val="0"/>
                    <w:jc w:val="center"/>
                    <w:rPr>
                      <w:color w:val="auto"/>
                      <w:szCs w:val="21"/>
                    </w:rPr>
                  </w:pPr>
                  <w:r>
                    <w:rPr>
                      <w:rFonts w:hint="eastAsia"/>
                      <w:color w:val="auto"/>
                      <w:szCs w:val="21"/>
                    </w:rPr>
                    <w:t>102.132</w:t>
                  </w:r>
                </w:p>
              </w:tc>
              <w:tc>
                <w:tcPr>
                  <w:tcW w:w="631" w:type="dxa"/>
                  <w:tcBorders>
                    <w:tl2br w:val="nil"/>
                    <w:tr2bl w:val="nil"/>
                  </w:tcBorders>
                  <w:vAlign w:val="center"/>
                </w:tcPr>
                <w:p>
                  <w:pPr>
                    <w:adjustRightInd w:val="0"/>
                    <w:snapToGrid w:val="0"/>
                    <w:jc w:val="center"/>
                    <w:rPr>
                      <w:color w:val="auto"/>
                      <w:szCs w:val="21"/>
                      <w:shd w:val="clear" w:color="auto" w:fill="FFFFFF"/>
                    </w:rPr>
                  </w:pPr>
                  <w:r>
                    <w:rPr>
                      <w:color w:val="auto"/>
                      <w:szCs w:val="21"/>
                    </w:rPr>
                    <w:t>无色液体</w:t>
                  </w:r>
                </w:p>
              </w:tc>
              <w:tc>
                <w:tcPr>
                  <w:tcW w:w="886" w:type="dxa"/>
                  <w:tcBorders>
                    <w:tl2br w:val="nil"/>
                    <w:tr2bl w:val="nil"/>
                  </w:tcBorders>
                  <w:vAlign w:val="center"/>
                </w:tcPr>
                <w:p>
                  <w:pPr>
                    <w:adjustRightInd w:val="0"/>
                    <w:snapToGrid w:val="0"/>
                    <w:jc w:val="center"/>
                    <w:rPr>
                      <w:color w:val="auto"/>
                      <w:szCs w:val="21"/>
                      <w:shd w:val="clear" w:color="auto" w:fill="FFFFFF"/>
                    </w:rPr>
                  </w:pPr>
                  <w:r>
                    <w:rPr>
                      <w:rFonts w:hint="eastAsia"/>
                      <w:color w:val="auto"/>
                      <w:szCs w:val="21"/>
                      <w:shd w:val="clear" w:color="auto" w:fill="FFFFFF"/>
                    </w:rPr>
                    <w:t>0.888</w:t>
                  </w:r>
                </w:p>
              </w:tc>
              <w:tc>
                <w:tcPr>
                  <w:tcW w:w="783" w:type="dxa"/>
                  <w:tcBorders>
                    <w:tl2br w:val="nil"/>
                    <w:tr2bl w:val="nil"/>
                  </w:tcBorders>
                  <w:vAlign w:val="center"/>
                </w:tcPr>
                <w:p>
                  <w:pPr>
                    <w:adjustRightInd w:val="0"/>
                    <w:snapToGrid w:val="0"/>
                    <w:jc w:val="center"/>
                    <w:rPr>
                      <w:color w:val="auto"/>
                      <w:szCs w:val="21"/>
                    </w:rPr>
                  </w:pPr>
                  <w:r>
                    <w:rPr>
                      <w:color w:val="auto"/>
                      <w:szCs w:val="21"/>
                    </w:rPr>
                    <w:t>-</w:t>
                  </w:r>
                  <w:r>
                    <w:rPr>
                      <w:rFonts w:hint="eastAsia"/>
                      <w:color w:val="auto"/>
                      <w:szCs w:val="21"/>
                    </w:rPr>
                    <w:t>95</w:t>
                  </w:r>
                </w:p>
              </w:tc>
              <w:tc>
                <w:tcPr>
                  <w:tcW w:w="1062" w:type="dxa"/>
                  <w:tcBorders>
                    <w:tl2br w:val="nil"/>
                    <w:tr2bl w:val="nil"/>
                  </w:tcBorders>
                  <w:vAlign w:val="center"/>
                </w:tcPr>
                <w:p>
                  <w:pPr>
                    <w:adjustRightInd w:val="0"/>
                    <w:snapToGrid w:val="0"/>
                    <w:jc w:val="center"/>
                    <w:rPr>
                      <w:color w:val="auto"/>
                      <w:szCs w:val="21"/>
                    </w:rPr>
                  </w:pPr>
                  <w:r>
                    <w:rPr>
                      <w:rFonts w:hint="eastAsia"/>
                      <w:color w:val="auto"/>
                      <w:szCs w:val="21"/>
                    </w:rPr>
                    <w:t>102</w:t>
                  </w:r>
                </w:p>
              </w:tc>
              <w:tc>
                <w:tcPr>
                  <w:tcW w:w="459" w:type="dxa"/>
                  <w:tcBorders>
                    <w:tl2br w:val="nil"/>
                    <w:tr2bl w:val="nil"/>
                  </w:tcBorders>
                  <w:vAlign w:val="center"/>
                </w:tcPr>
                <w:p>
                  <w:pPr>
                    <w:adjustRightInd w:val="0"/>
                    <w:snapToGrid w:val="0"/>
                    <w:jc w:val="center"/>
                    <w:rPr>
                      <w:color w:val="auto"/>
                      <w:szCs w:val="21"/>
                    </w:rPr>
                  </w:pPr>
                  <w:r>
                    <w:rPr>
                      <w:color w:val="auto"/>
                      <w:szCs w:val="21"/>
                    </w:rPr>
                    <w:t>微溶</w:t>
                  </w:r>
                </w:p>
              </w:tc>
              <w:tc>
                <w:tcPr>
                  <w:tcW w:w="665"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13</w:t>
                  </w:r>
                </w:p>
              </w:tc>
              <w:tc>
                <w:tcPr>
                  <w:tcW w:w="883"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爆炸上限8.0%</w:t>
                  </w:r>
                </w:p>
                <w:p>
                  <w:pPr>
                    <w:adjustRightInd w:val="0"/>
                    <w:snapToGrid w:val="0"/>
                    <w:spacing w:before="24" w:beforeLines="10" w:after="24" w:afterLines="10"/>
                    <w:jc w:val="center"/>
                    <w:rPr>
                      <w:color w:val="auto"/>
                    </w:rPr>
                  </w:pPr>
                  <w:r>
                    <w:rPr>
                      <w:rFonts w:hint="eastAsia"/>
                      <w:color w:val="auto"/>
                      <w:szCs w:val="21"/>
                    </w:rPr>
                    <w:t>爆炸下限2.0%</w:t>
                  </w:r>
                </w:p>
              </w:tc>
              <w:tc>
                <w:tcPr>
                  <w:tcW w:w="541" w:type="dxa"/>
                  <w:tcBorders>
                    <w:tl2br w:val="nil"/>
                    <w:tr2bl w:val="nil"/>
                  </w:tcBorders>
                  <w:vAlign w:val="center"/>
                </w:tcPr>
                <w:p>
                  <w:pPr>
                    <w:adjustRightInd w:val="0"/>
                    <w:snapToGrid w:val="0"/>
                    <w:spacing w:before="24" w:beforeLines="10" w:after="24" w:afterLines="10"/>
                    <w:jc w:val="center"/>
                    <w:rPr>
                      <w:color w:val="auto"/>
                      <w:szCs w:val="21"/>
                    </w:rPr>
                  </w:pPr>
                  <w:r>
                    <w:rPr>
                      <w:color w:val="auto"/>
                      <w:szCs w:val="21"/>
                    </w:rPr>
                    <w:t>甲</w:t>
                  </w:r>
                </w:p>
              </w:tc>
              <w:tc>
                <w:tcPr>
                  <w:tcW w:w="1299"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9370</w:t>
                  </w:r>
                  <w:r>
                    <w:rPr>
                      <w:color w:val="auto"/>
                      <w:szCs w:val="21"/>
                    </w:rPr>
                    <w:t>mg/</w:t>
                  </w:r>
                  <w:r>
                    <w:rPr>
                      <w:rFonts w:hint="eastAsia"/>
                      <w:color w:val="auto"/>
                      <w:szCs w:val="21"/>
                    </w:rPr>
                    <w:t>m</w:t>
                  </w:r>
                  <w:r>
                    <w:rPr>
                      <w:rFonts w:hint="eastAsia"/>
                      <w:color w:val="auto"/>
                      <w:szCs w:val="21"/>
                      <w:vertAlign w:val="superscript"/>
                    </w:rPr>
                    <w:t>3</w:t>
                  </w:r>
                </w:p>
                <w:p>
                  <w:pPr>
                    <w:adjustRightInd w:val="0"/>
                    <w:snapToGrid w:val="0"/>
                    <w:jc w:val="center"/>
                    <w:rPr>
                      <w:color w:val="auto"/>
                      <w:szCs w:val="21"/>
                    </w:rPr>
                  </w:pPr>
                  <w:r>
                    <w:rPr>
                      <w:color w:val="auto"/>
                      <w:szCs w:val="21"/>
                    </w:rPr>
                    <w:t>(</w:t>
                  </w:r>
                  <w:r>
                    <w:rPr>
                      <w:rFonts w:hint="eastAsia"/>
                      <w:color w:val="auto"/>
                      <w:szCs w:val="21"/>
                    </w:rPr>
                    <w:t>大鼠经口</w:t>
                  </w:r>
                  <w:r>
                    <w:rPr>
                      <w:color w:val="auto"/>
                      <w:szCs w:val="21"/>
                    </w:rPr>
                    <w:t>)</w:t>
                  </w:r>
                </w:p>
              </w:tc>
              <w:tc>
                <w:tcPr>
                  <w:tcW w:w="1144" w:type="dxa"/>
                  <w:tcBorders>
                    <w:tl2br w:val="nil"/>
                    <w:tr2bl w:val="nil"/>
                  </w:tcBorders>
                  <w:vAlign w:val="center"/>
                </w:tcPr>
                <w:p>
                  <w:pPr>
                    <w:adjustRightInd w:val="0"/>
                    <w:snapToGrid w:val="0"/>
                    <w:jc w:val="center"/>
                    <w:rPr>
                      <w:color w:val="auto"/>
                      <w:szCs w:val="21"/>
                      <w:shd w:val="clear" w:color="auto" w:fill="FFFFFF"/>
                    </w:rPr>
                  </w:pPr>
                  <w:r>
                    <w:rPr>
                      <w:rStyle w:val="163"/>
                      <w:rFonts w:hint="eastAsia"/>
                      <w:bCs/>
                      <w:color w:val="auto"/>
                      <w:lang w:bidi="ar"/>
                    </w:rPr>
                    <w:t>60mg/L</w:t>
                  </w:r>
                  <w:r>
                    <w:rPr>
                      <w:rStyle w:val="163"/>
                      <w:bCs/>
                      <w:color w:val="auto"/>
                      <w:lang w:bidi="ar"/>
                    </w:rPr>
                    <w:t>（</w:t>
                  </w:r>
                  <w:r>
                    <w:rPr>
                      <w:rStyle w:val="163"/>
                      <w:rFonts w:hint="eastAsia"/>
                      <w:bCs/>
                      <w:color w:val="auto"/>
                      <w:lang w:bidi="ar"/>
                    </w:rPr>
                    <w:t>黑头呆鱼,96</w:t>
                  </w:r>
                  <w:r>
                    <w:rPr>
                      <w:rStyle w:val="163"/>
                      <w:bCs/>
                      <w:color w:val="auto"/>
                      <w:lang w:bidi="ar"/>
                    </w:rPr>
                    <w:t>h）</w:t>
                  </w:r>
                </w:p>
              </w:tc>
              <w:tc>
                <w:tcPr>
                  <w:tcW w:w="1745" w:type="dxa"/>
                  <w:tcBorders>
                    <w:tl2br w:val="nil"/>
                    <w:tr2bl w:val="nil"/>
                  </w:tcBorders>
                  <w:vAlign w:val="center"/>
                </w:tcPr>
                <w:p>
                  <w:pPr>
                    <w:pStyle w:val="198"/>
                    <w:rPr>
                      <w:bCs/>
                      <w:color w:val="auto"/>
                    </w:rPr>
                  </w:pPr>
                  <w:r>
                    <w:rPr>
                      <w:bCs/>
                      <w:color w:val="auto"/>
                    </w:rPr>
                    <w:t>易燃</w:t>
                  </w:r>
                  <w:r>
                    <w:rPr>
                      <w:rFonts w:hint="eastAsia"/>
                      <w:bCs/>
                      <w:color w:val="auto"/>
                    </w:rPr>
                    <w:t>液体,</w:t>
                  </w:r>
                  <w:r>
                    <w:rPr>
                      <w:bCs/>
                      <w:color w:val="auto"/>
                    </w:rPr>
                    <w:t>类别</w:t>
                  </w:r>
                  <w:r>
                    <w:rPr>
                      <w:rFonts w:hint="eastAsia"/>
                      <w:bCs/>
                      <w:color w:val="auto"/>
                    </w:rPr>
                    <w:t>2</w:t>
                  </w:r>
                </w:p>
                <w:p>
                  <w:pPr>
                    <w:widowControl/>
                    <w:adjustRightInd w:val="0"/>
                    <w:snapToGrid w:val="0"/>
                    <w:jc w:val="center"/>
                    <w:rPr>
                      <w:bCs/>
                      <w:color w:val="auto"/>
                    </w:rPr>
                  </w:pPr>
                  <w:r>
                    <w:rPr>
                      <w:color w:val="auto"/>
                      <w:szCs w:val="21"/>
                    </w:rPr>
                    <w:t>危害水生环境-急性危害,类别</w:t>
                  </w:r>
                  <w:r>
                    <w:rPr>
                      <w:rFonts w:hint="eastAsia"/>
                      <w:color w:val="auto"/>
                      <w:szCs w:val="21"/>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1" w:type="dxa"/>
                  <w:tcBorders>
                    <w:tl2br w:val="nil"/>
                    <w:tr2bl w:val="nil"/>
                  </w:tcBorders>
                  <w:vAlign w:val="center"/>
                </w:tcPr>
                <w:p>
                  <w:pPr>
                    <w:adjustRightInd w:val="0"/>
                    <w:snapToGrid w:val="0"/>
                    <w:jc w:val="center"/>
                    <w:rPr>
                      <w:color w:val="auto"/>
                      <w:szCs w:val="21"/>
                      <w:shd w:val="clear" w:color="auto" w:fill="FFFFFF"/>
                    </w:rPr>
                  </w:pPr>
                  <w:r>
                    <w:rPr>
                      <w:rFonts w:hint="eastAsia"/>
                      <w:color w:val="auto"/>
                      <w:szCs w:val="21"/>
                      <w:shd w:val="clear" w:color="auto" w:fill="FFFFFF"/>
                    </w:rPr>
                    <w:t>异丙醇</w:t>
                  </w:r>
                </w:p>
              </w:tc>
              <w:tc>
                <w:tcPr>
                  <w:tcW w:w="948" w:type="dxa"/>
                  <w:tcBorders>
                    <w:tl2br w:val="nil"/>
                    <w:tr2bl w:val="nil"/>
                  </w:tcBorders>
                  <w:vAlign w:val="center"/>
                </w:tcPr>
                <w:p>
                  <w:pPr>
                    <w:adjustRightInd w:val="0"/>
                    <w:snapToGrid w:val="0"/>
                    <w:jc w:val="center"/>
                    <w:rPr>
                      <w:color w:val="auto"/>
                      <w:szCs w:val="21"/>
                      <w:vertAlign w:val="subscript"/>
                    </w:rPr>
                  </w:pPr>
                  <w:r>
                    <w:rPr>
                      <w:rStyle w:val="40"/>
                      <w:rFonts w:hint="eastAsia"/>
                      <w:b w:val="0"/>
                      <w:color w:val="auto"/>
                      <w:szCs w:val="21"/>
                    </w:rPr>
                    <w:t>C</w:t>
                  </w:r>
                  <w:r>
                    <w:rPr>
                      <w:rStyle w:val="40"/>
                      <w:rFonts w:hint="eastAsia"/>
                      <w:b w:val="0"/>
                      <w:color w:val="auto"/>
                      <w:szCs w:val="21"/>
                      <w:vertAlign w:val="subscript"/>
                    </w:rPr>
                    <w:t>3</w:t>
                  </w:r>
                  <w:r>
                    <w:rPr>
                      <w:rStyle w:val="40"/>
                      <w:rFonts w:hint="eastAsia"/>
                      <w:b w:val="0"/>
                      <w:color w:val="auto"/>
                      <w:szCs w:val="21"/>
                    </w:rPr>
                    <w:t>H</w:t>
                  </w:r>
                  <w:r>
                    <w:rPr>
                      <w:rStyle w:val="40"/>
                      <w:rFonts w:hint="eastAsia"/>
                      <w:b w:val="0"/>
                      <w:color w:val="auto"/>
                      <w:szCs w:val="21"/>
                      <w:vertAlign w:val="subscript"/>
                    </w:rPr>
                    <w:t>8</w:t>
                  </w:r>
                  <w:r>
                    <w:rPr>
                      <w:rStyle w:val="40"/>
                      <w:rFonts w:hint="eastAsia"/>
                      <w:b w:val="0"/>
                      <w:color w:val="auto"/>
                      <w:szCs w:val="21"/>
                    </w:rPr>
                    <w:t>O</w:t>
                  </w:r>
                </w:p>
              </w:tc>
              <w:tc>
                <w:tcPr>
                  <w:tcW w:w="1054" w:type="dxa"/>
                  <w:tcBorders>
                    <w:tl2br w:val="nil"/>
                    <w:tr2bl w:val="nil"/>
                  </w:tcBorders>
                  <w:vAlign w:val="center"/>
                </w:tcPr>
                <w:p>
                  <w:pPr>
                    <w:adjustRightInd w:val="0"/>
                    <w:snapToGrid w:val="0"/>
                    <w:jc w:val="center"/>
                    <w:rPr>
                      <w:color w:val="auto"/>
                      <w:szCs w:val="21"/>
                    </w:rPr>
                  </w:pPr>
                  <w:r>
                    <w:rPr>
                      <w:rFonts w:hint="eastAsia"/>
                      <w:color w:val="auto"/>
                      <w:szCs w:val="21"/>
                    </w:rPr>
                    <w:t>67-63-0</w:t>
                  </w:r>
                </w:p>
              </w:tc>
              <w:tc>
                <w:tcPr>
                  <w:tcW w:w="935" w:type="dxa"/>
                  <w:tcBorders>
                    <w:tl2br w:val="nil"/>
                    <w:tr2bl w:val="nil"/>
                  </w:tcBorders>
                  <w:vAlign w:val="center"/>
                </w:tcPr>
                <w:p>
                  <w:pPr>
                    <w:adjustRightInd w:val="0"/>
                    <w:snapToGrid w:val="0"/>
                    <w:jc w:val="center"/>
                    <w:rPr>
                      <w:color w:val="auto"/>
                      <w:szCs w:val="21"/>
                    </w:rPr>
                  </w:pPr>
                  <w:r>
                    <w:rPr>
                      <w:rFonts w:hint="eastAsia"/>
                      <w:color w:val="auto"/>
                      <w:szCs w:val="21"/>
                    </w:rPr>
                    <w:t>60.095</w:t>
                  </w:r>
                </w:p>
              </w:tc>
              <w:tc>
                <w:tcPr>
                  <w:tcW w:w="631" w:type="dxa"/>
                  <w:tcBorders>
                    <w:tl2br w:val="nil"/>
                    <w:tr2bl w:val="nil"/>
                  </w:tcBorders>
                  <w:vAlign w:val="center"/>
                </w:tcPr>
                <w:p>
                  <w:pPr>
                    <w:adjustRightInd w:val="0"/>
                    <w:snapToGrid w:val="0"/>
                    <w:jc w:val="center"/>
                    <w:rPr>
                      <w:color w:val="auto"/>
                      <w:szCs w:val="21"/>
                    </w:rPr>
                  </w:pPr>
                  <w:r>
                    <w:rPr>
                      <w:rFonts w:hint="eastAsia"/>
                      <w:color w:val="auto"/>
                      <w:szCs w:val="21"/>
                      <w:shd w:val="clear" w:color="auto" w:fill="FFFFFF"/>
                    </w:rPr>
                    <w:t>无色</w:t>
                  </w:r>
                  <w:r>
                    <w:rPr>
                      <w:color w:val="auto"/>
                      <w:szCs w:val="21"/>
                      <w:shd w:val="clear" w:color="auto" w:fill="FFFFFF"/>
                    </w:rPr>
                    <w:t>透明</w:t>
                  </w:r>
                  <w:r>
                    <w:rPr>
                      <w:rFonts w:hint="eastAsia"/>
                      <w:color w:val="auto"/>
                      <w:szCs w:val="21"/>
                      <w:shd w:val="clear" w:color="auto" w:fill="FFFFFF"/>
                    </w:rPr>
                    <w:t>液体</w:t>
                  </w:r>
                </w:p>
              </w:tc>
              <w:tc>
                <w:tcPr>
                  <w:tcW w:w="886" w:type="dxa"/>
                  <w:tcBorders>
                    <w:tl2br w:val="nil"/>
                    <w:tr2bl w:val="nil"/>
                  </w:tcBorders>
                  <w:vAlign w:val="center"/>
                </w:tcPr>
                <w:p>
                  <w:pPr>
                    <w:adjustRightInd w:val="0"/>
                    <w:snapToGrid w:val="0"/>
                    <w:jc w:val="center"/>
                    <w:rPr>
                      <w:color w:val="auto"/>
                      <w:szCs w:val="21"/>
                      <w:lang w:bidi="ar"/>
                    </w:rPr>
                  </w:pPr>
                  <w:r>
                    <w:rPr>
                      <w:rFonts w:hint="eastAsia"/>
                      <w:color w:val="auto"/>
                      <w:szCs w:val="21"/>
                      <w:shd w:val="clear" w:color="auto" w:fill="FFFFFF"/>
                    </w:rPr>
                    <w:t>0.7855</w:t>
                  </w:r>
                </w:p>
              </w:tc>
              <w:tc>
                <w:tcPr>
                  <w:tcW w:w="783" w:type="dxa"/>
                  <w:tcBorders>
                    <w:tl2br w:val="nil"/>
                    <w:tr2bl w:val="nil"/>
                  </w:tcBorders>
                  <w:vAlign w:val="center"/>
                </w:tcPr>
                <w:p>
                  <w:pPr>
                    <w:adjustRightInd w:val="0"/>
                    <w:snapToGrid w:val="0"/>
                    <w:jc w:val="center"/>
                    <w:rPr>
                      <w:color w:val="auto"/>
                      <w:szCs w:val="21"/>
                    </w:rPr>
                  </w:pPr>
                  <w:r>
                    <w:rPr>
                      <w:rFonts w:hint="eastAsia"/>
                      <w:color w:val="auto"/>
                      <w:szCs w:val="21"/>
                    </w:rPr>
                    <w:t>-89.5</w:t>
                  </w:r>
                </w:p>
              </w:tc>
              <w:tc>
                <w:tcPr>
                  <w:tcW w:w="1062" w:type="dxa"/>
                  <w:tcBorders>
                    <w:tl2br w:val="nil"/>
                    <w:tr2bl w:val="nil"/>
                  </w:tcBorders>
                  <w:vAlign w:val="center"/>
                </w:tcPr>
                <w:p>
                  <w:pPr>
                    <w:adjustRightInd w:val="0"/>
                    <w:snapToGrid w:val="0"/>
                    <w:jc w:val="center"/>
                    <w:rPr>
                      <w:color w:val="auto"/>
                      <w:szCs w:val="21"/>
                    </w:rPr>
                  </w:pPr>
                  <w:r>
                    <w:rPr>
                      <w:rFonts w:hint="eastAsia"/>
                      <w:color w:val="auto"/>
                      <w:szCs w:val="21"/>
                    </w:rPr>
                    <w:t>82.5</w:t>
                  </w:r>
                </w:p>
              </w:tc>
              <w:tc>
                <w:tcPr>
                  <w:tcW w:w="459" w:type="dxa"/>
                  <w:tcBorders>
                    <w:tl2br w:val="nil"/>
                    <w:tr2bl w:val="nil"/>
                  </w:tcBorders>
                  <w:vAlign w:val="center"/>
                </w:tcPr>
                <w:p>
                  <w:pPr>
                    <w:adjustRightInd w:val="0"/>
                    <w:snapToGrid w:val="0"/>
                    <w:jc w:val="center"/>
                    <w:rPr>
                      <w:color w:val="auto"/>
                      <w:szCs w:val="21"/>
                    </w:rPr>
                  </w:pPr>
                  <w:r>
                    <w:rPr>
                      <w:rFonts w:hint="eastAsia"/>
                      <w:color w:val="auto"/>
                      <w:szCs w:val="21"/>
                    </w:rPr>
                    <w:t>可溶</w:t>
                  </w:r>
                </w:p>
              </w:tc>
              <w:tc>
                <w:tcPr>
                  <w:tcW w:w="665"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11.7</w:t>
                  </w:r>
                </w:p>
              </w:tc>
              <w:tc>
                <w:tcPr>
                  <w:tcW w:w="883"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爆炸上限12.7%</w:t>
                  </w:r>
                </w:p>
                <w:p>
                  <w:pPr>
                    <w:adjustRightInd w:val="0"/>
                    <w:snapToGrid w:val="0"/>
                    <w:spacing w:before="24" w:beforeLines="10" w:after="24" w:afterLines="10"/>
                    <w:jc w:val="center"/>
                    <w:rPr>
                      <w:color w:val="auto"/>
                      <w:szCs w:val="21"/>
                    </w:rPr>
                  </w:pPr>
                  <w:r>
                    <w:rPr>
                      <w:rFonts w:hint="eastAsia"/>
                      <w:color w:val="auto"/>
                      <w:szCs w:val="21"/>
                    </w:rPr>
                    <w:t>爆炸下限2.0%</w:t>
                  </w:r>
                </w:p>
              </w:tc>
              <w:tc>
                <w:tcPr>
                  <w:tcW w:w="541"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甲</w:t>
                  </w:r>
                </w:p>
              </w:tc>
              <w:tc>
                <w:tcPr>
                  <w:tcW w:w="1299"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5000</w:t>
                  </w:r>
                  <w:r>
                    <w:rPr>
                      <w:color w:val="auto"/>
                      <w:szCs w:val="21"/>
                    </w:rPr>
                    <w:t>mg/</w:t>
                  </w:r>
                  <w:r>
                    <w:rPr>
                      <w:rFonts w:hint="eastAsia"/>
                      <w:color w:val="auto"/>
                      <w:szCs w:val="21"/>
                    </w:rPr>
                    <w:t>kg</w:t>
                  </w:r>
                </w:p>
                <w:p>
                  <w:pPr>
                    <w:adjustRightInd w:val="0"/>
                    <w:snapToGrid w:val="0"/>
                    <w:spacing w:before="24" w:beforeLines="10" w:after="24" w:afterLines="10"/>
                    <w:jc w:val="center"/>
                    <w:rPr>
                      <w:color w:val="auto"/>
                      <w:szCs w:val="21"/>
                    </w:rPr>
                  </w:pPr>
                  <w:r>
                    <w:rPr>
                      <w:color w:val="auto"/>
                      <w:szCs w:val="21"/>
                    </w:rPr>
                    <w:t>(大鼠</w:t>
                  </w:r>
                  <w:r>
                    <w:rPr>
                      <w:rFonts w:hint="eastAsia"/>
                      <w:color w:val="auto"/>
                      <w:szCs w:val="21"/>
                    </w:rPr>
                    <w:t>经口</w:t>
                  </w:r>
                  <w:r>
                    <w:rPr>
                      <w:color w:val="auto"/>
                      <w:szCs w:val="21"/>
                    </w:rPr>
                    <w:t>)</w:t>
                  </w:r>
                </w:p>
              </w:tc>
              <w:tc>
                <w:tcPr>
                  <w:tcW w:w="1144" w:type="dxa"/>
                  <w:tcBorders>
                    <w:tl2br w:val="nil"/>
                    <w:tr2bl w:val="nil"/>
                  </w:tcBorders>
                  <w:vAlign w:val="center"/>
                </w:tcPr>
                <w:p>
                  <w:pPr>
                    <w:adjustRightInd w:val="0"/>
                    <w:snapToGrid w:val="0"/>
                    <w:jc w:val="center"/>
                    <w:rPr>
                      <w:color w:val="auto"/>
                      <w:szCs w:val="21"/>
                    </w:rPr>
                  </w:pPr>
                  <w:r>
                    <w:rPr>
                      <w:rStyle w:val="163"/>
                      <w:rFonts w:hint="eastAsia"/>
                      <w:bCs/>
                      <w:color w:val="auto"/>
                      <w:lang w:bidi="ar"/>
                    </w:rPr>
                    <w:t>11130mg/L</w:t>
                  </w:r>
                  <w:r>
                    <w:rPr>
                      <w:rStyle w:val="163"/>
                      <w:bCs/>
                      <w:color w:val="auto"/>
                      <w:lang w:bidi="ar"/>
                    </w:rPr>
                    <w:t>（</w:t>
                  </w:r>
                  <w:r>
                    <w:rPr>
                      <w:rStyle w:val="163"/>
                      <w:rFonts w:hint="eastAsia"/>
                      <w:bCs/>
                      <w:color w:val="auto"/>
                      <w:lang w:bidi="ar"/>
                    </w:rPr>
                    <w:t>黑头呆鱼,48</w:t>
                  </w:r>
                  <w:r>
                    <w:rPr>
                      <w:rStyle w:val="163"/>
                      <w:bCs/>
                      <w:color w:val="auto"/>
                      <w:lang w:bidi="ar"/>
                    </w:rPr>
                    <w:t>h）</w:t>
                  </w:r>
                </w:p>
              </w:tc>
              <w:tc>
                <w:tcPr>
                  <w:tcW w:w="1745" w:type="dxa"/>
                  <w:tcBorders>
                    <w:tl2br w:val="nil"/>
                    <w:tr2bl w:val="nil"/>
                  </w:tcBorders>
                  <w:vAlign w:val="center"/>
                </w:tcPr>
                <w:p>
                  <w:pPr>
                    <w:pStyle w:val="198"/>
                    <w:rPr>
                      <w:color w:val="auto"/>
                      <w:szCs w:val="21"/>
                    </w:rPr>
                  </w:pPr>
                  <w:r>
                    <w:rPr>
                      <w:bCs/>
                      <w:color w:val="auto"/>
                    </w:rPr>
                    <w:t>易燃气体,类别2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571" w:type="dxa"/>
                  <w:tcBorders>
                    <w:tl2br w:val="nil"/>
                    <w:tr2bl w:val="nil"/>
                  </w:tcBorders>
                  <w:vAlign w:val="center"/>
                </w:tcPr>
                <w:p>
                  <w:pPr>
                    <w:adjustRightInd w:val="0"/>
                    <w:snapToGrid w:val="0"/>
                    <w:jc w:val="center"/>
                    <w:rPr>
                      <w:color w:val="auto"/>
                      <w:szCs w:val="21"/>
                    </w:rPr>
                  </w:pPr>
                  <w:r>
                    <w:rPr>
                      <w:rFonts w:hint="eastAsia"/>
                      <w:color w:val="auto"/>
                      <w:szCs w:val="21"/>
                    </w:rPr>
                    <w:t>乙醇</w:t>
                  </w:r>
                </w:p>
              </w:tc>
              <w:tc>
                <w:tcPr>
                  <w:tcW w:w="948" w:type="dxa"/>
                  <w:tcBorders>
                    <w:tl2br w:val="nil"/>
                    <w:tr2bl w:val="nil"/>
                  </w:tcBorders>
                  <w:vAlign w:val="center"/>
                </w:tcPr>
                <w:p>
                  <w:pPr>
                    <w:adjustRightInd w:val="0"/>
                    <w:snapToGrid w:val="0"/>
                    <w:jc w:val="center"/>
                    <w:rPr>
                      <w:color w:val="auto"/>
                      <w:szCs w:val="21"/>
                    </w:rPr>
                  </w:pPr>
                  <w:r>
                    <w:rPr>
                      <w:rStyle w:val="40"/>
                      <w:rFonts w:hint="eastAsia"/>
                      <w:b w:val="0"/>
                      <w:color w:val="auto"/>
                      <w:szCs w:val="21"/>
                    </w:rPr>
                    <w:t>C</w:t>
                  </w:r>
                  <w:r>
                    <w:rPr>
                      <w:rStyle w:val="40"/>
                      <w:rFonts w:hint="eastAsia"/>
                      <w:b w:val="0"/>
                      <w:color w:val="auto"/>
                      <w:szCs w:val="21"/>
                      <w:vertAlign w:val="subscript"/>
                    </w:rPr>
                    <w:t>2</w:t>
                  </w:r>
                  <w:r>
                    <w:rPr>
                      <w:rStyle w:val="40"/>
                      <w:rFonts w:hint="eastAsia"/>
                      <w:b w:val="0"/>
                      <w:color w:val="auto"/>
                      <w:szCs w:val="21"/>
                    </w:rPr>
                    <w:t>H</w:t>
                  </w:r>
                  <w:r>
                    <w:rPr>
                      <w:rStyle w:val="40"/>
                      <w:rFonts w:hint="eastAsia"/>
                      <w:b w:val="0"/>
                      <w:color w:val="auto"/>
                      <w:szCs w:val="21"/>
                      <w:vertAlign w:val="subscript"/>
                    </w:rPr>
                    <w:t>5</w:t>
                  </w:r>
                  <w:r>
                    <w:rPr>
                      <w:rStyle w:val="40"/>
                      <w:rFonts w:hint="eastAsia"/>
                      <w:b w:val="0"/>
                      <w:color w:val="auto"/>
                      <w:szCs w:val="21"/>
                    </w:rPr>
                    <w:t>OH</w:t>
                  </w:r>
                </w:p>
              </w:tc>
              <w:tc>
                <w:tcPr>
                  <w:tcW w:w="1054" w:type="dxa"/>
                  <w:tcBorders>
                    <w:tl2br w:val="nil"/>
                    <w:tr2bl w:val="nil"/>
                  </w:tcBorders>
                  <w:vAlign w:val="center"/>
                </w:tcPr>
                <w:p>
                  <w:pPr>
                    <w:adjustRightInd w:val="0"/>
                    <w:snapToGrid w:val="0"/>
                    <w:jc w:val="center"/>
                    <w:rPr>
                      <w:color w:val="auto"/>
                      <w:szCs w:val="21"/>
                    </w:rPr>
                  </w:pPr>
                  <w:r>
                    <w:rPr>
                      <w:rFonts w:hint="eastAsia"/>
                      <w:color w:val="auto"/>
                      <w:szCs w:val="21"/>
                    </w:rPr>
                    <w:t>64-17-5</w:t>
                  </w:r>
                </w:p>
              </w:tc>
              <w:tc>
                <w:tcPr>
                  <w:tcW w:w="935" w:type="dxa"/>
                  <w:tcBorders>
                    <w:tl2br w:val="nil"/>
                    <w:tr2bl w:val="nil"/>
                  </w:tcBorders>
                  <w:vAlign w:val="center"/>
                </w:tcPr>
                <w:p>
                  <w:pPr>
                    <w:adjustRightInd w:val="0"/>
                    <w:snapToGrid w:val="0"/>
                    <w:jc w:val="center"/>
                    <w:rPr>
                      <w:color w:val="auto"/>
                      <w:szCs w:val="21"/>
                    </w:rPr>
                  </w:pPr>
                  <w:r>
                    <w:rPr>
                      <w:rFonts w:hint="eastAsia"/>
                      <w:color w:val="auto"/>
                      <w:szCs w:val="21"/>
                    </w:rPr>
                    <w:t>46.07</w:t>
                  </w:r>
                </w:p>
              </w:tc>
              <w:tc>
                <w:tcPr>
                  <w:tcW w:w="631" w:type="dxa"/>
                  <w:tcBorders>
                    <w:tl2br w:val="nil"/>
                    <w:tr2bl w:val="nil"/>
                  </w:tcBorders>
                  <w:vAlign w:val="center"/>
                </w:tcPr>
                <w:p>
                  <w:pPr>
                    <w:adjustRightInd w:val="0"/>
                    <w:snapToGrid w:val="0"/>
                    <w:jc w:val="center"/>
                    <w:rPr>
                      <w:color w:val="auto"/>
                      <w:szCs w:val="21"/>
                      <w:shd w:val="clear" w:color="auto" w:fill="FFFFFF"/>
                    </w:rPr>
                  </w:pPr>
                  <w:r>
                    <w:rPr>
                      <w:rFonts w:hint="eastAsia"/>
                      <w:color w:val="auto"/>
                      <w:szCs w:val="21"/>
                      <w:shd w:val="clear" w:color="auto" w:fill="FFFFFF"/>
                    </w:rPr>
                    <w:t>无色</w:t>
                  </w:r>
                  <w:r>
                    <w:rPr>
                      <w:color w:val="auto"/>
                      <w:szCs w:val="21"/>
                      <w:shd w:val="clear" w:color="auto" w:fill="FFFFFF"/>
                    </w:rPr>
                    <w:t>透明</w:t>
                  </w:r>
                  <w:r>
                    <w:rPr>
                      <w:rFonts w:hint="eastAsia"/>
                      <w:color w:val="auto"/>
                      <w:szCs w:val="21"/>
                      <w:shd w:val="clear" w:color="auto" w:fill="FFFFFF"/>
                    </w:rPr>
                    <w:t>液体</w:t>
                  </w:r>
                </w:p>
              </w:tc>
              <w:tc>
                <w:tcPr>
                  <w:tcW w:w="886" w:type="dxa"/>
                  <w:tcBorders>
                    <w:tl2br w:val="nil"/>
                    <w:tr2bl w:val="nil"/>
                  </w:tcBorders>
                  <w:vAlign w:val="center"/>
                </w:tcPr>
                <w:p>
                  <w:pPr>
                    <w:adjustRightInd w:val="0"/>
                    <w:snapToGrid w:val="0"/>
                    <w:jc w:val="center"/>
                    <w:rPr>
                      <w:color w:val="auto"/>
                      <w:szCs w:val="21"/>
                    </w:rPr>
                  </w:pPr>
                  <w:r>
                    <w:rPr>
                      <w:rFonts w:hint="eastAsia"/>
                      <w:color w:val="auto"/>
                      <w:szCs w:val="21"/>
                      <w:lang w:bidi="ar"/>
                    </w:rPr>
                    <w:t>0.7893</w:t>
                  </w:r>
                </w:p>
              </w:tc>
              <w:tc>
                <w:tcPr>
                  <w:tcW w:w="783" w:type="dxa"/>
                  <w:tcBorders>
                    <w:tl2br w:val="nil"/>
                    <w:tr2bl w:val="nil"/>
                  </w:tcBorders>
                  <w:vAlign w:val="center"/>
                </w:tcPr>
                <w:p>
                  <w:pPr>
                    <w:adjustRightInd w:val="0"/>
                    <w:snapToGrid w:val="0"/>
                    <w:jc w:val="center"/>
                    <w:rPr>
                      <w:color w:val="auto"/>
                      <w:szCs w:val="21"/>
                    </w:rPr>
                  </w:pPr>
                  <w:r>
                    <w:rPr>
                      <w:rFonts w:hint="eastAsia"/>
                      <w:color w:val="auto"/>
                      <w:szCs w:val="21"/>
                    </w:rPr>
                    <w:t>-114.1</w:t>
                  </w:r>
                </w:p>
              </w:tc>
              <w:tc>
                <w:tcPr>
                  <w:tcW w:w="1062" w:type="dxa"/>
                  <w:tcBorders>
                    <w:tl2br w:val="nil"/>
                    <w:tr2bl w:val="nil"/>
                  </w:tcBorders>
                  <w:vAlign w:val="center"/>
                </w:tcPr>
                <w:p>
                  <w:pPr>
                    <w:adjustRightInd w:val="0"/>
                    <w:snapToGrid w:val="0"/>
                    <w:jc w:val="center"/>
                    <w:rPr>
                      <w:color w:val="auto"/>
                      <w:szCs w:val="21"/>
                    </w:rPr>
                  </w:pPr>
                  <w:r>
                    <w:rPr>
                      <w:rFonts w:hint="eastAsia"/>
                      <w:color w:val="auto"/>
                      <w:szCs w:val="21"/>
                    </w:rPr>
                    <w:t>78.3</w:t>
                  </w:r>
                </w:p>
              </w:tc>
              <w:tc>
                <w:tcPr>
                  <w:tcW w:w="459" w:type="dxa"/>
                  <w:tcBorders>
                    <w:tl2br w:val="nil"/>
                    <w:tr2bl w:val="nil"/>
                  </w:tcBorders>
                  <w:vAlign w:val="center"/>
                </w:tcPr>
                <w:p>
                  <w:pPr>
                    <w:adjustRightInd w:val="0"/>
                    <w:snapToGrid w:val="0"/>
                    <w:jc w:val="center"/>
                    <w:rPr>
                      <w:color w:val="auto"/>
                      <w:szCs w:val="21"/>
                    </w:rPr>
                  </w:pPr>
                  <w:r>
                    <w:rPr>
                      <w:rFonts w:hint="eastAsia"/>
                      <w:color w:val="auto"/>
                      <w:szCs w:val="21"/>
                    </w:rPr>
                    <w:t>与水混溶</w:t>
                  </w:r>
                </w:p>
              </w:tc>
              <w:tc>
                <w:tcPr>
                  <w:tcW w:w="665" w:type="dxa"/>
                  <w:tcBorders>
                    <w:tl2br w:val="nil"/>
                    <w:tr2bl w:val="nil"/>
                  </w:tcBorders>
                  <w:vAlign w:val="center"/>
                </w:tcPr>
                <w:p>
                  <w:pPr>
                    <w:widowControl/>
                    <w:adjustRightInd w:val="0"/>
                    <w:snapToGrid w:val="0"/>
                    <w:spacing w:before="24" w:beforeLines="10" w:after="24" w:afterLines="10"/>
                    <w:jc w:val="center"/>
                    <w:rPr>
                      <w:color w:val="auto"/>
                      <w:szCs w:val="21"/>
                    </w:rPr>
                  </w:pPr>
                  <w:r>
                    <w:rPr>
                      <w:rFonts w:hint="eastAsia"/>
                      <w:color w:val="auto"/>
                      <w:szCs w:val="21"/>
                    </w:rPr>
                    <w:t>14</w:t>
                  </w:r>
                </w:p>
              </w:tc>
              <w:tc>
                <w:tcPr>
                  <w:tcW w:w="883"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爆炸上限19%</w:t>
                  </w:r>
                </w:p>
                <w:p>
                  <w:pPr>
                    <w:adjustRightInd w:val="0"/>
                    <w:snapToGrid w:val="0"/>
                    <w:spacing w:before="24" w:beforeLines="10" w:after="24" w:afterLines="10"/>
                    <w:jc w:val="center"/>
                    <w:rPr>
                      <w:color w:val="auto"/>
                      <w:kern w:val="0"/>
                      <w:szCs w:val="21"/>
                    </w:rPr>
                  </w:pPr>
                  <w:r>
                    <w:rPr>
                      <w:rFonts w:hint="eastAsia"/>
                      <w:color w:val="auto"/>
                      <w:szCs w:val="21"/>
                    </w:rPr>
                    <w:t>爆炸下限3.3%</w:t>
                  </w:r>
                </w:p>
              </w:tc>
              <w:tc>
                <w:tcPr>
                  <w:tcW w:w="541"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甲</w:t>
                  </w:r>
                </w:p>
              </w:tc>
              <w:tc>
                <w:tcPr>
                  <w:tcW w:w="1299"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7060</w:t>
                  </w:r>
                  <w:r>
                    <w:rPr>
                      <w:color w:val="auto"/>
                      <w:szCs w:val="21"/>
                    </w:rPr>
                    <w:t>mg/</w:t>
                  </w:r>
                  <w:r>
                    <w:rPr>
                      <w:rFonts w:hint="eastAsia"/>
                      <w:color w:val="auto"/>
                      <w:szCs w:val="21"/>
                    </w:rPr>
                    <w:t>kg</w:t>
                  </w:r>
                </w:p>
                <w:p>
                  <w:pPr>
                    <w:adjustRightInd w:val="0"/>
                    <w:snapToGrid w:val="0"/>
                    <w:jc w:val="center"/>
                    <w:rPr>
                      <w:color w:val="auto"/>
                      <w:szCs w:val="21"/>
                    </w:rPr>
                  </w:pPr>
                  <w:r>
                    <w:rPr>
                      <w:color w:val="auto"/>
                      <w:szCs w:val="21"/>
                    </w:rPr>
                    <w:t>(大鼠</w:t>
                  </w:r>
                  <w:r>
                    <w:rPr>
                      <w:rFonts w:hint="eastAsia"/>
                      <w:color w:val="auto"/>
                      <w:szCs w:val="21"/>
                    </w:rPr>
                    <w:t>,吞食</w:t>
                  </w:r>
                  <w:r>
                    <w:rPr>
                      <w:color w:val="auto"/>
                      <w:szCs w:val="21"/>
                    </w:rPr>
                    <w:t>)</w:t>
                  </w:r>
                </w:p>
              </w:tc>
              <w:tc>
                <w:tcPr>
                  <w:tcW w:w="1144" w:type="dxa"/>
                  <w:tcBorders>
                    <w:tl2br w:val="nil"/>
                    <w:tr2bl w:val="nil"/>
                  </w:tcBorders>
                  <w:vAlign w:val="center"/>
                </w:tcPr>
                <w:p>
                  <w:pPr>
                    <w:adjustRightInd w:val="0"/>
                    <w:snapToGrid w:val="0"/>
                    <w:spacing w:before="24" w:beforeLines="10" w:after="24" w:afterLines="10"/>
                    <w:jc w:val="center"/>
                    <w:rPr>
                      <w:color w:val="auto"/>
                      <w:szCs w:val="21"/>
                    </w:rPr>
                  </w:pPr>
                  <w:r>
                    <w:rPr>
                      <w:rFonts w:hint="eastAsia"/>
                      <w:color w:val="auto"/>
                      <w:szCs w:val="21"/>
                    </w:rPr>
                    <w:t>20000ppm/10H</w:t>
                  </w:r>
                </w:p>
                <w:p>
                  <w:pPr>
                    <w:adjustRightInd w:val="0"/>
                    <w:snapToGrid w:val="0"/>
                    <w:jc w:val="center"/>
                    <w:rPr>
                      <w:color w:val="auto"/>
                      <w:szCs w:val="21"/>
                    </w:rPr>
                  </w:pPr>
                  <w:r>
                    <w:rPr>
                      <w:color w:val="auto"/>
                      <w:szCs w:val="21"/>
                    </w:rPr>
                    <w:t>(大鼠</w:t>
                  </w:r>
                  <w:r>
                    <w:rPr>
                      <w:rFonts w:hint="eastAsia"/>
                      <w:color w:val="auto"/>
                      <w:szCs w:val="21"/>
                    </w:rPr>
                    <w:t>,吞食</w:t>
                  </w:r>
                  <w:r>
                    <w:rPr>
                      <w:color w:val="auto"/>
                      <w:szCs w:val="21"/>
                    </w:rPr>
                    <w:t>)</w:t>
                  </w:r>
                </w:p>
              </w:tc>
              <w:tc>
                <w:tcPr>
                  <w:tcW w:w="1745" w:type="dxa"/>
                  <w:tcBorders>
                    <w:tl2br w:val="nil"/>
                    <w:tr2bl w:val="nil"/>
                  </w:tcBorders>
                  <w:vAlign w:val="center"/>
                </w:tcPr>
                <w:p>
                  <w:pPr>
                    <w:widowControl/>
                    <w:adjustRightInd w:val="0"/>
                    <w:snapToGrid w:val="0"/>
                    <w:jc w:val="center"/>
                    <w:rPr>
                      <w:color w:val="auto"/>
                      <w:szCs w:val="21"/>
                    </w:rPr>
                  </w:pPr>
                  <w:r>
                    <w:rPr>
                      <w:color w:val="auto"/>
                      <w:szCs w:val="21"/>
                    </w:rPr>
                    <w:t>易燃</w:t>
                  </w:r>
                  <w:r>
                    <w:rPr>
                      <w:rFonts w:hint="eastAsia"/>
                      <w:color w:val="auto"/>
                      <w:szCs w:val="21"/>
                    </w:rPr>
                    <w:t>液体</w:t>
                  </w:r>
                  <w:r>
                    <w:rPr>
                      <w:color w:val="auto"/>
                      <w:szCs w:val="21"/>
                    </w:rPr>
                    <w:t>,类别</w:t>
                  </w:r>
                  <w:r>
                    <w:rPr>
                      <w:rFonts w:hint="eastAsia"/>
                      <w:color w:val="auto"/>
                      <w:szCs w:val="21"/>
                    </w:rPr>
                    <w:t>2</w:t>
                  </w:r>
                </w:p>
              </w:tc>
            </w:tr>
          </w:tbl>
          <w:p>
            <w:pPr>
              <w:pStyle w:val="89"/>
              <w:jc w:val="left"/>
              <w:rPr>
                <w:rFonts w:eastAsia="宋体" w:cs="Times New Roman"/>
                <w:color w:val="auto"/>
                <w:spacing w:val="4"/>
                <w:sz w:val="24"/>
                <w:szCs w:val="20"/>
              </w:rPr>
            </w:pPr>
            <w:r>
              <w:rPr>
                <w:rFonts w:eastAsia="宋体" w:cs="Times New Roman"/>
                <w:color w:val="auto"/>
                <w:sz w:val="21"/>
              </w:rPr>
              <w:t>注：（1）数据来源于化学品MSDS以及GHS资料（2）危险性类别分类来自《危险货物品名录》GB12268-2012。</w:t>
            </w:r>
          </w:p>
        </w:tc>
      </w:tr>
    </w:tbl>
    <w:p>
      <w:pPr>
        <w:adjustRightInd w:val="0"/>
        <w:snapToGrid w:val="0"/>
        <w:spacing w:line="360" w:lineRule="auto"/>
        <w:rPr>
          <w:b/>
          <w:color w:val="auto"/>
          <w:kern w:val="0"/>
          <w:sz w:val="28"/>
          <w:szCs w:val="28"/>
        </w:rPr>
        <w:sectPr>
          <w:pgSz w:w="16838" w:h="11906" w:orient="landscape"/>
          <w:pgMar w:top="1531" w:right="1701" w:bottom="1531" w:left="2127" w:header="851" w:footer="851" w:gutter="0"/>
          <w:cols w:space="720" w:num="1"/>
          <w:docGrid w:linePitch="312" w:charSpace="0"/>
        </w:sectPr>
      </w:pPr>
    </w:p>
    <w:tbl>
      <w:tblPr>
        <w:tblStyle w:val="36"/>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96"/>
        <w:gridCol w:w="868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55" w:hRule="atLeast"/>
          <w:jc w:val="center"/>
        </w:trPr>
        <w:tc>
          <w:tcPr>
            <w:tcW w:w="296" w:type="dxa"/>
            <w:tcMar>
              <w:left w:w="28" w:type="dxa"/>
              <w:right w:w="28" w:type="dxa"/>
            </w:tcMar>
            <w:vAlign w:val="center"/>
          </w:tcPr>
          <w:p>
            <w:pPr>
              <w:spacing w:line="360" w:lineRule="auto"/>
              <w:jc w:val="center"/>
              <w:rPr>
                <w:b/>
                <w:bCs/>
                <w:color w:val="auto"/>
                <w:sz w:val="24"/>
                <w:szCs w:val="21"/>
              </w:rPr>
            </w:pPr>
            <w:r>
              <w:rPr>
                <w:b/>
                <w:bCs/>
                <w:color w:val="auto"/>
                <w:sz w:val="24"/>
                <w:szCs w:val="21"/>
              </w:rPr>
              <w:t>运</w:t>
            </w:r>
          </w:p>
          <w:p>
            <w:pPr>
              <w:spacing w:line="360" w:lineRule="auto"/>
              <w:jc w:val="center"/>
              <w:rPr>
                <w:b/>
                <w:bCs/>
                <w:color w:val="auto"/>
                <w:sz w:val="24"/>
                <w:szCs w:val="21"/>
              </w:rPr>
            </w:pPr>
            <w:r>
              <w:rPr>
                <w:b/>
                <w:bCs/>
                <w:color w:val="auto"/>
                <w:sz w:val="24"/>
                <w:szCs w:val="21"/>
              </w:rPr>
              <w:t>营</w:t>
            </w:r>
          </w:p>
          <w:p>
            <w:pPr>
              <w:spacing w:line="360" w:lineRule="auto"/>
              <w:jc w:val="center"/>
              <w:rPr>
                <w:b/>
                <w:bCs/>
                <w:color w:val="auto"/>
                <w:sz w:val="24"/>
                <w:szCs w:val="21"/>
              </w:rPr>
            </w:pPr>
            <w:r>
              <w:rPr>
                <w:b/>
                <w:bCs/>
                <w:color w:val="auto"/>
                <w:sz w:val="24"/>
                <w:szCs w:val="21"/>
              </w:rPr>
              <w:t>期</w:t>
            </w:r>
          </w:p>
          <w:p>
            <w:pPr>
              <w:spacing w:line="360" w:lineRule="auto"/>
              <w:jc w:val="center"/>
              <w:rPr>
                <w:b/>
                <w:bCs/>
                <w:color w:val="auto"/>
                <w:sz w:val="24"/>
                <w:szCs w:val="21"/>
              </w:rPr>
            </w:pPr>
            <w:r>
              <w:rPr>
                <w:b/>
                <w:bCs/>
                <w:color w:val="auto"/>
                <w:sz w:val="24"/>
                <w:szCs w:val="21"/>
              </w:rPr>
              <w:t>环</w:t>
            </w:r>
          </w:p>
          <w:p>
            <w:pPr>
              <w:spacing w:line="360" w:lineRule="auto"/>
              <w:jc w:val="center"/>
              <w:rPr>
                <w:b/>
                <w:bCs/>
                <w:color w:val="auto"/>
                <w:sz w:val="24"/>
                <w:szCs w:val="21"/>
              </w:rPr>
            </w:pPr>
            <w:r>
              <w:rPr>
                <w:b/>
                <w:bCs/>
                <w:color w:val="auto"/>
                <w:sz w:val="24"/>
                <w:szCs w:val="21"/>
              </w:rPr>
              <w:t>境</w:t>
            </w:r>
          </w:p>
          <w:p>
            <w:pPr>
              <w:spacing w:line="360" w:lineRule="auto"/>
              <w:jc w:val="center"/>
              <w:rPr>
                <w:b/>
                <w:bCs/>
                <w:color w:val="auto"/>
                <w:sz w:val="24"/>
                <w:szCs w:val="21"/>
              </w:rPr>
            </w:pPr>
            <w:r>
              <w:rPr>
                <w:b/>
                <w:bCs/>
                <w:color w:val="auto"/>
                <w:sz w:val="24"/>
                <w:szCs w:val="21"/>
              </w:rPr>
              <w:t>影</w:t>
            </w:r>
          </w:p>
          <w:p>
            <w:pPr>
              <w:spacing w:line="360" w:lineRule="auto"/>
              <w:jc w:val="center"/>
              <w:rPr>
                <w:b/>
                <w:bCs/>
                <w:color w:val="auto"/>
                <w:sz w:val="24"/>
                <w:szCs w:val="21"/>
              </w:rPr>
            </w:pPr>
            <w:r>
              <w:rPr>
                <w:b/>
                <w:bCs/>
                <w:color w:val="auto"/>
                <w:sz w:val="24"/>
                <w:szCs w:val="21"/>
              </w:rPr>
              <w:t>响</w:t>
            </w:r>
          </w:p>
          <w:p>
            <w:pPr>
              <w:spacing w:line="360" w:lineRule="auto"/>
              <w:jc w:val="center"/>
              <w:rPr>
                <w:b/>
                <w:bCs/>
                <w:color w:val="auto"/>
                <w:sz w:val="24"/>
                <w:szCs w:val="21"/>
              </w:rPr>
            </w:pPr>
            <w:r>
              <w:rPr>
                <w:b/>
                <w:bCs/>
                <w:color w:val="auto"/>
                <w:sz w:val="24"/>
                <w:szCs w:val="21"/>
              </w:rPr>
              <w:t>和</w:t>
            </w:r>
          </w:p>
          <w:p>
            <w:pPr>
              <w:spacing w:line="360" w:lineRule="auto"/>
              <w:jc w:val="center"/>
              <w:rPr>
                <w:b/>
                <w:bCs/>
                <w:color w:val="auto"/>
                <w:sz w:val="24"/>
                <w:szCs w:val="21"/>
              </w:rPr>
            </w:pPr>
            <w:r>
              <w:rPr>
                <w:b/>
                <w:bCs/>
                <w:color w:val="auto"/>
                <w:sz w:val="24"/>
                <w:szCs w:val="21"/>
              </w:rPr>
              <w:t>保</w:t>
            </w:r>
          </w:p>
          <w:p>
            <w:pPr>
              <w:spacing w:line="360" w:lineRule="auto"/>
              <w:jc w:val="center"/>
              <w:rPr>
                <w:b/>
                <w:bCs/>
                <w:color w:val="auto"/>
                <w:sz w:val="24"/>
                <w:szCs w:val="21"/>
              </w:rPr>
            </w:pPr>
            <w:r>
              <w:rPr>
                <w:b/>
                <w:bCs/>
                <w:color w:val="auto"/>
                <w:sz w:val="24"/>
                <w:szCs w:val="21"/>
              </w:rPr>
              <w:t>护</w:t>
            </w:r>
          </w:p>
          <w:p>
            <w:pPr>
              <w:spacing w:line="360" w:lineRule="auto"/>
              <w:jc w:val="center"/>
              <w:rPr>
                <w:b/>
                <w:bCs/>
                <w:color w:val="auto"/>
                <w:sz w:val="24"/>
                <w:szCs w:val="21"/>
              </w:rPr>
            </w:pPr>
            <w:r>
              <w:rPr>
                <w:b/>
                <w:bCs/>
                <w:color w:val="auto"/>
                <w:sz w:val="24"/>
                <w:szCs w:val="21"/>
              </w:rPr>
              <w:t>措</w:t>
            </w:r>
          </w:p>
          <w:p>
            <w:pPr>
              <w:spacing w:line="360" w:lineRule="auto"/>
              <w:jc w:val="center"/>
              <w:rPr>
                <w:bCs/>
                <w:color w:val="auto"/>
                <w:szCs w:val="21"/>
              </w:rPr>
            </w:pPr>
            <w:r>
              <w:rPr>
                <w:b/>
                <w:bCs/>
                <w:color w:val="auto"/>
                <w:sz w:val="24"/>
                <w:szCs w:val="21"/>
              </w:rPr>
              <w:t>施</w:t>
            </w:r>
          </w:p>
        </w:tc>
        <w:tc>
          <w:tcPr>
            <w:tcW w:w="8685" w:type="dxa"/>
            <w:vAlign w:val="center"/>
          </w:tcPr>
          <w:p>
            <w:pPr>
              <w:pStyle w:val="89"/>
              <w:rPr>
                <w:rFonts w:eastAsia="宋体" w:cs="Times New Roman"/>
                <w:b/>
                <w:bCs w:val="0"/>
                <w:color w:val="auto"/>
                <w:sz w:val="30"/>
                <w:szCs w:val="30"/>
              </w:rPr>
            </w:pPr>
            <w:r>
              <w:rPr>
                <w:rFonts w:hint="eastAsia" w:eastAsia="宋体" w:cs="Times New Roman"/>
                <w:b/>
                <w:bCs w:val="0"/>
                <w:color w:val="auto"/>
                <w:sz w:val="30"/>
                <w:szCs w:val="30"/>
              </w:rPr>
              <w:t>4.8环境监测制度</w:t>
            </w:r>
          </w:p>
          <w:p>
            <w:pPr>
              <w:pStyle w:val="97"/>
              <w:ind w:firstLine="480"/>
              <w:rPr>
                <w:color w:val="auto"/>
              </w:rPr>
            </w:pPr>
            <w:r>
              <w:rPr>
                <w:rFonts w:hint="eastAsia"/>
                <w:color w:val="auto"/>
              </w:rPr>
              <w:t>扩建项目不设置专门的环境监测机构，建设单位应该根据《排污单位自行监测技术指南-总则》（HJ819-2017）、《排污许可证申请与核发技术规范 印刷工业》（HJ1066-2019）等要求，对扩建项目运营期开展自行监测。环境监测工作拟由建设单位委托有资质的监测单位按已制定的环境监测计划进行监测。每次监测都应有完整地记录。监测数据应及时整理、统计，按时向管理部门、调度部门报告，做好监测资料的归档工作。本项目环境监测计划详见</w:t>
            </w:r>
            <w:r>
              <w:rPr>
                <w:rFonts w:hint="eastAsia"/>
                <w:b/>
                <w:bCs/>
                <w:color w:val="auto"/>
              </w:rPr>
              <w:t>表4.8-1</w:t>
            </w:r>
            <w:r>
              <w:rPr>
                <w:rFonts w:hint="eastAsia"/>
                <w:color w:val="auto"/>
              </w:rPr>
              <w:t>。</w:t>
            </w:r>
          </w:p>
          <w:p>
            <w:pPr>
              <w:pStyle w:val="136"/>
              <w:rPr>
                <w:rFonts w:eastAsia="宋体"/>
                <w:b/>
                <w:color w:val="auto"/>
                <w:lang w:val="en-US" w:bidi="ar-SA"/>
              </w:rPr>
            </w:pPr>
            <w:r>
              <w:rPr>
                <w:rFonts w:eastAsia="宋体"/>
                <w:b/>
                <w:color w:val="auto"/>
                <w:lang w:val="en-US" w:bidi="ar-SA"/>
              </w:rPr>
              <w:t>表</w:t>
            </w:r>
            <w:r>
              <w:rPr>
                <w:rFonts w:hint="eastAsia" w:eastAsia="宋体"/>
                <w:b/>
                <w:color w:val="auto"/>
                <w:lang w:val="en-US" w:bidi="ar-SA"/>
              </w:rPr>
              <w:t xml:space="preserve">4.8-1  </w:t>
            </w:r>
            <w:r>
              <w:rPr>
                <w:rFonts w:eastAsia="宋体"/>
                <w:b/>
                <w:color w:val="auto"/>
                <w:lang w:val="en-US" w:bidi="ar-SA"/>
              </w:rPr>
              <w:t>常规监测计划内容一览表</w:t>
            </w:r>
          </w:p>
          <w:tbl>
            <w:tblPr>
              <w:tblStyle w:val="179"/>
              <w:tblW w:w="8504" w:type="dxa"/>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255"/>
              <w:gridCol w:w="604"/>
              <w:gridCol w:w="4054"/>
              <w:gridCol w:w="1157"/>
              <w:gridCol w:w="2434"/>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55" w:type="dxa"/>
                  <w:vMerge w:val="restart"/>
                  <w:tcBorders>
                    <w:tl2br w:val="nil"/>
                    <w:tr2bl w:val="nil"/>
                  </w:tcBorders>
                  <w:vAlign w:val="center"/>
                </w:tcPr>
                <w:p>
                  <w:pPr>
                    <w:pStyle w:val="160"/>
                    <w:rPr>
                      <w:color w:val="auto"/>
                      <w:lang w:val="en-US"/>
                    </w:rPr>
                  </w:pPr>
                  <w:r>
                    <w:rPr>
                      <w:color w:val="auto"/>
                      <w:lang w:val="en-US"/>
                    </w:rPr>
                    <w:t>自行</w:t>
                  </w:r>
                </w:p>
                <w:p>
                  <w:pPr>
                    <w:pStyle w:val="160"/>
                    <w:rPr>
                      <w:color w:val="auto"/>
                      <w:lang w:val="en-US"/>
                    </w:rPr>
                  </w:pPr>
                  <w:r>
                    <w:rPr>
                      <w:color w:val="auto"/>
                      <w:lang w:val="en-US"/>
                    </w:rPr>
                    <w:t>监测</w:t>
                  </w:r>
                </w:p>
              </w:tc>
              <w:tc>
                <w:tcPr>
                  <w:tcW w:w="604" w:type="dxa"/>
                  <w:tcBorders>
                    <w:tl2br w:val="nil"/>
                    <w:tr2bl w:val="nil"/>
                  </w:tcBorders>
                  <w:vAlign w:val="center"/>
                </w:tcPr>
                <w:p>
                  <w:pPr>
                    <w:pStyle w:val="160"/>
                    <w:rPr>
                      <w:color w:val="auto"/>
                      <w:lang w:val="en-US"/>
                    </w:rPr>
                  </w:pPr>
                  <w:r>
                    <w:rPr>
                      <w:color w:val="auto"/>
                      <w:lang w:val="en-US"/>
                    </w:rPr>
                    <w:t>项目</w:t>
                  </w:r>
                </w:p>
              </w:tc>
              <w:tc>
                <w:tcPr>
                  <w:tcW w:w="4054" w:type="dxa"/>
                  <w:tcBorders>
                    <w:tl2br w:val="nil"/>
                    <w:tr2bl w:val="nil"/>
                  </w:tcBorders>
                  <w:vAlign w:val="center"/>
                </w:tcPr>
                <w:p>
                  <w:pPr>
                    <w:pStyle w:val="160"/>
                    <w:rPr>
                      <w:color w:val="auto"/>
                      <w:lang w:val="en-US"/>
                    </w:rPr>
                  </w:pPr>
                  <w:r>
                    <w:rPr>
                      <w:color w:val="auto"/>
                      <w:lang w:val="en-US"/>
                    </w:rPr>
                    <w:t>监测内容</w:t>
                  </w:r>
                </w:p>
              </w:tc>
              <w:tc>
                <w:tcPr>
                  <w:tcW w:w="1157" w:type="dxa"/>
                  <w:tcBorders>
                    <w:tl2br w:val="nil"/>
                    <w:tr2bl w:val="nil"/>
                  </w:tcBorders>
                  <w:vAlign w:val="center"/>
                </w:tcPr>
                <w:p>
                  <w:pPr>
                    <w:pStyle w:val="160"/>
                    <w:rPr>
                      <w:color w:val="auto"/>
                      <w:lang w:val="en-US"/>
                    </w:rPr>
                  </w:pPr>
                  <w:r>
                    <w:rPr>
                      <w:color w:val="auto"/>
                      <w:lang w:val="en-US"/>
                    </w:rPr>
                    <w:t>监测频次</w:t>
                  </w:r>
                </w:p>
              </w:tc>
              <w:tc>
                <w:tcPr>
                  <w:tcW w:w="2434" w:type="dxa"/>
                  <w:tcBorders>
                    <w:tl2br w:val="nil"/>
                    <w:tr2bl w:val="nil"/>
                  </w:tcBorders>
                  <w:vAlign w:val="center"/>
                </w:tcPr>
                <w:p>
                  <w:pPr>
                    <w:pStyle w:val="160"/>
                    <w:rPr>
                      <w:color w:val="auto"/>
                      <w:lang w:val="en-US"/>
                    </w:rPr>
                  </w:pPr>
                  <w:r>
                    <w:rPr>
                      <w:color w:val="auto"/>
                      <w:lang w:val="en-US"/>
                    </w:rPr>
                    <w:t>监测点位</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55" w:type="dxa"/>
                  <w:vMerge w:val="continue"/>
                  <w:tcBorders>
                    <w:tl2br w:val="nil"/>
                    <w:tr2bl w:val="nil"/>
                  </w:tcBorders>
                  <w:vAlign w:val="center"/>
                </w:tcPr>
                <w:p>
                  <w:pPr>
                    <w:pStyle w:val="160"/>
                    <w:rPr>
                      <w:color w:val="auto"/>
                      <w:lang w:val="en-US"/>
                    </w:rPr>
                  </w:pPr>
                </w:p>
              </w:tc>
              <w:tc>
                <w:tcPr>
                  <w:tcW w:w="604"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废水</w:t>
                  </w:r>
                </w:p>
              </w:tc>
              <w:tc>
                <w:tcPr>
                  <w:tcW w:w="4054"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pH、COD</w:t>
                  </w:r>
                  <w:r>
                    <w:rPr>
                      <w:rFonts w:hint="eastAsia"/>
                      <w:color w:val="auto"/>
                      <w:lang w:val="en-US"/>
                    </w:rPr>
                    <w:t>cr</w:t>
                  </w:r>
                  <w:r>
                    <w:rPr>
                      <w:color w:val="auto"/>
                      <w:lang w:val="en-US"/>
                    </w:rPr>
                    <w:t>、BOD</w:t>
                  </w:r>
                  <w:r>
                    <w:rPr>
                      <w:color w:val="auto"/>
                      <w:vertAlign w:val="subscript"/>
                      <w:lang w:val="en-US"/>
                    </w:rPr>
                    <w:t>5</w:t>
                  </w:r>
                  <w:r>
                    <w:rPr>
                      <w:color w:val="auto"/>
                      <w:lang w:val="en-US"/>
                    </w:rPr>
                    <w:t>、SS、NH</w:t>
                  </w:r>
                  <w:r>
                    <w:rPr>
                      <w:color w:val="auto"/>
                      <w:vertAlign w:val="subscript"/>
                      <w:lang w:val="en-US"/>
                    </w:rPr>
                    <w:t>3</w:t>
                  </w:r>
                  <w:r>
                    <w:rPr>
                      <w:color w:val="auto"/>
                      <w:lang w:val="en-US"/>
                    </w:rPr>
                    <w:t>-N</w:t>
                  </w:r>
                </w:p>
              </w:tc>
              <w:tc>
                <w:tcPr>
                  <w:tcW w:w="1157"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每年一次</w:t>
                  </w:r>
                </w:p>
              </w:tc>
              <w:tc>
                <w:tcPr>
                  <w:tcW w:w="2434" w:type="dxa"/>
                  <w:tcBorders>
                    <w:tl2br w:val="nil"/>
                    <w:tr2bl w:val="nil"/>
                  </w:tcBorders>
                  <w:shd w:val="clear" w:color="auto" w:fill="auto"/>
                  <w:vAlign w:val="center"/>
                </w:tcPr>
                <w:p>
                  <w:pPr>
                    <w:pStyle w:val="160"/>
                    <w:rPr>
                      <w:rFonts w:hint="eastAsia" w:ascii="Times New Roman" w:hAnsi="Times New Roman" w:eastAsia="宋体" w:cs="Times New Roman"/>
                      <w:color w:val="auto"/>
                      <w:kern w:val="2"/>
                      <w:sz w:val="21"/>
                      <w:szCs w:val="21"/>
                      <w:lang w:val="en-US" w:eastAsia="zh-CN" w:bidi="ar-SA"/>
                    </w:rPr>
                  </w:pPr>
                  <w:r>
                    <w:rPr>
                      <w:color w:val="auto"/>
                      <w:lang w:val="en-US"/>
                    </w:rPr>
                    <w:t>生活污水排放口</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55" w:type="dxa"/>
                  <w:vMerge w:val="continue"/>
                  <w:tcBorders>
                    <w:tl2br w:val="nil"/>
                    <w:tr2bl w:val="nil"/>
                  </w:tcBorders>
                  <w:vAlign w:val="center"/>
                </w:tcPr>
                <w:p>
                  <w:pPr>
                    <w:pStyle w:val="160"/>
                    <w:rPr>
                      <w:color w:val="auto"/>
                      <w:lang w:val="en-US"/>
                    </w:rPr>
                  </w:pPr>
                </w:p>
              </w:tc>
              <w:tc>
                <w:tcPr>
                  <w:tcW w:w="604" w:type="dxa"/>
                  <w:vMerge w:val="restart"/>
                  <w:tcBorders>
                    <w:tl2br w:val="nil"/>
                    <w:tr2bl w:val="nil"/>
                  </w:tcBorders>
                  <w:shd w:val="clear" w:color="auto" w:fill="auto"/>
                  <w:vAlign w:val="center"/>
                </w:tcPr>
                <w:p>
                  <w:pPr>
                    <w:pStyle w:val="160"/>
                    <w:rPr>
                      <w:color w:val="auto"/>
                      <w:lang w:val="en-US"/>
                    </w:rPr>
                  </w:pPr>
                  <w:r>
                    <w:rPr>
                      <w:color w:val="auto"/>
                      <w:lang w:val="en-US"/>
                    </w:rPr>
                    <w:t>废气</w:t>
                  </w:r>
                </w:p>
              </w:tc>
              <w:tc>
                <w:tcPr>
                  <w:tcW w:w="4054"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非甲烷总烃</w:t>
                  </w:r>
                </w:p>
              </w:tc>
              <w:tc>
                <w:tcPr>
                  <w:tcW w:w="1157"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每年一次</w:t>
                  </w:r>
                </w:p>
              </w:tc>
              <w:tc>
                <w:tcPr>
                  <w:tcW w:w="2434"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rFonts w:hint="eastAsia"/>
                      <w:color w:val="auto"/>
                      <w:lang w:val="en-US"/>
                    </w:rPr>
                    <w:t>车间内无组织</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55" w:type="dxa"/>
                  <w:vMerge w:val="continue"/>
                  <w:tcBorders>
                    <w:tl2br w:val="nil"/>
                    <w:tr2bl w:val="nil"/>
                  </w:tcBorders>
                  <w:vAlign w:val="center"/>
                </w:tcPr>
                <w:p>
                  <w:pPr>
                    <w:pStyle w:val="160"/>
                    <w:rPr>
                      <w:color w:val="auto"/>
                      <w:lang w:val="en-US"/>
                    </w:rPr>
                  </w:pPr>
                </w:p>
              </w:tc>
              <w:tc>
                <w:tcPr>
                  <w:tcW w:w="604" w:type="dxa"/>
                  <w:vMerge w:val="continue"/>
                  <w:tcBorders>
                    <w:tl2br w:val="nil"/>
                    <w:tr2bl w:val="nil"/>
                  </w:tcBorders>
                  <w:vAlign w:val="center"/>
                </w:tcPr>
                <w:p>
                  <w:pPr>
                    <w:pStyle w:val="160"/>
                    <w:rPr>
                      <w:color w:val="auto"/>
                      <w:lang w:val="en-US"/>
                    </w:rPr>
                  </w:pPr>
                </w:p>
              </w:tc>
              <w:tc>
                <w:tcPr>
                  <w:tcW w:w="4054"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非甲烷总烃</w:t>
                  </w:r>
                </w:p>
              </w:tc>
              <w:tc>
                <w:tcPr>
                  <w:tcW w:w="1157"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每年一次</w:t>
                  </w:r>
                </w:p>
              </w:tc>
              <w:tc>
                <w:tcPr>
                  <w:tcW w:w="2434"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厂界上</w:t>
                  </w:r>
                  <w:r>
                    <w:rPr>
                      <w:rFonts w:hint="eastAsia"/>
                      <w:color w:val="auto"/>
                      <w:lang w:val="en-US"/>
                    </w:rPr>
                    <w:t>风向1个点位、</w:t>
                  </w:r>
                  <w:r>
                    <w:rPr>
                      <w:color w:val="auto"/>
                      <w:lang w:val="en-US"/>
                    </w:rPr>
                    <w:t>下风向</w:t>
                  </w:r>
                  <w:r>
                    <w:rPr>
                      <w:rFonts w:hint="eastAsia"/>
                      <w:color w:val="auto"/>
                      <w:lang w:val="en-US"/>
                    </w:rPr>
                    <w:t>3个点位</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55" w:type="dxa"/>
                  <w:vMerge w:val="continue"/>
                  <w:tcBorders>
                    <w:tl2br w:val="nil"/>
                    <w:tr2bl w:val="nil"/>
                  </w:tcBorders>
                  <w:vAlign w:val="center"/>
                </w:tcPr>
                <w:p>
                  <w:pPr>
                    <w:pStyle w:val="160"/>
                    <w:rPr>
                      <w:color w:val="auto"/>
                      <w:lang w:val="en-US"/>
                    </w:rPr>
                  </w:pPr>
                </w:p>
              </w:tc>
              <w:tc>
                <w:tcPr>
                  <w:tcW w:w="604" w:type="dxa"/>
                  <w:vMerge w:val="continue"/>
                  <w:tcBorders>
                    <w:tl2br w:val="nil"/>
                    <w:tr2bl w:val="nil"/>
                  </w:tcBorders>
                  <w:vAlign w:val="center"/>
                </w:tcPr>
                <w:p>
                  <w:pPr>
                    <w:pStyle w:val="160"/>
                    <w:rPr>
                      <w:color w:val="auto"/>
                      <w:lang w:val="en-US"/>
                    </w:rPr>
                  </w:pPr>
                </w:p>
              </w:tc>
              <w:tc>
                <w:tcPr>
                  <w:tcW w:w="4054"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非甲烷总烃</w:t>
                  </w:r>
                </w:p>
              </w:tc>
              <w:tc>
                <w:tcPr>
                  <w:tcW w:w="1157"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每年一次</w:t>
                  </w:r>
                </w:p>
              </w:tc>
              <w:tc>
                <w:tcPr>
                  <w:tcW w:w="2434" w:type="dxa"/>
                  <w:tcBorders>
                    <w:tl2br w:val="nil"/>
                    <w:tr2bl w:val="nil"/>
                  </w:tcBorders>
                  <w:shd w:val="clear" w:color="auto" w:fill="auto"/>
                  <w:vAlign w:val="center"/>
                </w:tcPr>
                <w:p>
                  <w:pPr>
                    <w:pStyle w:val="160"/>
                    <w:rPr>
                      <w:rFonts w:ascii="Times New Roman" w:hAnsi="Times New Roman" w:eastAsia="宋体" w:cs="Times New Roman"/>
                      <w:color w:val="auto"/>
                      <w:kern w:val="2"/>
                      <w:sz w:val="21"/>
                      <w:szCs w:val="21"/>
                      <w:lang w:val="en-US" w:eastAsia="zh-CN" w:bidi="ar-SA"/>
                    </w:rPr>
                  </w:pPr>
                  <w:r>
                    <w:rPr>
                      <w:color w:val="auto"/>
                      <w:lang w:val="en-US"/>
                    </w:rPr>
                    <w:t>DA00</w:t>
                  </w:r>
                  <w:r>
                    <w:rPr>
                      <w:rFonts w:hint="eastAsia"/>
                      <w:color w:val="auto"/>
                      <w:lang w:val="en-US"/>
                    </w:rPr>
                    <w:t>1</w:t>
                  </w:r>
                  <w:r>
                    <w:rPr>
                      <w:color w:val="auto"/>
                      <w:lang w:val="en-US"/>
                    </w:rPr>
                    <w:t>（有机废气排气筒）</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255" w:type="dxa"/>
                  <w:vMerge w:val="continue"/>
                  <w:tcBorders>
                    <w:tl2br w:val="nil"/>
                    <w:tr2bl w:val="nil"/>
                  </w:tcBorders>
                  <w:vAlign w:val="center"/>
                </w:tcPr>
                <w:p>
                  <w:pPr>
                    <w:pStyle w:val="160"/>
                    <w:rPr>
                      <w:color w:val="auto"/>
                      <w:lang w:val="en-US"/>
                    </w:rPr>
                  </w:pPr>
                </w:p>
              </w:tc>
              <w:tc>
                <w:tcPr>
                  <w:tcW w:w="604" w:type="dxa"/>
                  <w:tcBorders>
                    <w:tl2br w:val="nil"/>
                    <w:tr2bl w:val="nil"/>
                  </w:tcBorders>
                  <w:vAlign w:val="center"/>
                </w:tcPr>
                <w:p>
                  <w:pPr>
                    <w:pStyle w:val="160"/>
                    <w:rPr>
                      <w:color w:val="auto"/>
                      <w:lang w:val="en-US"/>
                    </w:rPr>
                  </w:pPr>
                  <w:r>
                    <w:rPr>
                      <w:color w:val="auto"/>
                      <w:lang w:val="en-US"/>
                    </w:rPr>
                    <w:t>噪声</w:t>
                  </w:r>
                </w:p>
              </w:tc>
              <w:tc>
                <w:tcPr>
                  <w:tcW w:w="4054" w:type="dxa"/>
                  <w:tcBorders>
                    <w:tl2br w:val="nil"/>
                    <w:tr2bl w:val="nil"/>
                  </w:tcBorders>
                  <w:vAlign w:val="center"/>
                </w:tcPr>
                <w:p>
                  <w:pPr>
                    <w:pStyle w:val="160"/>
                    <w:rPr>
                      <w:color w:val="auto"/>
                      <w:lang w:val="en-US"/>
                    </w:rPr>
                  </w:pPr>
                  <w:r>
                    <w:rPr>
                      <w:color w:val="auto"/>
                      <w:lang w:val="en-US"/>
                    </w:rPr>
                    <w:t>昼</w:t>
                  </w:r>
                  <w:r>
                    <w:rPr>
                      <w:rFonts w:hint="eastAsia"/>
                      <w:color w:val="auto"/>
                      <w:lang w:val="en-US"/>
                    </w:rPr>
                    <w:t>、</w:t>
                  </w:r>
                  <w:r>
                    <w:rPr>
                      <w:color w:val="auto"/>
                      <w:lang w:val="en-US"/>
                    </w:rPr>
                    <w:t>夜等效连续A声级</w:t>
                  </w:r>
                </w:p>
              </w:tc>
              <w:tc>
                <w:tcPr>
                  <w:tcW w:w="1157" w:type="dxa"/>
                  <w:tcBorders>
                    <w:tl2br w:val="nil"/>
                    <w:tr2bl w:val="nil"/>
                  </w:tcBorders>
                  <w:vAlign w:val="center"/>
                </w:tcPr>
                <w:p>
                  <w:pPr>
                    <w:pStyle w:val="160"/>
                    <w:rPr>
                      <w:color w:val="auto"/>
                      <w:lang w:val="en-US"/>
                    </w:rPr>
                  </w:pPr>
                  <w:r>
                    <w:rPr>
                      <w:color w:val="auto"/>
                      <w:lang w:val="en-US"/>
                    </w:rPr>
                    <w:t>每季度一次</w:t>
                  </w:r>
                </w:p>
              </w:tc>
              <w:tc>
                <w:tcPr>
                  <w:tcW w:w="2434" w:type="dxa"/>
                  <w:tcBorders>
                    <w:tl2br w:val="nil"/>
                    <w:tr2bl w:val="nil"/>
                  </w:tcBorders>
                  <w:vAlign w:val="center"/>
                </w:tcPr>
                <w:p>
                  <w:pPr>
                    <w:pStyle w:val="160"/>
                    <w:rPr>
                      <w:color w:val="auto"/>
                      <w:lang w:val="en-US"/>
                    </w:rPr>
                  </w:pPr>
                  <w:r>
                    <w:rPr>
                      <w:rFonts w:hint="eastAsia"/>
                      <w:color w:val="auto"/>
                      <w:lang w:val="en-US"/>
                    </w:rPr>
                    <w:t>东北侧、东南侧、西南侧、西北侧</w:t>
                  </w:r>
                  <w:r>
                    <w:rPr>
                      <w:color w:val="auto"/>
                      <w:lang w:val="en-US"/>
                    </w:rPr>
                    <w:t>厂界各设一个监测点位</w:t>
                  </w:r>
                </w:p>
              </w:tc>
            </w:tr>
          </w:tbl>
          <w:p>
            <w:pPr>
              <w:pStyle w:val="89"/>
              <w:rPr>
                <w:rFonts w:eastAsia="宋体" w:cs="Times New Roman"/>
                <w:b/>
                <w:bCs w:val="0"/>
                <w:color w:val="auto"/>
                <w:sz w:val="30"/>
                <w:szCs w:val="30"/>
              </w:rPr>
            </w:pPr>
            <w:r>
              <w:rPr>
                <w:rFonts w:hint="eastAsia" w:eastAsia="宋体" w:cs="Times New Roman"/>
                <w:b/>
                <w:bCs w:val="0"/>
                <w:color w:val="auto"/>
                <w:sz w:val="30"/>
                <w:szCs w:val="30"/>
              </w:rPr>
              <w:t>4.9排污许可制度及排污口规范化</w:t>
            </w:r>
          </w:p>
          <w:p>
            <w:pPr>
              <w:pStyle w:val="89"/>
              <w:ind w:firstLine="496" w:firstLineChars="200"/>
              <w:rPr>
                <w:rFonts w:eastAsia="宋体" w:cs="Times New Roman"/>
                <w:color w:val="auto"/>
                <w:spacing w:val="4"/>
                <w:sz w:val="24"/>
                <w:szCs w:val="20"/>
              </w:rPr>
            </w:pPr>
            <w:r>
              <w:rPr>
                <w:rFonts w:hint="eastAsia" w:eastAsia="宋体" w:cs="Times New Roman"/>
                <w:color w:val="auto"/>
                <w:spacing w:val="4"/>
                <w:sz w:val="24"/>
                <w:szCs w:val="20"/>
              </w:rPr>
              <w:t>（1）排污许可</w:t>
            </w:r>
          </w:p>
          <w:p>
            <w:pPr>
              <w:pStyle w:val="89"/>
              <w:ind w:firstLine="496" w:firstLineChars="200"/>
              <w:rPr>
                <w:rFonts w:eastAsia="宋体" w:cs="Times New Roman"/>
                <w:color w:val="auto"/>
                <w:sz w:val="24"/>
                <w:szCs w:val="20"/>
              </w:rPr>
            </w:pPr>
            <w:r>
              <w:rPr>
                <w:rFonts w:eastAsia="宋体" w:cs="Times New Roman"/>
                <w:color w:val="auto"/>
                <w:spacing w:val="4"/>
                <w:sz w:val="24"/>
                <w:szCs w:val="20"/>
              </w:rPr>
              <w:t>根据《固定污染源排污许可分类管理名录</w:t>
            </w:r>
            <w:r>
              <w:rPr>
                <w:rFonts w:hint="eastAsia" w:eastAsia="宋体" w:cs="Times New Roman"/>
                <w:color w:val="auto"/>
                <w:spacing w:val="4"/>
                <w:sz w:val="24"/>
                <w:szCs w:val="20"/>
              </w:rPr>
              <w:t>（</w:t>
            </w:r>
            <w:r>
              <w:rPr>
                <w:rFonts w:eastAsia="宋体" w:cs="Times New Roman"/>
                <w:color w:val="auto"/>
                <w:spacing w:val="4"/>
                <w:sz w:val="24"/>
                <w:szCs w:val="20"/>
              </w:rPr>
              <w:t>2019年版</w:t>
            </w:r>
            <w:r>
              <w:rPr>
                <w:rFonts w:hint="eastAsia" w:eastAsia="宋体" w:cs="Times New Roman"/>
                <w:color w:val="auto"/>
                <w:spacing w:val="4"/>
                <w:sz w:val="24"/>
                <w:szCs w:val="20"/>
              </w:rPr>
              <w:t>）</w:t>
            </w:r>
            <w:r>
              <w:rPr>
                <w:rFonts w:eastAsia="宋体" w:cs="Times New Roman"/>
                <w:color w:val="auto"/>
                <w:spacing w:val="4"/>
                <w:sz w:val="24"/>
                <w:szCs w:val="20"/>
              </w:rPr>
              <w:t>》</w:t>
            </w:r>
            <w:r>
              <w:rPr>
                <w:rFonts w:hint="eastAsia" w:eastAsia="宋体" w:cs="Times New Roman"/>
                <w:color w:val="auto"/>
                <w:spacing w:val="4"/>
                <w:sz w:val="24"/>
                <w:szCs w:val="20"/>
              </w:rPr>
              <w:t>（</w:t>
            </w:r>
            <w:r>
              <w:rPr>
                <w:rFonts w:eastAsia="宋体" w:cs="Times New Roman"/>
                <w:color w:val="auto"/>
                <w:spacing w:val="4"/>
                <w:sz w:val="24"/>
                <w:szCs w:val="20"/>
              </w:rPr>
              <w:t>生态环境部第11</w:t>
            </w:r>
            <w:r>
              <w:rPr>
                <w:rFonts w:eastAsia="宋体" w:cs="Times New Roman"/>
                <w:color w:val="auto"/>
                <w:spacing w:val="2"/>
                <w:sz w:val="24"/>
                <w:szCs w:val="20"/>
              </w:rPr>
              <w:t>号</w:t>
            </w:r>
            <w:r>
              <w:rPr>
                <w:rFonts w:hint="eastAsia" w:eastAsia="宋体" w:cs="Times New Roman"/>
                <w:color w:val="auto"/>
                <w:spacing w:val="2"/>
                <w:sz w:val="24"/>
                <w:szCs w:val="20"/>
              </w:rPr>
              <w:t>）</w:t>
            </w:r>
            <w:r>
              <w:rPr>
                <w:rFonts w:eastAsia="宋体" w:cs="Times New Roman"/>
                <w:color w:val="auto"/>
                <w:spacing w:val="2"/>
                <w:sz w:val="24"/>
                <w:szCs w:val="20"/>
              </w:rPr>
              <w:t>可知，</w:t>
            </w:r>
            <w:r>
              <w:rPr>
                <w:rFonts w:hint="eastAsia" w:eastAsia="宋体" w:cs="Times New Roman"/>
                <w:color w:val="auto"/>
                <w:spacing w:val="2"/>
                <w:sz w:val="24"/>
                <w:szCs w:val="20"/>
              </w:rPr>
              <w:t>扩建</w:t>
            </w:r>
            <w:r>
              <w:rPr>
                <w:rFonts w:eastAsia="宋体" w:cs="Times New Roman"/>
                <w:color w:val="auto"/>
                <w:spacing w:val="2"/>
                <w:sz w:val="24"/>
                <w:szCs w:val="20"/>
              </w:rPr>
              <w:t>项目</w:t>
            </w:r>
            <w:r>
              <w:rPr>
                <w:rFonts w:hint="eastAsia" w:eastAsia="宋体" w:cs="Times New Roman"/>
                <w:color w:val="auto"/>
                <w:spacing w:val="2"/>
                <w:sz w:val="24"/>
                <w:szCs w:val="20"/>
              </w:rPr>
              <w:t>排污实行登记管理。</w:t>
            </w:r>
            <w:r>
              <w:rPr>
                <w:rFonts w:eastAsia="宋体" w:cs="Times New Roman"/>
                <w:color w:val="auto"/>
                <w:spacing w:val="2"/>
                <w:sz w:val="24"/>
                <w:szCs w:val="20"/>
              </w:rPr>
              <w:t>建设单位应在全国排污</w:t>
            </w:r>
            <w:r>
              <w:rPr>
                <w:rFonts w:eastAsia="宋体" w:cs="Times New Roman"/>
                <w:color w:val="auto"/>
                <w:spacing w:val="1"/>
                <w:sz w:val="24"/>
                <w:szCs w:val="20"/>
              </w:rPr>
              <w:t>许可证管理</w:t>
            </w:r>
            <w:r>
              <w:rPr>
                <w:rFonts w:eastAsia="宋体" w:cs="Times New Roman"/>
                <w:color w:val="auto"/>
                <w:spacing w:val="-3"/>
                <w:sz w:val="24"/>
                <w:szCs w:val="20"/>
              </w:rPr>
              <w:t>信息平台登记基本信息、污染物排放去向、执行的污染物排放标准以及采取的</w:t>
            </w:r>
            <w:r>
              <w:rPr>
                <w:rFonts w:eastAsia="宋体" w:cs="Times New Roman"/>
                <w:color w:val="auto"/>
                <w:spacing w:val="-2"/>
                <w:sz w:val="24"/>
                <w:szCs w:val="20"/>
              </w:rPr>
              <w:t>污染防治措施等信息。</w:t>
            </w:r>
          </w:p>
          <w:p>
            <w:pPr>
              <w:pStyle w:val="159"/>
              <w:spacing w:before="180" w:line="212" w:lineRule="auto"/>
              <w:ind w:left="1628"/>
              <w:rPr>
                <w:rFonts w:ascii="Times New Roman" w:hAnsi="Times New Roman" w:cs="Times New Roman"/>
                <w:b/>
                <w:color w:val="auto"/>
                <w:lang w:eastAsia="zh-CN"/>
              </w:rPr>
            </w:pPr>
            <w:r>
              <w:rPr>
                <w:rFonts w:ascii="Times New Roman" w:hAnsi="Times New Roman" w:cs="Times New Roman"/>
                <w:b/>
                <w:color w:val="auto"/>
                <w:lang w:eastAsia="zh-CN"/>
              </w:rPr>
              <w:t>表4</w:t>
            </w:r>
            <w:r>
              <w:rPr>
                <w:rFonts w:hint="eastAsia" w:ascii="Times New Roman" w:hAnsi="Times New Roman" w:cs="Times New Roman"/>
                <w:b/>
                <w:color w:val="auto"/>
                <w:lang w:eastAsia="zh-CN"/>
              </w:rPr>
              <w:t xml:space="preserve">.9-1  </w:t>
            </w:r>
            <w:r>
              <w:rPr>
                <w:rFonts w:ascii="Times New Roman" w:hAnsi="Times New Roman" w:cs="Times New Roman"/>
                <w:b/>
                <w:color w:val="auto"/>
                <w:lang w:eastAsia="zh-CN"/>
              </w:rPr>
              <w:t>固定污染源排污许可分类管理名录</w:t>
            </w:r>
            <w:r>
              <w:rPr>
                <w:rFonts w:hint="eastAsia" w:ascii="Times New Roman" w:hAnsi="Times New Roman" w:cs="Times New Roman"/>
                <w:b/>
                <w:color w:val="auto"/>
                <w:lang w:eastAsia="zh-CN"/>
              </w:rPr>
              <w:t>（</w:t>
            </w:r>
            <w:r>
              <w:rPr>
                <w:rFonts w:ascii="Times New Roman" w:hAnsi="Times New Roman" w:cs="Times New Roman"/>
                <w:b/>
                <w:color w:val="auto"/>
                <w:lang w:eastAsia="zh-CN"/>
              </w:rPr>
              <w:t>摘录</w:t>
            </w:r>
            <w:r>
              <w:rPr>
                <w:rFonts w:hint="eastAsia" w:ascii="Times New Roman" w:hAnsi="Times New Roman" w:cs="Times New Roman"/>
                <w:b/>
                <w:color w:val="auto"/>
                <w:lang w:eastAsia="zh-CN"/>
              </w:rPr>
              <w:t>）</w:t>
            </w:r>
          </w:p>
          <w:p>
            <w:pPr>
              <w:spacing w:line="26" w:lineRule="auto"/>
              <w:rPr>
                <w:rFonts w:ascii="Arial"/>
                <w:color w:val="auto"/>
                <w:sz w:val="2"/>
              </w:rPr>
            </w:pPr>
          </w:p>
          <w:tbl>
            <w:tblPr>
              <w:tblStyle w:val="179"/>
              <w:tblW w:w="8504" w:type="dxa"/>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506"/>
              <w:gridCol w:w="1116"/>
              <w:gridCol w:w="2546"/>
              <w:gridCol w:w="3077"/>
              <w:gridCol w:w="1259"/>
            </w:tblGrid>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06" w:type="dxa"/>
                  <w:tcBorders>
                    <w:tl2br w:val="nil"/>
                    <w:tr2bl w:val="nil"/>
                  </w:tcBorders>
                  <w:vAlign w:val="center"/>
                </w:tcPr>
                <w:p>
                  <w:pPr>
                    <w:pStyle w:val="160"/>
                    <w:rPr>
                      <w:color w:val="auto"/>
                      <w:lang w:val="en-US"/>
                    </w:rPr>
                  </w:pPr>
                  <w:r>
                    <w:rPr>
                      <w:color w:val="auto"/>
                      <w:lang w:val="en-US"/>
                    </w:rPr>
                    <w:t>序号</w:t>
                  </w:r>
                </w:p>
              </w:tc>
              <w:tc>
                <w:tcPr>
                  <w:tcW w:w="1116" w:type="dxa"/>
                  <w:tcBorders>
                    <w:tl2br w:val="nil"/>
                    <w:tr2bl w:val="nil"/>
                  </w:tcBorders>
                  <w:vAlign w:val="center"/>
                </w:tcPr>
                <w:p>
                  <w:pPr>
                    <w:pStyle w:val="160"/>
                    <w:rPr>
                      <w:color w:val="auto"/>
                      <w:lang w:val="en-US"/>
                    </w:rPr>
                  </w:pPr>
                  <w:r>
                    <w:rPr>
                      <w:color w:val="auto"/>
                      <w:lang w:val="en-US"/>
                    </w:rPr>
                    <w:t>行业类别</w:t>
                  </w:r>
                </w:p>
              </w:tc>
              <w:tc>
                <w:tcPr>
                  <w:tcW w:w="2546" w:type="dxa"/>
                  <w:tcBorders>
                    <w:tl2br w:val="nil"/>
                    <w:tr2bl w:val="nil"/>
                  </w:tcBorders>
                  <w:vAlign w:val="center"/>
                </w:tcPr>
                <w:p>
                  <w:pPr>
                    <w:pStyle w:val="160"/>
                    <w:rPr>
                      <w:color w:val="auto"/>
                      <w:lang w:val="en-US"/>
                    </w:rPr>
                  </w:pPr>
                  <w:r>
                    <w:rPr>
                      <w:color w:val="auto"/>
                      <w:lang w:val="en-US"/>
                    </w:rPr>
                    <w:t>重点管理</w:t>
                  </w:r>
                </w:p>
              </w:tc>
              <w:tc>
                <w:tcPr>
                  <w:tcW w:w="3077" w:type="dxa"/>
                  <w:tcBorders>
                    <w:tl2br w:val="nil"/>
                    <w:tr2bl w:val="nil"/>
                  </w:tcBorders>
                  <w:vAlign w:val="center"/>
                </w:tcPr>
                <w:p>
                  <w:pPr>
                    <w:pStyle w:val="160"/>
                    <w:rPr>
                      <w:color w:val="auto"/>
                      <w:lang w:val="en-US"/>
                    </w:rPr>
                  </w:pPr>
                  <w:r>
                    <w:rPr>
                      <w:color w:val="auto"/>
                      <w:lang w:val="en-US"/>
                    </w:rPr>
                    <w:t>简化管理</w:t>
                  </w:r>
                </w:p>
              </w:tc>
              <w:tc>
                <w:tcPr>
                  <w:tcW w:w="1259" w:type="dxa"/>
                  <w:tcBorders>
                    <w:tl2br w:val="nil"/>
                    <w:tr2bl w:val="nil"/>
                  </w:tcBorders>
                  <w:vAlign w:val="center"/>
                </w:tcPr>
                <w:p>
                  <w:pPr>
                    <w:pStyle w:val="160"/>
                    <w:rPr>
                      <w:color w:val="auto"/>
                      <w:lang w:val="en-US"/>
                    </w:rPr>
                  </w:pPr>
                  <w:r>
                    <w:rPr>
                      <w:color w:val="auto"/>
                      <w:lang w:val="en-US"/>
                    </w:rPr>
                    <w:t>登记管理</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8504" w:type="dxa"/>
                  <w:gridSpan w:val="5"/>
                  <w:tcBorders>
                    <w:tl2br w:val="nil"/>
                    <w:tr2bl w:val="nil"/>
                  </w:tcBorders>
                  <w:vAlign w:val="center"/>
                </w:tcPr>
                <w:p>
                  <w:pPr>
                    <w:pStyle w:val="160"/>
                    <w:rPr>
                      <w:color w:val="auto"/>
                      <w:lang w:val="en-US"/>
                    </w:rPr>
                  </w:pPr>
                  <w:r>
                    <w:rPr>
                      <w:color w:val="auto"/>
                      <w:lang w:val="en-US"/>
                    </w:rPr>
                    <w:t>十</w:t>
                  </w:r>
                  <w:r>
                    <w:rPr>
                      <w:rFonts w:hint="eastAsia"/>
                      <w:color w:val="auto"/>
                      <w:lang w:val="en-US"/>
                    </w:rPr>
                    <w:t>八</w:t>
                  </w:r>
                  <w:r>
                    <w:rPr>
                      <w:color w:val="auto"/>
                      <w:lang w:val="en-US"/>
                    </w:rPr>
                    <w:t>、</w:t>
                  </w:r>
                  <w:r>
                    <w:rPr>
                      <w:rFonts w:hint="eastAsia"/>
                      <w:color w:val="auto"/>
                      <w:lang w:val="en-US"/>
                    </w:rPr>
                    <w:t>印刷和记录媒介复制业23</w:t>
                  </w:r>
                </w:p>
              </w:tc>
            </w:tr>
            <w:tr>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40" w:hRule="atLeast"/>
                <w:jc w:val="center"/>
              </w:trPr>
              <w:tc>
                <w:tcPr>
                  <w:tcW w:w="506" w:type="dxa"/>
                  <w:tcBorders>
                    <w:tl2br w:val="nil"/>
                    <w:tr2bl w:val="nil"/>
                  </w:tcBorders>
                  <w:vAlign w:val="center"/>
                </w:tcPr>
                <w:p>
                  <w:pPr>
                    <w:pStyle w:val="160"/>
                    <w:rPr>
                      <w:color w:val="auto"/>
                      <w:lang w:val="en-US"/>
                    </w:rPr>
                  </w:pPr>
                  <w:r>
                    <w:rPr>
                      <w:color w:val="auto"/>
                      <w:lang w:val="en-US"/>
                    </w:rPr>
                    <w:t>3</w:t>
                  </w:r>
                  <w:r>
                    <w:rPr>
                      <w:rFonts w:hint="eastAsia"/>
                      <w:color w:val="auto"/>
                      <w:lang w:val="en-US"/>
                    </w:rPr>
                    <w:t>9</w:t>
                  </w:r>
                </w:p>
              </w:tc>
              <w:tc>
                <w:tcPr>
                  <w:tcW w:w="1116" w:type="dxa"/>
                  <w:tcBorders>
                    <w:tl2br w:val="nil"/>
                    <w:tr2bl w:val="nil"/>
                  </w:tcBorders>
                  <w:vAlign w:val="center"/>
                </w:tcPr>
                <w:p>
                  <w:pPr>
                    <w:pStyle w:val="160"/>
                    <w:rPr>
                      <w:color w:val="auto"/>
                      <w:lang w:val="en-US"/>
                    </w:rPr>
                  </w:pPr>
                  <w:r>
                    <w:rPr>
                      <w:rFonts w:hint="eastAsia"/>
                      <w:color w:val="auto"/>
                      <w:lang w:val="en-US"/>
                    </w:rPr>
                    <w:t>印刷231</w:t>
                  </w:r>
                </w:p>
              </w:tc>
              <w:tc>
                <w:tcPr>
                  <w:tcW w:w="2546" w:type="dxa"/>
                  <w:tcBorders>
                    <w:tl2br w:val="nil"/>
                    <w:tr2bl w:val="nil"/>
                  </w:tcBorders>
                  <w:vAlign w:val="center"/>
                </w:tcPr>
                <w:p>
                  <w:pPr>
                    <w:pStyle w:val="160"/>
                    <w:rPr>
                      <w:color w:val="auto"/>
                      <w:lang w:val="en-US"/>
                    </w:rPr>
                  </w:pPr>
                  <w:r>
                    <w:rPr>
                      <w:rFonts w:hint="eastAsia"/>
                      <w:color w:val="auto"/>
                      <w:lang w:val="en-US"/>
                    </w:rPr>
                    <w:t>纳入重点排污单位名录的</w:t>
                  </w:r>
                </w:p>
              </w:tc>
              <w:tc>
                <w:tcPr>
                  <w:tcW w:w="3077" w:type="dxa"/>
                  <w:tcBorders>
                    <w:tl2br w:val="nil"/>
                    <w:tr2bl w:val="nil"/>
                  </w:tcBorders>
                  <w:vAlign w:val="center"/>
                </w:tcPr>
                <w:p>
                  <w:pPr>
                    <w:pStyle w:val="160"/>
                    <w:rPr>
                      <w:color w:val="auto"/>
                      <w:lang w:val="en-US"/>
                    </w:rPr>
                  </w:pPr>
                  <w:r>
                    <w:rPr>
                      <w:rFonts w:hint="eastAsia"/>
                      <w:color w:val="auto"/>
                      <w:lang w:val="en-US"/>
                    </w:rPr>
                    <w:t>除重点管理以外的年使用80吨及以上溶剂型油墨、涂料或者10吨及以上溶剂型稀释剂的包装装潢印刷</w:t>
                  </w:r>
                </w:p>
              </w:tc>
              <w:tc>
                <w:tcPr>
                  <w:tcW w:w="1259" w:type="dxa"/>
                  <w:tcBorders>
                    <w:tl2br w:val="nil"/>
                    <w:tr2bl w:val="nil"/>
                  </w:tcBorders>
                  <w:shd w:val="clear" w:color="auto" w:fill="BEBEBE" w:themeFill="background1" w:themeFillShade="BF"/>
                  <w:vAlign w:val="center"/>
                </w:tcPr>
                <w:p>
                  <w:pPr>
                    <w:pStyle w:val="160"/>
                    <w:rPr>
                      <w:color w:val="auto"/>
                      <w:lang w:val="en-US"/>
                    </w:rPr>
                  </w:pPr>
                  <w:r>
                    <w:rPr>
                      <w:color w:val="auto"/>
                      <w:lang w:val="en-US"/>
                    </w:rPr>
                    <w:t>其他</w:t>
                  </w:r>
                </w:p>
              </w:tc>
            </w:tr>
          </w:tbl>
          <w:p>
            <w:pPr>
              <w:pStyle w:val="89"/>
              <w:ind w:firstLine="496" w:firstLineChars="200"/>
              <w:rPr>
                <w:rFonts w:eastAsia="宋体" w:cs="Times New Roman"/>
                <w:color w:val="auto"/>
                <w:spacing w:val="4"/>
                <w:sz w:val="24"/>
                <w:szCs w:val="20"/>
              </w:rPr>
            </w:pPr>
            <w:r>
              <w:rPr>
                <w:rFonts w:hint="eastAsia" w:eastAsia="宋体" w:cs="Times New Roman"/>
                <w:color w:val="auto"/>
                <w:spacing w:val="4"/>
                <w:sz w:val="24"/>
                <w:szCs w:val="20"/>
              </w:rPr>
              <w:t>（2）排污口规范化</w:t>
            </w:r>
          </w:p>
          <w:p>
            <w:pPr>
              <w:pStyle w:val="89"/>
              <w:ind w:firstLine="496" w:firstLineChars="200"/>
              <w:rPr>
                <w:rFonts w:eastAsia="宋体" w:cs="Times New Roman"/>
                <w:color w:val="auto"/>
                <w:spacing w:val="4"/>
                <w:sz w:val="24"/>
                <w:szCs w:val="20"/>
              </w:rPr>
            </w:pPr>
            <w:r>
              <w:rPr>
                <w:rFonts w:hint="eastAsia" w:eastAsia="宋体" w:cs="Times New Roman"/>
                <w:color w:val="auto"/>
                <w:spacing w:val="4"/>
                <w:sz w:val="24"/>
                <w:szCs w:val="20"/>
              </w:rPr>
              <w:t>建设单位应按照《关于开展排放口规范化整治工作的通知》（环发〔1999〕24号）和《排污口规范化整治技术要求（试行）》（环监〔1996〕470号）等文件要求，进行排污口规范化设置工作。</w:t>
            </w:r>
          </w:p>
          <w:p>
            <w:pPr>
              <w:pStyle w:val="159"/>
              <w:spacing w:before="180" w:line="212" w:lineRule="auto"/>
              <w:ind w:left="1628"/>
              <w:rPr>
                <w:rFonts w:ascii="Times New Roman" w:hAnsi="Times New Roman" w:cs="Times New Roman"/>
                <w:b/>
                <w:color w:val="auto"/>
                <w:lang w:eastAsia="zh-CN"/>
              </w:rPr>
            </w:pPr>
            <w:r>
              <w:rPr>
                <w:rFonts w:ascii="Times New Roman" w:hAnsi="Times New Roman" w:cs="Times New Roman"/>
                <w:b/>
                <w:color w:val="auto"/>
                <w:lang w:eastAsia="zh-CN"/>
              </w:rPr>
              <w:t>表</w:t>
            </w:r>
            <w:r>
              <w:rPr>
                <w:rFonts w:hint="eastAsia" w:ascii="Times New Roman" w:hAnsi="Times New Roman" w:cs="Times New Roman"/>
                <w:b/>
                <w:color w:val="auto"/>
                <w:lang w:eastAsia="zh-CN"/>
              </w:rPr>
              <w:t xml:space="preserve">4.9-2 </w:t>
            </w:r>
            <w:r>
              <w:rPr>
                <w:rFonts w:ascii="Times New Roman" w:hAnsi="Times New Roman" w:cs="Times New Roman"/>
                <w:b/>
                <w:color w:val="auto"/>
                <w:lang w:eastAsia="zh-CN"/>
              </w:rPr>
              <w:t xml:space="preserve"> 各排污口（源）标志牌设置示意图</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973"/>
              <w:gridCol w:w="1506"/>
              <w:gridCol w:w="1506"/>
              <w:gridCol w:w="1506"/>
              <w:gridCol w:w="1766"/>
              <w:gridCol w:w="12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3" w:type="dxa"/>
                  <w:tcBorders>
                    <w:tl2br w:val="nil"/>
                    <w:tr2bl w:val="nil"/>
                  </w:tcBorders>
                  <w:vAlign w:val="center"/>
                </w:tcPr>
                <w:p>
                  <w:pPr>
                    <w:jc w:val="center"/>
                    <w:rPr>
                      <w:rFonts w:eastAsia="Arial"/>
                      <w:b/>
                      <w:color w:val="auto"/>
                      <w:szCs w:val="21"/>
                    </w:rPr>
                  </w:pPr>
                  <w:r>
                    <w:rPr>
                      <w:rFonts w:eastAsia="Arial"/>
                      <w:b/>
                      <w:color w:val="auto"/>
                      <w:szCs w:val="21"/>
                    </w:rPr>
                    <w:t>名称</w:t>
                  </w:r>
                </w:p>
              </w:tc>
              <w:tc>
                <w:tcPr>
                  <w:tcW w:w="1506" w:type="dxa"/>
                  <w:tcBorders>
                    <w:tl2br w:val="nil"/>
                    <w:tr2bl w:val="nil"/>
                  </w:tcBorders>
                  <w:vAlign w:val="center"/>
                </w:tcPr>
                <w:p>
                  <w:pPr>
                    <w:jc w:val="center"/>
                    <w:rPr>
                      <w:rFonts w:eastAsia="Arial"/>
                      <w:b/>
                      <w:color w:val="auto"/>
                      <w:szCs w:val="21"/>
                    </w:rPr>
                  </w:pPr>
                  <w:r>
                    <w:rPr>
                      <w:rFonts w:eastAsia="Arial"/>
                      <w:b/>
                      <w:color w:val="auto"/>
                      <w:szCs w:val="21"/>
                    </w:rPr>
                    <w:t>噪声排放源</w:t>
                  </w:r>
                </w:p>
              </w:tc>
              <w:tc>
                <w:tcPr>
                  <w:tcW w:w="1506" w:type="dxa"/>
                  <w:tcBorders>
                    <w:tl2br w:val="nil"/>
                    <w:tr2bl w:val="nil"/>
                  </w:tcBorders>
                  <w:vAlign w:val="center"/>
                </w:tcPr>
                <w:p>
                  <w:pPr>
                    <w:jc w:val="center"/>
                    <w:rPr>
                      <w:b/>
                      <w:color w:val="auto"/>
                      <w:szCs w:val="21"/>
                    </w:rPr>
                  </w:pPr>
                  <w:r>
                    <w:rPr>
                      <w:b/>
                      <w:color w:val="auto"/>
                      <w:szCs w:val="21"/>
                    </w:rPr>
                    <w:t>废气排放口</w:t>
                  </w:r>
                </w:p>
              </w:tc>
              <w:tc>
                <w:tcPr>
                  <w:tcW w:w="1506" w:type="dxa"/>
                  <w:tcBorders>
                    <w:tl2br w:val="nil"/>
                    <w:tr2bl w:val="nil"/>
                  </w:tcBorders>
                  <w:vAlign w:val="center"/>
                </w:tcPr>
                <w:p>
                  <w:pPr>
                    <w:jc w:val="center"/>
                    <w:rPr>
                      <w:b/>
                      <w:color w:val="auto"/>
                      <w:szCs w:val="21"/>
                    </w:rPr>
                  </w:pPr>
                  <w:r>
                    <w:rPr>
                      <w:b/>
                      <w:color w:val="auto"/>
                      <w:szCs w:val="21"/>
                    </w:rPr>
                    <w:t>废水排放口</w:t>
                  </w:r>
                </w:p>
              </w:tc>
              <w:tc>
                <w:tcPr>
                  <w:tcW w:w="1766" w:type="dxa"/>
                  <w:tcBorders>
                    <w:tl2br w:val="nil"/>
                    <w:tr2bl w:val="nil"/>
                  </w:tcBorders>
                  <w:vAlign w:val="center"/>
                </w:tcPr>
                <w:p>
                  <w:pPr>
                    <w:jc w:val="center"/>
                    <w:rPr>
                      <w:rFonts w:eastAsia="Arial"/>
                      <w:b/>
                      <w:color w:val="auto"/>
                      <w:szCs w:val="21"/>
                    </w:rPr>
                  </w:pPr>
                  <w:r>
                    <w:rPr>
                      <w:rFonts w:eastAsia="Arial"/>
                      <w:b/>
                      <w:color w:val="auto"/>
                      <w:szCs w:val="21"/>
                    </w:rPr>
                    <w:t>固体废物</w:t>
                  </w:r>
                </w:p>
              </w:tc>
              <w:tc>
                <w:tcPr>
                  <w:tcW w:w="1247" w:type="dxa"/>
                  <w:tcBorders>
                    <w:tl2br w:val="nil"/>
                    <w:tr2bl w:val="nil"/>
                  </w:tcBorders>
                  <w:vAlign w:val="center"/>
                </w:tcPr>
                <w:p>
                  <w:pPr>
                    <w:jc w:val="center"/>
                    <w:rPr>
                      <w:b/>
                      <w:color w:val="auto"/>
                      <w:szCs w:val="21"/>
                    </w:rPr>
                  </w:pPr>
                  <w:r>
                    <w:rPr>
                      <w:b/>
                      <w:color w:val="auto"/>
                      <w:szCs w:val="21"/>
                    </w:rPr>
                    <w:t>危险废物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3" w:type="dxa"/>
                  <w:tcBorders>
                    <w:tl2br w:val="nil"/>
                    <w:tr2bl w:val="nil"/>
                  </w:tcBorders>
                  <w:vAlign w:val="center"/>
                </w:tcPr>
                <w:p>
                  <w:pPr>
                    <w:jc w:val="center"/>
                    <w:rPr>
                      <w:bCs/>
                      <w:color w:val="auto"/>
                      <w:szCs w:val="21"/>
                    </w:rPr>
                  </w:pPr>
                  <w:r>
                    <w:rPr>
                      <w:bCs/>
                      <w:color w:val="auto"/>
                      <w:szCs w:val="21"/>
                    </w:rPr>
                    <w:t>提示图形符号</w:t>
                  </w:r>
                </w:p>
              </w:tc>
              <w:tc>
                <w:tcPr>
                  <w:tcW w:w="1506" w:type="dxa"/>
                  <w:tcBorders>
                    <w:tl2br w:val="nil"/>
                    <w:tr2bl w:val="nil"/>
                  </w:tcBorders>
                  <w:vAlign w:val="center"/>
                </w:tcPr>
                <w:p>
                  <w:pPr>
                    <w:jc w:val="center"/>
                    <w:rPr>
                      <w:bCs/>
                      <w:color w:val="auto"/>
                      <w:szCs w:val="21"/>
                    </w:rPr>
                  </w:pPr>
                  <w:r>
                    <w:rPr>
                      <w:bCs/>
                      <w:color w:val="auto"/>
                      <w:szCs w:val="21"/>
                    </w:rPr>
                    <w:drawing>
                      <wp:inline distT="0" distB="0" distL="114300" distR="114300">
                        <wp:extent cx="801370" cy="846455"/>
                        <wp:effectExtent l="0" t="0" r="17780" b="10795"/>
                        <wp:docPr id="10" name="图片 4" descr="u=1808867809,393287473&amp;fm=21&amp;g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u=1808867809,393287473&amp;fm=21&amp;gp=0"/>
                                <pic:cNvPicPr>
                                  <a:picLocks noChangeAspect="1"/>
                                </pic:cNvPicPr>
                              </pic:nvPicPr>
                              <pic:blipFill>
                                <a:blip r:embed="rId45"/>
                                <a:srcRect l="607" b="3244"/>
                                <a:stretch>
                                  <a:fillRect/>
                                </a:stretch>
                              </pic:blipFill>
                              <pic:spPr>
                                <a:xfrm>
                                  <a:off x="0" y="0"/>
                                  <a:ext cx="801370" cy="846455"/>
                                </a:xfrm>
                                <a:prstGeom prst="rect">
                                  <a:avLst/>
                                </a:prstGeom>
                                <a:noFill/>
                                <a:ln>
                                  <a:noFill/>
                                </a:ln>
                              </pic:spPr>
                            </pic:pic>
                          </a:graphicData>
                        </a:graphic>
                      </wp:inline>
                    </w:drawing>
                  </w:r>
                </w:p>
              </w:tc>
              <w:tc>
                <w:tcPr>
                  <w:tcW w:w="1506" w:type="dxa"/>
                  <w:tcBorders>
                    <w:tl2br w:val="nil"/>
                    <w:tr2bl w:val="nil"/>
                  </w:tcBorders>
                  <w:vAlign w:val="center"/>
                </w:tcPr>
                <w:p>
                  <w:pPr>
                    <w:jc w:val="center"/>
                    <w:rPr>
                      <w:rFonts w:eastAsia="仿宋_GB2312"/>
                      <w:bCs/>
                      <w:color w:val="auto"/>
                      <w:szCs w:val="21"/>
                    </w:rPr>
                  </w:pPr>
                  <w:r>
                    <w:rPr>
                      <w:rFonts w:eastAsia="仿宋_GB2312"/>
                      <w:bCs/>
                      <w:color w:val="auto"/>
                      <w:szCs w:val="21"/>
                    </w:rPr>
                    <w:drawing>
                      <wp:inline distT="0" distB="0" distL="114300" distR="114300">
                        <wp:extent cx="828675" cy="828675"/>
                        <wp:effectExtent l="0" t="0" r="9525" b="9525"/>
                        <wp:docPr id="9" name="图片 5" descr="1639996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descr="1639996266(1)"/>
                                <pic:cNvPicPr>
                                  <a:picLocks noChangeAspect="1"/>
                                </pic:cNvPicPr>
                              </pic:nvPicPr>
                              <pic:blipFill>
                                <a:blip r:embed="rId46"/>
                                <a:stretch>
                                  <a:fillRect/>
                                </a:stretch>
                              </pic:blipFill>
                              <pic:spPr>
                                <a:xfrm>
                                  <a:off x="0" y="0"/>
                                  <a:ext cx="828675" cy="828675"/>
                                </a:xfrm>
                                <a:prstGeom prst="rect">
                                  <a:avLst/>
                                </a:prstGeom>
                                <a:noFill/>
                                <a:ln>
                                  <a:noFill/>
                                </a:ln>
                              </pic:spPr>
                            </pic:pic>
                          </a:graphicData>
                        </a:graphic>
                      </wp:inline>
                    </w:drawing>
                  </w:r>
                </w:p>
              </w:tc>
              <w:tc>
                <w:tcPr>
                  <w:tcW w:w="1506" w:type="dxa"/>
                  <w:tcBorders>
                    <w:tl2br w:val="nil"/>
                    <w:tr2bl w:val="nil"/>
                  </w:tcBorders>
                  <w:vAlign w:val="center"/>
                </w:tcPr>
                <w:p>
                  <w:pPr>
                    <w:jc w:val="center"/>
                    <w:rPr>
                      <w:rFonts w:eastAsia="仿宋_GB2312"/>
                      <w:bCs/>
                      <w:color w:val="auto"/>
                      <w:szCs w:val="21"/>
                    </w:rPr>
                  </w:pPr>
                  <w:r>
                    <w:rPr>
                      <w:bCs/>
                      <w:color w:val="auto"/>
                      <w:kern w:val="0"/>
                      <w:szCs w:val="21"/>
                    </w:rPr>
                    <w:drawing>
                      <wp:inline distT="0" distB="0" distL="114300" distR="114300">
                        <wp:extent cx="825500" cy="825500"/>
                        <wp:effectExtent l="0" t="0" r="12700" b="12700"/>
                        <wp:docPr id="4" name="图片 6" descr="点击看大图及详细资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 descr="点击看大图及详细资料"/>
                                <pic:cNvPicPr>
                                  <a:picLocks noChangeAspect="1"/>
                                </pic:cNvPicPr>
                              </pic:nvPicPr>
                              <pic:blipFill>
                                <a:blip r:embed="rId47"/>
                                <a:stretch>
                                  <a:fillRect/>
                                </a:stretch>
                              </pic:blipFill>
                              <pic:spPr>
                                <a:xfrm>
                                  <a:off x="0" y="0"/>
                                  <a:ext cx="825500" cy="825500"/>
                                </a:xfrm>
                                <a:prstGeom prst="rect">
                                  <a:avLst/>
                                </a:prstGeom>
                                <a:noFill/>
                                <a:ln>
                                  <a:noFill/>
                                </a:ln>
                              </pic:spPr>
                            </pic:pic>
                          </a:graphicData>
                        </a:graphic>
                      </wp:inline>
                    </w:drawing>
                  </w:r>
                </w:p>
              </w:tc>
              <w:tc>
                <w:tcPr>
                  <w:tcW w:w="1766" w:type="dxa"/>
                  <w:tcBorders>
                    <w:tl2br w:val="nil"/>
                    <w:tr2bl w:val="nil"/>
                  </w:tcBorders>
                  <w:vAlign w:val="center"/>
                </w:tcPr>
                <w:p>
                  <w:pPr>
                    <w:jc w:val="center"/>
                    <w:rPr>
                      <w:bCs/>
                      <w:color w:val="auto"/>
                      <w:szCs w:val="21"/>
                    </w:rPr>
                  </w:pPr>
                  <w:r>
                    <w:rPr>
                      <w:bCs/>
                      <w:color w:val="auto"/>
                      <w:szCs w:val="21"/>
                    </w:rPr>
                    <w:drawing>
                      <wp:inline distT="0" distB="0" distL="114300" distR="114300">
                        <wp:extent cx="864870" cy="896620"/>
                        <wp:effectExtent l="0" t="0" r="11430" b="17780"/>
                        <wp:docPr id="23" name="图片 7" descr="4385239_17160404327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descr="4385239_171604043274_2"/>
                                <pic:cNvPicPr>
                                  <a:picLocks noChangeAspect="1"/>
                                </pic:cNvPicPr>
                              </pic:nvPicPr>
                              <pic:blipFill>
                                <a:blip r:embed="rId48"/>
                                <a:stretch>
                                  <a:fillRect/>
                                </a:stretch>
                              </pic:blipFill>
                              <pic:spPr>
                                <a:xfrm>
                                  <a:off x="0" y="0"/>
                                  <a:ext cx="864870" cy="896620"/>
                                </a:xfrm>
                                <a:prstGeom prst="rect">
                                  <a:avLst/>
                                </a:prstGeom>
                                <a:noFill/>
                                <a:ln>
                                  <a:noFill/>
                                </a:ln>
                              </pic:spPr>
                            </pic:pic>
                          </a:graphicData>
                        </a:graphic>
                      </wp:inline>
                    </w:drawing>
                  </w:r>
                </w:p>
              </w:tc>
              <w:tc>
                <w:tcPr>
                  <w:tcW w:w="1247" w:type="dxa"/>
                  <w:tcBorders>
                    <w:tl2br w:val="nil"/>
                    <w:tr2bl w:val="nil"/>
                  </w:tcBorders>
                  <w:vAlign w:val="center"/>
                </w:tcPr>
                <w:p>
                  <w:pPr>
                    <w:jc w:val="center"/>
                    <w:rPr>
                      <w:bCs/>
                      <w:color w:val="auto"/>
                      <w:szCs w:val="21"/>
                    </w:rPr>
                  </w:pPr>
                  <w:r>
                    <w:rPr>
                      <w:bCs/>
                      <w:color w:val="auto"/>
                      <w:szCs w:val="21"/>
                    </w:rPr>
                    <w:drawing>
                      <wp:inline distT="0" distB="0" distL="114300" distR="114300">
                        <wp:extent cx="775335" cy="578485"/>
                        <wp:effectExtent l="0" t="0" r="5715" b="12065"/>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pic:cNvPicPr>
                                  <a:picLocks noChangeAspect="1"/>
                                </pic:cNvPicPr>
                              </pic:nvPicPr>
                              <pic:blipFill>
                                <a:blip r:embed="rId49"/>
                                <a:stretch>
                                  <a:fillRect/>
                                </a:stretch>
                              </pic:blipFill>
                              <pic:spPr>
                                <a:xfrm>
                                  <a:off x="0" y="0"/>
                                  <a:ext cx="775335" cy="578485"/>
                                </a:xfrm>
                                <a:prstGeom prst="rect">
                                  <a:avLst/>
                                </a:prstGeom>
                                <a:noFill/>
                                <a:ln>
                                  <a:noFill/>
                                </a:ln>
                              </pic:spPr>
                            </pic:pic>
                          </a:graphicData>
                        </a:graphic>
                      </wp:inline>
                    </w:drawing>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973" w:type="dxa"/>
                  <w:tcBorders>
                    <w:tl2br w:val="nil"/>
                    <w:tr2bl w:val="nil"/>
                  </w:tcBorders>
                  <w:vAlign w:val="center"/>
                </w:tcPr>
                <w:p>
                  <w:pPr>
                    <w:jc w:val="center"/>
                    <w:rPr>
                      <w:bCs/>
                      <w:color w:val="auto"/>
                      <w:szCs w:val="21"/>
                    </w:rPr>
                  </w:pPr>
                  <w:r>
                    <w:rPr>
                      <w:bCs/>
                      <w:color w:val="auto"/>
                      <w:szCs w:val="21"/>
                    </w:rPr>
                    <w:t>功能</w:t>
                  </w:r>
                </w:p>
              </w:tc>
              <w:tc>
                <w:tcPr>
                  <w:tcW w:w="1506" w:type="dxa"/>
                  <w:tcBorders>
                    <w:tl2br w:val="nil"/>
                    <w:tr2bl w:val="nil"/>
                  </w:tcBorders>
                  <w:vAlign w:val="center"/>
                </w:tcPr>
                <w:p>
                  <w:pPr>
                    <w:pStyle w:val="169"/>
                    <w:rPr>
                      <w:bCs/>
                      <w:color w:val="auto"/>
                    </w:rPr>
                  </w:pPr>
                  <w:r>
                    <w:rPr>
                      <w:bCs/>
                      <w:color w:val="auto"/>
                    </w:rPr>
                    <w:t>表示噪声向外环境排放</w:t>
                  </w:r>
                </w:p>
              </w:tc>
              <w:tc>
                <w:tcPr>
                  <w:tcW w:w="1506" w:type="dxa"/>
                  <w:tcBorders>
                    <w:tl2br w:val="nil"/>
                    <w:tr2bl w:val="nil"/>
                  </w:tcBorders>
                  <w:vAlign w:val="center"/>
                </w:tcPr>
                <w:p>
                  <w:pPr>
                    <w:pStyle w:val="169"/>
                    <w:rPr>
                      <w:bCs/>
                      <w:color w:val="auto"/>
                    </w:rPr>
                  </w:pPr>
                  <w:r>
                    <w:rPr>
                      <w:bCs/>
                      <w:color w:val="auto"/>
                    </w:rPr>
                    <w:t>表示废气向大气环境排放</w:t>
                  </w:r>
                </w:p>
              </w:tc>
              <w:tc>
                <w:tcPr>
                  <w:tcW w:w="1506" w:type="dxa"/>
                  <w:tcBorders>
                    <w:tl2br w:val="nil"/>
                    <w:tr2bl w:val="nil"/>
                  </w:tcBorders>
                  <w:vAlign w:val="center"/>
                </w:tcPr>
                <w:p>
                  <w:pPr>
                    <w:pStyle w:val="169"/>
                    <w:rPr>
                      <w:bCs/>
                      <w:color w:val="auto"/>
                    </w:rPr>
                  </w:pPr>
                  <w:r>
                    <w:rPr>
                      <w:bCs/>
                      <w:color w:val="auto"/>
                    </w:rPr>
                    <w:t>表示废水向外环境排放</w:t>
                  </w:r>
                </w:p>
              </w:tc>
              <w:tc>
                <w:tcPr>
                  <w:tcW w:w="1766" w:type="dxa"/>
                  <w:tcBorders>
                    <w:tl2br w:val="nil"/>
                    <w:tr2bl w:val="nil"/>
                  </w:tcBorders>
                  <w:vAlign w:val="center"/>
                </w:tcPr>
                <w:p>
                  <w:pPr>
                    <w:pStyle w:val="169"/>
                    <w:rPr>
                      <w:bCs/>
                      <w:color w:val="auto"/>
                    </w:rPr>
                  </w:pPr>
                  <w:r>
                    <w:rPr>
                      <w:bCs/>
                      <w:color w:val="auto"/>
                    </w:rPr>
                    <w:t>表示一般固体废物贮存、处置场</w:t>
                  </w:r>
                </w:p>
              </w:tc>
              <w:tc>
                <w:tcPr>
                  <w:tcW w:w="1247" w:type="dxa"/>
                  <w:tcBorders>
                    <w:tl2br w:val="nil"/>
                    <w:tr2bl w:val="nil"/>
                  </w:tcBorders>
                  <w:vAlign w:val="center"/>
                </w:tcPr>
                <w:p>
                  <w:pPr>
                    <w:pStyle w:val="169"/>
                    <w:jc w:val="both"/>
                    <w:rPr>
                      <w:bCs/>
                      <w:color w:val="auto"/>
                    </w:rPr>
                  </w:pPr>
                  <w:r>
                    <w:rPr>
                      <w:bCs/>
                      <w:color w:val="auto"/>
                    </w:rPr>
                    <w:t>表示危险废物暂存处</w:t>
                  </w:r>
                </w:p>
              </w:tc>
            </w:tr>
          </w:tbl>
          <w:p>
            <w:pPr>
              <w:pStyle w:val="89"/>
              <w:rPr>
                <w:rFonts w:eastAsia="宋体" w:cs="Times New Roman"/>
                <w:b/>
                <w:bCs w:val="0"/>
                <w:color w:val="auto"/>
                <w:sz w:val="30"/>
                <w:szCs w:val="30"/>
              </w:rPr>
            </w:pPr>
            <w:bookmarkStart w:id="27" w:name="_Toc11626"/>
            <w:bookmarkStart w:id="28" w:name="_Toc10958"/>
            <w:r>
              <w:rPr>
                <w:rFonts w:hint="eastAsia" w:eastAsia="宋体" w:cs="Times New Roman"/>
                <w:b/>
                <w:bCs w:val="0"/>
                <w:color w:val="auto"/>
                <w:sz w:val="30"/>
                <w:szCs w:val="30"/>
              </w:rPr>
              <w:t>4.10</w:t>
            </w:r>
            <w:r>
              <w:rPr>
                <w:rFonts w:eastAsia="宋体" w:cs="Times New Roman"/>
                <w:b/>
                <w:bCs w:val="0"/>
                <w:color w:val="auto"/>
                <w:sz w:val="30"/>
                <w:szCs w:val="30"/>
              </w:rPr>
              <w:t>“三本账”</w:t>
            </w:r>
            <w:bookmarkEnd w:id="27"/>
            <w:bookmarkEnd w:id="28"/>
            <w:r>
              <w:rPr>
                <w:rFonts w:eastAsia="宋体" w:cs="Times New Roman"/>
                <w:b/>
                <w:bCs w:val="0"/>
                <w:color w:val="auto"/>
                <w:sz w:val="30"/>
                <w:szCs w:val="30"/>
              </w:rPr>
              <w:t>分析</w:t>
            </w:r>
          </w:p>
          <w:p>
            <w:pPr>
              <w:pStyle w:val="13"/>
              <w:snapToGrid w:val="0"/>
              <w:ind w:firstLine="480" w:firstLineChars="200"/>
              <w:rPr>
                <w:rFonts w:eastAsia="宋体"/>
                <w:color w:val="auto"/>
                <w:sz w:val="24"/>
                <w:szCs w:val="24"/>
              </w:rPr>
            </w:pPr>
            <w:r>
              <w:rPr>
                <w:rFonts w:eastAsia="宋体"/>
                <w:color w:val="auto"/>
                <w:sz w:val="24"/>
                <w:szCs w:val="24"/>
              </w:rPr>
              <w:t>根据以上对现有工程及扩建工程生产工序污染物排放情况调查分析，建设单位扩建前后污染源“</w:t>
            </w:r>
            <w:r>
              <w:rPr>
                <w:rFonts w:hint="eastAsia" w:eastAsia="宋体"/>
                <w:color w:val="auto"/>
                <w:sz w:val="24"/>
                <w:szCs w:val="24"/>
                <w:lang w:eastAsia="zh-CN"/>
              </w:rPr>
              <w:t>三本账</w:t>
            </w:r>
            <w:r>
              <w:rPr>
                <w:rFonts w:eastAsia="宋体"/>
                <w:color w:val="auto"/>
                <w:sz w:val="24"/>
                <w:szCs w:val="24"/>
              </w:rPr>
              <w:t>”统计结果见表</w:t>
            </w:r>
            <w:r>
              <w:rPr>
                <w:rFonts w:hint="eastAsia" w:eastAsia="宋体"/>
                <w:color w:val="auto"/>
                <w:sz w:val="24"/>
                <w:szCs w:val="24"/>
              </w:rPr>
              <w:t>4.10-1。</w:t>
            </w:r>
          </w:p>
          <w:p>
            <w:pPr>
              <w:pStyle w:val="13"/>
              <w:snapToGrid w:val="0"/>
              <w:ind w:firstLine="0"/>
              <w:jc w:val="center"/>
              <w:rPr>
                <w:rFonts w:eastAsia="宋体"/>
                <w:b/>
                <w:bCs/>
                <w:color w:val="auto"/>
                <w:sz w:val="24"/>
                <w:szCs w:val="24"/>
              </w:rPr>
            </w:pPr>
            <w:bookmarkStart w:id="29" w:name="_Ref43326933"/>
            <w:r>
              <w:rPr>
                <w:rFonts w:eastAsia="宋体"/>
                <w:b/>
                <w:bCs/>
                <w:color w:val="auto"/>
                <w:sz w:val="24"/>
                <w:szCs w:val="24"/>
              </w:rPr>
              <w:t>表</w:t>
            </w:r>
            <w:r>
              <w:rPr>
                <w:rFonts w:hint="eastAsia" w:eastAsia="宋体"/>
                <w:b/>
                <w:bCs/>
                <w:color w:val="auto"/>
                <w:sz w:val="24"/>
                <w:szCs w:val="24"/>
              </w:rPr>
              <w:t>4.10-1</w:t>
            </w:r>
            <w:r>
              <w:rPr>
                <w:rFonts w:eastAsia="宋体"/>
                <w:b/>
                <w:bCs/>
                <w:color w:val="auto"/>
                <w:sz w:val="24"/>
                <w:szCs w:val="24"/>
              </w:rPr>
              <w:t xml:space="preserve">  扩建前后污染物排放“</w:t>
            </w:r>
            <w:r>
              <w:rPr>
                <w:rFonts w:hint="eastAsia" w:eastAsia="宋体"/>
                <w:b/>
                <w:bCs/>
                <w:color w:val="auto"/>
                <w:sz w:val="24"/>
                <w:szCs w:val="24"/>
                <w:lang w:eastAsia="zh-CN"/>
              </w:rPr>
              <w:t>三本账</w:t>
            </w:r>
            <w:r>
              <w:rPr>
                <w:rFonts w:eastAsia="宋体"/>
                <w:b/>
                <w:bCs/>
                <w:color w:val="auto"/>
                <w:sz w:val="24"/>
                <w:szCs w:val="24"/>
              </w:rPr>
              <w:t>”一览表</w:t>
            </w:r>
            <w:bookmarkEnd w:id="29"/>
          </w:p>
          <w:tbl>
            <w:tblPr>
              <w:tblStyle w:val="36"/>
              <w:tblW w:w="8504"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92"/>
              <w:gridCol w:w="594"/>
              <w:gridCol w:w="1205"/>
              <w:gridCol w:w="1153"/>
              <w:gridCol w:w="1239"/>
              <w:gridCol w:w="1276"/>
              <w:gridCol w:w="1198"/>
              <w:gridCol w:w="124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种类</w:t>
                  </w:r>
                </w:p>
              </w:tc>
              <w:tc>
                <w:tcPr>
                  <w:tcW w:w="1799" w:type="dxa"/>
                  <w:gridSpan w:val="2"/>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污染物名称</w:t>
                  </w:r>
                </w:p>
              </w:tc>
              <w:tc>
                <w:tcPr>
                  <w:tcW w:w="1153"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现有工程排放量</w:t>
                  </w:r>
                  <w:r>
                    <w:rPr>
                      <w:rFonts w:hint="eastAsia" w:ascii="Times New Roman" w:hAnsi="Times New Roman"/>
                      <w:snapToGrid/>
                      <w:color w:val="auto"/>
                      <w:sz w:val="21"/>
                      <w:szCs w:val="21"/>
                    </w:rPr>
                    <w:t>(固体废物产生量)</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“以新带老”削减量</w:t>
                  </w:r>
                  <w:r>
                    <w:rPr>
                      <w:rFonts w:hint="eastAsia" w:ascii="Times New Roman" w:hAnsi="Times New Roman"/>
                      <w:snapToGrid/>
                      <w:color w:val="auto"/>
                      <w:sz w:val="21"/>
                      <w:szCs w:val="21"/>
                    </w:rPr>
                    <w:t>(固体废物产生量)</w:t>
                  </w:r>
                </w:p>
              </w:tc>
              <w:tc>
                <w:tcPr>
                  <w:tcW w:w="1276"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本次新增排放量</w:t>
                  </w:r>
                  <w:r>
                    <w:rPr>
                      <w:rFonts w:hint="eastAsia" w:ascii="Times New Roman" w:hAnsi="Times New Roman"/>
                      <w:snapToGrid/>
                      <w:color w:val="auto"/>
                      <w:sz w:val="21"/>
                      <w:szCs w:val="21"/>
                    </w:rPr>
                    <w:t>(固体废物产生量)</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扩建后全厂排放量</w:t>
                  </w:r>
                  <w:r>
                    <w:rPr>
                      <w:rFonts w:hint="eastAsia" w:ascii="Times New Roman" w:hAnsi="Times New Roman"/>
                      <w:snapToGrid/>
                      <w:color w:val="auto"/>
                      <w:sz w:val="21"/>
                      <w:szCs w:val="21"/>
                    </w:rPr>
                    <w:t>(固体废物产生量)</w:t>
                  </w:r>
                </w:p>
              </w:tc>
              <w:tc>
                <w:tcPr>
                  <w:tcW w:w="1247"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增减量</w:t>
                  </w:r>
                  <w:r>
                    <w:rPr>
                      <w:rFonts w:hint="eastAsia" w:ascii="Times New Roman" w:hAnsi="Times New Roman"/>
                      <w:snapToGrid/>
                      <w:color w:val="auto"/>
                      <w:sz w:val="21"/>
                      <w:szCs w:val="21"/>
                    </w:rPr>
                    <w:t>(固体废物产生量)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restart"/>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废气</w:t>
                  </w:r>
                </w:p>
              </w:tc>
              <w:tc>
                <w:tcPr>
                  <w:tcW w:w="1799" w:type="dxa"/>
                  <w:gridSpan w:val="2"/>
                  <w:vAlign w:val="center"/>
                </w:tcPr>
                <w:p>
                  <w:pPr>
                    <w:jc w:val="center"/>
                    <w:rPr>
                      <w:color w:val="auto"/>
                      <w:szCs w:val="21"/>
                    </w:rPr>
                  </w:pPr>
                  <w:r>
                    <w:rPr>
                      <w:color w:val="auto"/>
                      <w:szCs w:val="21"/>
                    </w:rPr>
                    <w:t>废气量</w:t>
                  </w:r>
                </w:p>
              </w:tc>
              <w:tc>
                <w:tcPr>
                  <w:tcW w:w="1153" w:type="dxa"/>
                  <w:vAlign w:val="center"/>
                </w:tcPr>
                <w:p>
                  <w:pPr>
                    <w:jc w:val="center"/>
                    <w:rPr>
                      <w:color w:val="auto"/>
                      <w:szCs w:val="21"/>
                    </w:rPr>
                  </w:pPr>
                  <w:r>
                    <w:rPr>
                      <w:rFonts w:hint="eastAsia"/>
                      <w:color w:val="auto"/>
                      <w:szCs w:val="21"/>
                    </w:rPr>
                    <w:t>2130</w:t>
                  </w:r>
                  <w:r>
                    <w:rPr>
                      <w:color w:val="auto"/>
                      <w:szCs w:val="21"/>
                    </w:rPr>
                    <w:t>万m</w:t>
                  </w:r>
                  <w:r>
                    <w:rPr>
                      <w:color w:val="auto"/>
                      <w:szCs w:val="21"/>
                      <w:vertAlign w:val="superscript"/>
                    </w:rPr>
                    <w:t>3</w:t>
                  </w:r>
                  <w:r>
                    <w:rPr>
                      <w:color w:val="auto"/>
                      <w:szCs w:val="21"/>
                    </w:rPr>
                    <w:t>/a</w:t>
                  </w:r>
                </w:p>
              </w:tc>
              <w:tc>
                <w:tcPr>
                  <w:tcW w:w="1239" w:type="dxa"/>
                  <w:vAlign w:val="center"/>
                </w:tcPr>
                <w:p>
                  <w:pPr>
                    <w:pStyle w:val="165"/>
                    <w:adjustRightInd/>
                    <w:snapToGrid/>
                    <w:spacing w:line="240" w:lineRule="auto"/>
                    <w:ind w:firstLine="0" w:firstLineChars="0"/>
                    <w:jc w:val="center"/>
                    <w:rPr>
                      <w:rFonts w:ascii="Times New Roman" w:hAnsi="Times New Roman"/>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88"/>
                    <w:widowControl/>
                    <w:spacing w:line="240" w:lineRule="auto"/>
                    <w:textAlignment w:val="center"/>
                    <w:rPr>
                      <w:color w:val="auto"/>
                      <w:sz w:val="21"/>
                      <w:szCs w:val="21"/>
                    </w:rPr>
                  </w:pPr>
                  <w:r>
                    <w:rPr>
                      <w:rFonts w:hint="eastAsia"/>
                      <w:color w:val="auto"/>
                      <w:sz w:val="21"/>
                      <w:szCs w:val="21"/>
                    </w:rPr>
                    <w:t>120</w:t>
                  </w:r>
                  <w:r>
                    <w:rPr>
                      <w:color w:val="auto"/>
                      <w:sz w:val="21"/>
                      <w:szCs w:val="21"/>
                    </w:rPr>
                    <w:t>00万m</w:t>
                  </w:r>
                  <w:r>
                    <w:rPr>
                      <w:color w:val="auto"/>
                      <w:sz w:val="21"/>
                      <w:szCs w:val="21"/>
                      <w:vertAlign w:val="superscript"/>
                    </w:rPr>
                    <w:t>3</w:t>
                  </w:r>
                  <w:r>
                    <w:rPr>
                      <w:color w:val="auto"/>
                      <w:sz w:val="21"/>
                      <w:szCs w:val="21"/>
                    </w:rPr>
                    <w:t>/a</w:t>
                  </w:r>
                </w:p>
              </w:tc>
              <w:tc>
                <w:tcPr>
                  <w:tcW w:w="1198" w:type="dxa"/>
                  <w:vAlign w:val="center"/>
                </w:tcPr>
                <w:p>
                  <w:pPr>
                    <w:pStyle w:val="188"/>
                    <w:widowControl/>
                    <w:spacing w:line="240" w:lineRule="auto"/>
                    <w:textAlignment w:val="center"/>
                    <w:rPr>
                      <w:color w:val="auto"/>
                      <w:sz w:val="21"/>
                      <w:szCs w:val="21"/>
                    </w:rPr>
                  </w:pPr>
                  <w:r>
                    <w:rPr>
                      <w:rFonts w:hint="eastAsia"/>
                      <w:color w:val="auto"/>
                      <w:sz w:val="21"/>
                      <w:szCs w:val="21"/>
                    </w:rPr>
                    <w:t>14130</w:t>
                  </w:r>
                  <w:r>
                    <w:rPr>
                      <w:color w:val="auto"/>
                      <w:sz w:val="21"/>
                      <w:szCs w:val="21"/>
                    </w:rPr>
                    <w:t>万m</w:t>
                  </w:r>
                  <w:r>
                    <w:rPr>
                      <w:color w:val="auto"/>
                      <w:sz w:val="21"/>
                      <w:szCs w:val="21"/>
                      <w:vertAlign w:val="superscript"/>
                    </w:rPr>
                    <w:t>3</w:t>
                  </w:r>
                  <w:r>
                    <w:rPr>
                      <w:color w:val="auto"/>
                      <w:sz w:val="21"/>
                      <w:szCs w:val="21"/>
                    </w:rPr>
                    <w:t>/a</w:t>
                  </w:r>
                </w:p>
              </w:tc>
              <w:tc>
                <w:tcPr>
                  <w:tcW w:w="1247" w:type="dxa"/>
                  <w:vAlign w:val="center"/>
                </w:tcPr>
                <w:p>
                  <w:pPr>
                    <w:pStyle w:val="188"/>
                    <w:widowControl/>
                    <w:spacing w:line="240" w:lineRule="auto"/>
                    <w:textAlignment w:val="center"/>
                    <w:rPr>
                      <w:color w:val="auto"/>
                      <w:sz w:val="21"/>
                      <w:szCs w:val="21"/>
                    </w:rPr>
                  </w:pPr>
                  <w:r>
                    <w:rPr>
                      <w:color w:val="auto"/>
                      <w:sz w:val="21"/>
                      <w:szCs w:val="21"/>
                    </w:rPr>
                    <w:t>+</w:t>
                  </w:r>
                  <w:r>
                    <w:rPr>
                      <w:rFonts w:hint="eastAsia"/>
                      <w:color w:val="auto"/>
                      <w:sz w:val="21"/>
                      <w:szCs w:val="21"/>
                    </w:rPr>
                    <w:t>120</w:t>
                  </w:r>
                  <w:r>
                    <w:rPr>
                      <w:color w:val="auto"/>
                      <w:sz w:val="21"/>
                      <w:szCs w:val="21"/>
                    </w:rPr>
                    <w:t>00万m</w:t>
                  </w:r>
                  <w:r>
                    <w:rPr>
                      <w:color w:val="auto"/>
                      <w:sz w:val="21"/>
                      <w:szCs w:val="21"/>
                      <w:vertAlign w:val="superscript"/>
                    </w:rPr>
                    <w:t>3</w:t>
                  </w:r>
                  <w:r>
                    <w:rPr>
                      <w:color w:val="auto"/>
                      <w:sz w:val="21"/>
                      <w:szCs w:val="21"/>
                    </w:rPr>
                    <w: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799" w:type="dxa"/>
                  <w:gridSpan w:val="2"/>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非甲烷总烃</w:t>
                  </w:r>
                </w:p>
              </w:tc>
              <w:tc>
                <w:tcPr>
                  <w:tcW w:w="1153"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rPr>
                    <w:t>0.2268</w:t>
                  </w:r>
                  <w:r>
                    <w:rPr>
                      <w:rFonts w:ascii="Times New Roman" w:hAnsi="Times New Roman"/>
                      <w:color w:val="auto"/>
                      <w:sz w:val="21"/>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88"/>
                    <w:widowControl/>
                    <w:textAlignment w:val="center"/>
                    <w:rPr>
                      <w:color w:val="auto"/>
                      <w:sz w:val="21"/>
                      <w:szCs w:val="21"/>
                    </w:rPr>
                  </w:pPr>
                  <w:r>
                    <w:rPr>
                      <w:rFonts w:hint="eastAsia"/>
                      <w:color w:val="auto"/>
                      <w:sz w:val="21"/>
                      <w:szCs w:val="21"/>
                    </w:rPr>
                    <w:t>1.134</w:t>
                  </w:r>
                  <w:r>
                    <w:rPr>
                      <w:color w:val="auto"/>
                      <w:sz w:val="21"/>
                      <w:szCs w:val="21"/>
                    </w:rPr>
                    <w:t>t/a</w:t>
                  </w:r>
                </w:p>
              </w:tc>
              <w:tc>
                <w:tcPr>
                  <w:tcW w:w="1198" w:type="dxa"/>
                  <w:vAlign w:val="center"/>
                </w:tcPr>
                <w:p>
                  <w:pPr>
                    <w:pStyle w:val="188"/>
                    <w:widowControl/>
                    <w:textAlignment w:val="center"/>
                    <w:rPr>
                      <w:color w:val="auto"/>
                      <w:sz w:val="21"/>
                      <w:szCs w:val="21"/>
                    </w:rPr>
                  </w:pPr>
                  <w:r>
                    <w:rPr>
                      <w:color w:val="auto"/>
                      <w:sz w:val="21"/>
                      <w:szCs w:val="21"/>
                    </w:rPr>
                    <w:t>1.</w:t>
                  </w:r>
                  <w:r>
                    <w:rPr>
                      <w:rFonts w:hint="eastAsia"/>
                      <w:color w:val="auto"/>
                      <w:sz w:val="21"/>
                      <w:szCs w:val="21"/>
                    </w:rPr>
                    <w:t>3608</w:t>
                  </w:r>
                  <w:r>
                    <w:rPr>
                      <w:color w:val="auto"/>
                      <w:sz w:val="21"/>
                      <w:szCs w:val="21"/>
                    </w:rPr>
                    <w:t>t/a</w:t>
                  </w:r>
                </w:p>
              </w:tc>
              <w:tc>
                <w:tcPr>
                  <w:tcW w:w="1247" w:type="dxa"/>
                  <w:vAlign w:val="center"/>
                </w:tcPr>
                <w:p>
                  <w:pPr>
                    <w:pStyle w:val="188"/>
                    <w:widowControl/>
                    <w:textAlignment w:val="center"/>
                    <w:rPr>
                      <w:color w:val="auto"/>
                      <w:sz w:val="21"/>
                      <w:szCs w:val="21"/>
                    </w:rPr>
                  </w:pPr>
                  <w:r>
                    <w:rPr>
                      <w:color w:val="auto"/>
                      <w:sz w:val="21"/>
                      <w:szCs w:val="21"/>
                    </w:rPr>
                    <w:t>+</w:t>
                  </w:r>
                  <w:r>
                    <w:rPr>
                      <w:rFonts w:hint="eastAsia"/>
                      <w:color w:val="auto"/>
                      <w:sz w:val="21"/>
                      <w:szCs w:val="21"/>
                    </w:rPr>
                    <w:t>1.134t</w:t>
                  </w:r>
                  <w:r>
                    <w:rPr>
                      <w:color w:val="auto"/>
                      <w:sz w:val="21"/>
                      <w:szCs w:val="21"/>
                    </w:rPr>
                    <w: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restart"/>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color w:val="auto"/>
                      <w:sz w:val="21"/>
                      <w:szCs w:val="21"/>
                    </w:rPr>
                    <w:t>废水</w:t>
                  </w:r>
                </w:p>
              </w:tc>
              <w:tc>
                <w:tcPr>
                  <w:tcW w:w="1799" w:type="dxa"/>
                  <w:gridSpan w:val="2"/>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废水量</w:t>
                  </w:r>
                </w:p>
              </w:tc>
              <w:tc>
                <w:tcPr>
                  <w:tcW w:w="1153" w:type="dxa"/>
                  <w:vAlign w:val="center"/>
                </w:tcPr>
                <w:p>
                  <w:pPr>
                    <w:jc w:val="center"/>
                    <w:rPr>
                      <w:color w:val="auto"/>
                      <w:szCs w:val="21"/>
                    </w:rPr>
                  </w:pPr>
                  <w:r>
                    <w:rPr>
                      <w:rFonts w:hint="eastAsia"/>
                      <w:color w:val="auto"/>
                      <w:szCs w:val="21"/>
                    </w:rPr>
                    <w:t>864</w:t>
                  </w:r>
                  <w:r>
                    <w:rPr>
                      <w:color w:val="auto"/>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snapToGrid/>
                      <w:color w:val="auto"/>
                      <w:sz w:val="21"/>
                      <w:szCs w:val="21"/>
                    </w:rPr>
                    <w:t>2160</w:t>
                  </w:r>
                  <w:r>
                    <w:rPr>
                      <w:rFonts w:ascii="Times New Roman" w:hAnsi="Times New Roman"/>
                      <w:snapToGrid/>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snapToGrid/>
                      <w:color w:val="auto"/>
                      <w:sz w:val="21"/>
                      <w:szCs w:val="21"/>
                    </w:rPr>
                    <w:t>3024</w:t>
                  </w:r>
                  <w:r>
                    <w:rPr>
                      <w:rFonts w:ascii="Times New Roman" w:hAnsi="Times New Roman"/>
                      <w:snapToGrid/>
                      <w:color w:val="auto"/>
                      <w:sz w:val="21"/>
                      <w:szCs w:val="21"/>
                    </w:rPr>
                    <w:t>t/a</w:t>
                  </w:r>
                </w:p>
              </w:tc>
              <w:tc>
                <w:tcPr>
                  <w:tcW w:w="1247" w:type="dxa"/>
                  <w:vAlign w:val="center"/>
                </w:tcPr>
                <w:p>
                  <w:pPr>
                    <w:pStyle w:val="165"/>
                    <w:adjustRightInd/>
                    <w:snapToGrid/>
                    <w:spacing w:line="240" w:lineRule="auto"/>
                    <w:ind w:firstLine="0" w:firstLineChars="0"/>
                    <w:jc w:val="center"/>
                    <w:rPr>
                      <w:rFonts w:ascii="Times New Roman" w:hAnsi="Times New Roman"/>
                      <w:snapToGrid/>
                      <w:color w:val="auto"/>
                      <w:sz w:val="21"/>
                      <w:szCs w:val="21"/>
                      <w:highlight w:val="yellow"/>
                    </w:rPr>
                  </w:pPr>
                  <w:r>
                    <w:rPr>
                      <w:rFonts w:hint="eastAsia" w:ascii="Times New Roman" w:hAnsi="Times New Roman"/>
                      <w:snapToGrid/>
                      <w:color w:val="auto"/>
                      <w:sz w:val="21"/>
                      <w:szCs w:val="21"/>
                    </w:rPr>
                    <w:t>+2160</w:t>
                  </w:r>
                  <w:r>
                    <w:rPr>
                      <w:rFonts w:ascii="Times New Roman" w:hAnsi="Times New Roman"/>
                      <w:snapToGrid/>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799" w:type="dxa"/>
                  <w:gridSpan w:val="2"/>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CODcr</w:t>
                  </w:r>
                </w:p>
              </w:tc>
              <w:tc>
                <w:tcPr>
                  <w:tcW w:w="1153" w:type="dxa"/>
                  <w:vAlign w:val="center"/>
                </w:tcPr>
                <w:p>
                  <w:pPr>
                    <w:jc w:val="center"/>
                    <w:rPr>
                      <w:color w:val="auto"/>
                      <w:szCs w:val="21"/>
                    </w:rPr>
                  </w:pPr>
                  <w:r>
                    <w:rPr>
                      <w:color w:val="auto"/>
                      <w:szCs w:val="21"/>
                    </w:rPr>
                    <w:t>0.</w:t>
                  </w:r>
                  <w:r>
                    <w:rPr>
                      <w:rFonts w:hint="eastAsia"/>
                      <w:color w:val="auto"/>
                      <w:szCs w:val="21"/>
                    </w:rPr>
                    <w:t>111</w:t>
                  </w:r>
                  <w:r>
                    <w:rPr>
                      <w:color w:val="auto"/>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rPr>
                    <w:t>0.734</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hint="eastAsia" w:ascii="Times New Roman" w:hAnsi="Times New Roman"/>
                      <w:snapToGrid/>
                      <w:color w:val="auto"/>
                      <w:sz w:val="21"/>
                      <w:szCs w:val="21"/>
                    </w:rPr>
                    <w:t>845</w:t>
                  </w:r>
                  <w:r>
                    <w:rPr>
                      <w:rFonts w:ascii="Times New Roman" w:hAnsi="Times New Roman"/>
                      <w:snapToGrid/>
                      <w:color w:val="auto"/>
                      <w:sz w:val="21"/>
                      <w:szCs w:val="21"/>
                    </w:rPr>
                    <w:t>t/a</w:t>
                  </w:r>
                </w:p>
              </w:tc>
              <w:tc>
                <w:tcPr>
                  <w:tcW w:w="1247" w:type="dxa"/>
                  <w:vAlign w:val="center"/>
                </w:tcPr>
                <w:p>
                  <w:pPr>
                    <w:pStyle w:val="165"/>
                    <w:adjustRightInd/>
                    <w:snapToGrid/>
                    <w:spacing w:line="240" w:lineRule="auto"/>
                    <w:ind w:firstLine="0" w:firstLineChars="0"/>
                    <w:jc w:val="center"/>
                    <w:rPr>
                      <w:rFonts w:ascii="Times New Roman" w:hAnsi="Times New Roman"/>
                      <w:snapToGrid/>
                      <w:color w:val="auto"/>
                      <w:sz w:val="21"/>
                      <w:szCs w:val="21"/>
                      <w:highlight w:val="yellow"/>
                    </w:rPr>
                  </w:pPr>
                  <w:r>
                    <w:rPr>
                      <w:rFonts w:hint="eastAsia" w:ascii="Times New Roman" w:hAnsi="Times New Roman"/>
                      <w:color w:val="auto"/>
                      <w:sz w:val="21"/>
                      <w:szCs w:val="21"/>
                    </w:rPr>
                    <w:t>+0.734</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799" w:type="dxa"/>
                  <w:gridSpan w:val="2"/>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color w:val="auto"/>
                      <w:sz w:val="21"/>
                      <w:szCs w:val="21"/>
                    </w:rPr>
                    <w:t>BOD</w:t>
                  </w:r>
                  <w:r>
                    <w:rPr>
                      <w:rFonts w:ascii="Times New Roman" w:hAnsi="Times New Roman"/>
                      <w:color w:val="auto"/>
                      <w:sz w:val="21"/>
                      <w:szCs w:val="21"/>
                      <w:vertAlign w:val="subscript"/>
                    </w:rPr>
                    <w:t>5</w:t>
                  </w:r>
                </w:p>
              </w:tc>
              <w:tc>
                <w:tcPr>
                  <w:tcW w:w="1153" w:type="dxa"/>
                  <w:vAlign w:val="center"/>
                </w:tcPr>
                <w:p>
                  <w:pPr>
                    <w:jc w:val="center"/>
                    <w:rPr>
                      <w:color w:val="auto"/>
                      <w:szCs w:val="21"/>
                    </w:rPr>
                  </w:pPr>
                  <w:r>
                    <w:rPr>
                      <w:color w:val="auto"/>
                      <w:szCs w:val="21"/>
                    </w:rPr>
                    <w:t>0.</w:t>
                  </w:r>
                  <w:r>
                    <w:rPr>
                      <w:rFonts w:hint="eastAsia"/>
                      <w:color w:val="auto"/>
                      <w:szCs w:val="21"/>
                    </w:rPr>
                    <w:t>022</w:t>
                  </w:r>
                  <w:r>
                    <w:rPr>
                      <w:color w:val="auto"/>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rPr>
                    <w:t>0.482</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hint="eastAsia" w:ascii="Times New Roman" w:hAnsi="Times New Roman"/>
                      <w:snapToGrid/>
                      <w:color w:val="auto"/>
                      <w:sz w:val="21"/>
                      <w:szCs w:val="21"/>
                    </w:rPr>
                    <w:t>504</w:t>
                  </w:r>
                  <w:r>
                    <w:rPr>
                      <w:rFonts w:ascii="Times New Roman" w:hAnsi="Times New Roman"/>
                      <w:snapToGrid/>
                      <w:color w:val="auto"/>
                      <w:sz w:val="21"/>
                      <w:szCs w:val="21"/>
                    </w:rPr>
                    <w:t>t/a</w:t>
                  </w:r>
                </w:p>
              </w:tc>
              <w:tc>
                <w:tcPr>
                  <w:tcW w:w="1247" w:type="dxa"/>
                  <w:vAlign w:val="center"/>
                </w:tcPr>
                <w:p>
                  <w:pPr>
                    <w:pStyle w:val="165"/>
                    <w:adjustRightInd/>
                    <w:snapToGrid/>
                    <w:spacing w:line="240" w:lineRule="auto"/>
                    <w:ind w:firstLine="0" w:firstLineChars="0"/>
                    <w:jc w:val="center"/>
                    <w:rPr>
                      <w:rFonts w:ascii="Times New Roman" w:hAnsi="Times New Roman"/>
                      <w:snapToGrid/>
                      <w:color w:val="auto"/>
                      <w:sz w:val="21"/>
                      <w:szCs w:val="21"/>
                      <w:highlight w:val="yellow"/>
                    </w:rPr>
                  </w:pPr>
                  <w:r>
                    <w:rPr>
                      <w:rFonts w:hint="eastAsia" w:ascii="Times New Roman" w:hAnsi="Times New Roman"/>
                      <w:color w:val="auto"/>
                      <w:sz w:val="21"/>
                      <w:szCs w:val="21"/>
                    </w:rPr>
                    <w:t>+0.482</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799" w:type="dxa"/>
                  <w:gridSpan w:val="2"/>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NH</w:t>
                  </w:r>
                  <w:r>
                    <w:rPr>
                      <w:rFonts w:ascii="Times New Roman" w:hAnsi="Times New Roman"/>
                      <w:snapToGrid/>
                      <w:color w:val="auto"/>
                      <w:sz w:val="21"/>
                      <w:szCs w:val="21"/>
                      <w:vertAlign w:val="subscript"/>
                    </w:rPr>
                    <w:t>3</w:t>
                  </w:r>
                  <w:r>
                    <w:rPr>
                      <w:rFonts w:ascii="Times New Roman" w:hAnsi="Times New Roman"/>
                      <w:snapToGrid/>
                      <w:color w:val="auto"/>
                      <w:sz w:val="21"/>
                      <w:szCs w:val="21"/>
                    </w:rPr>
                    <w:t>-N</w:t>
                  </w:r>
                </w:p>
              </w:tc>
              <w:tc>
                <w:tcPr>
                  <w:tcW w:w="1153" w:type="dxa"/>
                  <w:vAlign w:val="center"/>
                </w:tcPr>
                <w:p>
                  <w:pPr>
                    <w:jc w:val="center"/>
                    <w:rPr>
                      <w:color w:val="auto"/>
                      <w:szCs w:val="21"/>
                    </w:rPr>
                  </w:pPr>
                  <w:r>
                    <w:rPr>
                      <w:rFonts w:hint="eastAsia"/>
                      <w:color w:val="auto"/>
                      <w:szCs w:val="21"/>
                    </w:rPr>
                    <w:t>0.019</w:t>
                  </w:r>
                  <w:r>
                    <w:rPr>
                      <w:color w:val="auto"/>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0.0</w:t>
                  </w:r>
                  <w:r>
                    <w:rPr>
                      <w:rFonts w:hint="eastAsia" w:ascii="Times New Roman" w:hAnsi="Times New Roman"/>
                      <w:snapToGrid/>
                      <w:color w:val="auto"/>
                      <w:sz w:val="21"/>
                      <w:szCs w:val="21"/>
                    </w:rPr>
                    <w:t>73</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0.0</w:t>
                  </w:r>
                  <w:r>
                    <w:rPr>
                      <w:rFonts w:hint="eastAsia" w:ascii="Times New Roman" w:hAnsi="Times New Roman"/>
                      <w:snapToGrid/>
                      <w:color w:val="auto"/>
                      <w:sz w:val="21"/>
                      <w:szCs w:val="21"/>
                    </w:rPr>
                    <w:t>9</w:t>
                  </w:r>
                  <w:r>
                    <w:rPr>
                      <w:rFonts w:ascii="Times New Roman" w:hAnsi="Times New Roman"/>
                      <w:snapToGrid/>
                      <w:color w:val="auto"/>
                      <w:sz w:val="21"/>
                      <w:szCs w:val="21"/>
                    </w:rPr>
                    <w:t>2t/a</w:t>
                  </w:r>
                </w:p>
              </w:tc>
              <w:tc>
                <w:tcPr>
                  <w:tcW w:w="1247" w:type="dxa"/>
                  <w:vAlign w:val="center"/>
                </w:tcPr>
                <w:p>
                  <w:pPr>
                    <w:pStyle w:val="165"/>
                    <w:adjustRightInd/>
                    <w:snapToGrid/>
                    <w:spacing w:line="240" w:lineRule="auto"/>
                    <w:ind w:firstLine="0" w:firstLineChars="0"/>
                    <w:jc w:val="center"/>
                    <w:rPr>
                      <w:rFonts w:ascii="Times New Roman" w:hAnsi="Times New Roman"/>
                      <w:snapToGrid/>
                      <w:color w:val="auto"/>
                      <w:sz w:val="21"/>
                      <w:szCs w:val="21"/>
                      <w:highlight w:val="yellow"/>
                    </w:rPr>
                  </w:pPr>
                  <w:r>
                    <w:rPr>
                      <w:rFonts w:hint="eastAsia" w:ascii="Times New Roman" w:hAnsi="Times New Roman"/>
                      <w:snapToGrid/>
                      <w:color w:val="auto"/>
                      <w:sz w:val="21"/>
                      <w:szCs w:val="21"/>
                    </w:rPr>
                    <w:t>+</w:t>
                  </w:r>
                  <w:r>
                    <w:rPr>
                      <w:rFonts w:ascii="Times New Roman" w:hAnsi="Times New Roman"/>
                      <w:snapToGrid/>
                      <w:color w:val="auto"/>
                      <w:sz w:val="21"/>
                      <w:szCs w:val="21"/>
                    </w:rPr>
                    <w:t>0.0</w:t>
                  </w:r>
                  <w:r>
                    <w:rPr>
                      <w:rFonts w:hint="eastAsia" w:ascii="Times New Roman" w:hAnsi="Times New Roman"/>
                      <w:snapToGrid/>
                      <w:color w:val="auto"/>
                      <w:sz w:val="21"/>
                      <w:szCs w:val="21"/>
                    </w:rPr>
                    <w:t>73</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799" w:type="dxa"/>
                  <w:gridSpan w:val="2"/>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color w:val="auto"/>
                      <w:sz w:val="21"/>
                      <w:szCs w:val="21"/>
                    </w:rPr>
                    <w:t>SS</w:t>
                  </w:r>
                </w:p>
              </w:tc>
              <w:tc>
                <w:tcPr>
                  <w:tcW w:w="1153" w:type="dxa"/>
                  <w:vAlign w:val="center"/>
                </w:tcPr>
                <w:p>
                  <w:pPr>
                    <w:jc w:val="center"/>
                    <w:rPr>
                      <w:color w:val="auto"/>
                      <w:szCs w:val="21"/>
                    </w:rPr>
                  </w:pPr>
                  <w:r>
                    <w:rPr>
                      <w:color w:val="auto"/>
                      <w:szCs w:val="21"/>
                    </w:rPr>
                    <w:t>0</w:t>
                  </w:r>
                  <w:r>
                    <w:rPr>
                      <w:rFonts w:hint="eastAsia"/>
                      <w:color w:val="auto"/>
                      <w:szCs w:val="21"/>
                    </w:rPr>
                    <w:t>.053</w:t>
                  </w:r>
                  <w:r>
                    <w:rPr>
                      <w:color w:val="auto"/>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hint="eastAsia" w:ascii="Times New Roman" w:hAnsi="Times New Roman"/>
                      <w:snapToGrid/>
                      <w:color w:val="auto"/>
                      <w:sz w:val="21"/>
                      <w:szCs w:val="21"/>
                    </w:rPr>
                    <w:t>253</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hint="eastAsia" w:ascii="Times New Roman" w:hAnsi="Times New Roman"/>
                      <w:snapToGrid/>
                      <w:color w:val="auto"/>
                      <w:sz w:val="21"/>
                      <w:szCs w:val="21"/>
                    </w:rPr>
                    <w:t>306</w:t>
                  </w:r>
                  <w:r>
                    <w:rPr>
                      <w:rFonts w:ascii="Times New Roman" w:hAnsi="Times New Roman"/>
                      <w:snapToGrid/>
                      <w:color w:val="auto"/>
                      <w:sz w:val="21"/>
                      <w:szCs w:val="21"/>
                    </w:rPr>
                    <w:t>t/a</w:t>
                  </w:r>
                </w:p>
              </w:tc>
              <w:tc>
                <w:tcPr>
                  <w:tcW w:w="1247" w:type="dxa"/>
                  <w:vAlign w:val="center"/>
                </w:tcPr>
                <w:p>
                  <w:pPr>
                    <w:pStyle w:val="165"/>
                    <w:adjustRightInd/>
                    <w:snapToGrid/>
                    <w:spacing w:line="240" w:lineRule="auto"/>
                    <w:ind w:firstLine="0" w:firstLineChars="0"/>
                    <w:jc w:val="center"/>
                    <w:rPr>
                      <w:rFonts w:ascii="Times New Roman" w:hAnsi="Times New Roman"/>
                      <w:snapToGrid/>
                      <w:color w:val="auto"/>
                      <w:sz w:val="21"/>
                      <w:szCs w:val="21"/>
                      <w:highlight w:val="yellow"/>
                    </w:rPr>
                  </w:pPr>
                  <w:r>
                    <w:rPr>
                      <w:rFonts w:hint="eastAsia" w:ascii="Times New Roman" w:hAnsi="Times New Roman"/>
                      <w:snapToGrid/>
                      <w:color w:val="auto"/>
                      <w:sz w:val="21"/>
                      <w:szCs w:val="21"/>
                    </w:rPr>
                    <w:t>+</w:t>
                  </w:r>
                  <w:r>
                    <w:rPr>
                      <w:rFonts w:ascii="Times New Roman" w:hAnsi="Times New Roman"/>
                      <w:snapToGrid/>
                      <w:color w:val="auto"/>
                      <w:sz w:val="21"/>
                      <w:szCs w:val="21"/>
                    </w:rPr>
                    <w:t>0.</w:t>
                  </w:r>
                  <w:r>
                    <w:rPr>
                      <w:rFonts w:hint="eastAsia" w:ascii="Times New Roman" w:hAnsi="Times New Roman"/>
                      <w:snapToGrid/>
                      <w:color w:val="auto"/>
                      <w:sz w:val="21"/>
                      <w:szCs w:val="21"/>
                    </w:rPr>
                    <w:t>253</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restart"/>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固废</w:t>
                  </w:r>
                </w:p>
              </w:tc>
              <w:tc>
                <w:tcPr>
                  <w:tcW w:w="594" w:type="dxa"/>
                  <w:vMerge w:val="restart"/>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一般固废</w:t>
                  </w:r>
                </w:p>
              </w:tc>
              <w:tc>
                <w:tcPr>
                  <w:tcW w:w="1205" w:type="dxa"/>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废边角料</w:t>
                  </w:r>
                </w:p>
              </w:tc>
              <w:tc>
                <w:tcPr>
                  <w:tcW w:w="1153"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2.3</w:t>
                  </w:r>
                  <w:r>
                    <w:rPr>
                      <w:rFonts w:ascii="Times New Roman" w:hAnsi="Times New Roman"/>
                      <w:color w:val="auto"/>
                      <w:sz w:val="21"/>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snapToGrid/>
                      <w:color w:val="auto"/>
                      <w:sz w:val="21"/>
                      <w:szCs w:val="21"/>
                      <w:lang w:val="en-US" w:eastAsia="zh-CN"/>
                    </w:rPr>
                    <w:t>4.3</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6.6</w:t>
                  </w:r>
                  <w:r>
                    <w:rPr>
                      <w:rFonts w:ascii="Times New Roman" w:hAnsi="Times New Roman"/>
                      <w:color w:val="auto"/>
                      <w:sz w:val="21"/>
                      <w:szCs w:val="21"/>
                    </w:rPr>
                    <w:t>t/a</w:t>
                  </w:r>
                </w:p>
              </w:tc>
              <w:tc>
                <w:tcPr>
                  <w:tcW w:w="1247"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snapToGrid/>
                      <w:color w:val="auto"/>
                      <w:sz w:val="21"/>
                      <w:szCs w:val="21"/>
                      <w:lang w:val="en-US" w:eastAsia="zh-CN"/>
                    </w:rPr>
                    <w:t>4.3</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594"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205" w:type="dxa"/>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废包装材料</w:t>
                  </w:r>
                </w:p>
              </w:tc>
              <w:tc>
                <w:tcPr>
                  <w:tcW w:w="1153"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1.7</w:t>
                  </w:r>
                  <w:r>
                    <w:rPr>
                      <w:rFonts w:ascii="Times New Roman" w:hAnsi="Times New Roman"/>
                      <w:color w:val="auto"/>
                      <w:sz w:val="21"/>
                      <w:szCs w:val="21"/>
                    </w:rPr>
                    <w:t>t/a</w:t>
                  </w:r>
                </w:p>
              </w:tc>
              <w:tc>
                <w:tcPr>
                  <w:tcW w:w="1239" w:type="dxa"/>
                  <w:shd w:val="clear" w:color="auto" w:fill="auto"/>
                  <w:vAlign w:val="center"/>
                </w:tcPr>
                <w:p>
                  <w:pPr>
                    <w:pStyle w:val="165"/>
                    <w:adjustRightInd/>
                    <w:snapToGrid/>
                    <w:spacing w:line="240" w:lineRule="auto"/>
                    <w:ind w:firstLine="0" w:firstLineChars="0"/>
                    <w:jc w:val="center"/>
                    <w:rPr>
                      <w:rFonts w:ascii="Times New Roman" w:hAnsi="Times New Roman" w:eastAsia="宋体" w:cs="Times New Roman"/>
                      <w:snapToGrid/>
                      <w:color w:val="auto"/>
                      <w:kern w:val="2"/>
                      <w:sz w:val="21"/>
                      <w:szCs w:val="21"/>
                      <w:lang w:val="en-US" w:eastAsia="zh-CN" w:bidi="ar-SA"/>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snapToGrid/>
                      <w:color w:val="auto"/>
                      <w:sz w:val="21"/>
                      <w:szCs w:val="21"/>
                      <w:lang w:val="en-US" w:eastAsia="zh-CN"/>
                    </w:rPr>
                    <w:t>5</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6.7</w:t>
                  </w:r>
                  <w:r>
                    <w:rPr>
                      <w:rFonts w:ascii="Times New Roman" w:hAnsi="Times New Roman"/>
                      <w:color w:val="auto"/>
                      <w:sz w:val="21"/>
                      <w:szCs w:val="21"/>
                    </w:rPr>
                    <w:t>t/a</w:t>
                  </w:r>
                </w:p>
              </w:tc>
              <w:tc>
                <w:tcPr>
                  <w:tcW w:w="1247"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snapToGrid/>
                      <w:color w:val="auto"/>
                      <w:sz w:val="21"/>
                      <w:szCs w:val="21"/>
                      <w:lang w:val="en-US" w:eastAsia="zh-CN"/>
                    </w:rPr>
                    <w:t>5</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594"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205" w:type="dxa"/>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lang w:val="en-US" w:eastAsia="zh-CN"/>
                    </w:rPr>
                    <w:t>不合格品</w:t>
                  </w:r>
                </w:p>
              </w:tc>
              <w:tc>
                <w:tcPr>
                  <w:tcW w:w="1153"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0.83</w:t>
                  </w:r>
                  <w:r>
                    <w:rPr>
                      <w:rFonts w:ascii="Times New Roman" w:hAnsi="Times New Roman"/>
                      <w:color w:val="auto"/>
                      <w:sz w:val="21"/>
                      <w:szCs w:val="21"/>
                    </w:rPr>
                    <w:t>t/a</w:t>
                  </w:r>
                </w:p>
              </w:tc>
              <w:tc>
                <w:tcPr>
                  <w:tcW w:w="1239" w:type="dxa"/>
                  <w:shd w:val="clear" w:color="auto" w:fill="auto"/>
                  <w:vAlign w:val="center"/>
                </w:tcPr>
                <w:p>
                  <w:pPr>
                    <w:pStyle w:val="165"/>
                    <w:adjustRightInd/>
                    <w:snapToGrid/>
                    <w:spacing w:line="240" w:lineRule="auto"/>
                    <w:ind w:firstLine="0" w:firstLineChars="0"/>
                    <w:jc w:val="center"/>
                    <w:rPr>
                      <w:rFonts w:ascii="Times New Roman" w:hAnsi="Times New Roman" w:eastAsia="宋体" w:cs="Times New Roman"/>
                      <w:snapToGrid/>
                      <w:color w:val="auto"/>
                      <w:kern w:val="2"/>
                      <w:sz w:val="21"/>
                      <w:szCs w:val="21"/>
                      <w:lang w:val="en-US" w:eastAsia="zh-CN" w:bidi="ar-SA"/>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2.5</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3.33</w:t>
                  </w:r>
                  <w:r>
                    <w:rPr>
                      <w:rFonts w:ascii="Times New Roman" w:hAnsi="Times New Roman"/>
                      <w:color w:val="auto"/>
                      <w:sz w:val="21"/>
                      <w:szCs w:val="21"/>
                    </w:rPr>
                    <w:t>t/a</w:t>
                  </w:r>
                </w:p>
              </w:tc>
              <w:tc>
                <w:tcPr>
                  <w:tcW w:w="1247"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2.5</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594" w:type="dxa"/>
                  <w:vMerge w:val="restart"/>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危险废物</w:t>
                  </w:r>
                </w:p>
              </w:tc>
              <w:tc>
                <w:tcPr>
                  <w:tcW w:w="1205" w:type="dxa"/>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有机溶剂</w:t>
                  </w:r>
                </w:p>
              </w:tc>
              <w:tc>
                <w:tcPr>
                  <w:tcW w:w="1153"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0.05</w:t>
                  </w:r>
                  <w:r>
                    <w:rPr>
                      <w:rFonts w:ascii="Times New Roman" w:hAnsi="Times New Roman"/>
                      <w:color w:val="auto"/>
                      <w:sz w:val="21"/>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shd w:val="clear" w:color="auto" w:fill="auto"/>
                  <w:vAlign w:val="center"/>
                </w:tcPr>
                <w:p>
                  <w:pPr>
                    <w:pStyle w:val="46"/>
                    <w:rPr>
                      <w:rFonts w:hint="default" w:ascii="Times New Roman" w:hAnsi="Times New Roman" w:eastAsia="宋体" w:cs="Times New Roman"/>
                      <w:color w:val="auto"/>
                      <w:kern w:val="2"/>
                      <w:sz w:val="21"/>
                      <w:szCs w:val="22"/>
                      <w:lang w:val="en-US" w:eastAsia="zh-CN" w:bidi="ar-SA"/>
                    </w:rPr>
                  </w:pPr>
                  <w:r>
                    <w:rPr>
                      <w:rFonts w:hint="eastAsia"/>
                      <w:color w:val="auto"/>
                      <w:lang w:val="en-US" w:eastAsia="zh-CN"/>
                    </w:rPr>
                    <w:t>0.15</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0.2</w:t>
                  </w:r>
                  <w:r>
                    <w:rPr>
                      <w:rFonts w:ascii="Times New Roman" w:hAnsi="Times New Roman"/>
                      <w:color w:val="auto"/>
                      <w:sz w:val="21"/>
                      <w:szCs w:val="21"/>
                    </w:rPr>
                    <w:t>t/a</w:t>
                  </w:r>
                </w:p>
              </w:tc>
              <w:tc>
                <w:tcPr>
                  <w:tcW w:w="1247"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+0.15</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594"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205" w:type="dxa"/>
                  <w:shd w:val="clear" w:color="auto" w:fill="auto"/>
                  <w:vAlign w:val="center"/>
                </w:tcPr>
                <w:p>
                  <w:pPr>
                    <w:pStyle w:val="46"/>
                    <w:rPr>
                      <w:rFonts w:hint="eastAsia" w:ascii="Times New Roman" w:hAnsi="Times New Roman" w:eastAsia="宋体" w:cs="Times New Roman"/>
                      <w:color w:val="auto"/>
                      <w:kern w:val="2"/>
                      <w:sz w:val="21"/>
                      <w:szCs w:val="22"/>
                      <w:lang w:val="en-US" w:eastAsia="zh-CN" w:bidi="ar-SA"/>
                    </w:rPr>
                  </w:pPr>
                  <w:r>
                    <w:rPr>
                      <w:rFonts w:hint="eastAsia"/>
                      <w:color w:val="auto"/>
                    </w:rPr>
                    <w:t>油墨、粘合剂</w:t>
                  </w:r>
                </w:p>
              </w:tc>
              <w:tc>
                <w:tcPr>
                  <w:tcW w:w="1153"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0.95</w:t>
                  </w:r>
                  <w:r>
                    <w:rPr>
                      <w:rFonts w:ascii="Times New Roman" w:hAnsi="Times New Roman"/>
                      <w:color w:val="auto"/>
                      <w:sz w:val="21"/>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shd w:val="clear" w:color="auto" w:fill="auto"/>
                  <w:vAlign w:val="center"/>
                </w:tcPr>
                <w:p>
                  <w:pPr>
                    <w:pStyle w:val="46"/>
                    <w:rPr>
                      <w:rFonts w:hint="default" w:ascii="Times New Roman" w:hAnsi="Times New Roman" w:eastAsia="宋体" w:cs="Times New Roman"/>
                      <w:color w:val="auto"/>
                      <w:kern w:val="2"/>
                      <w:sz w:val="21"/>
                      <w:szCs w:val="22"/>
                      <w:lang w:val="en-US" w:eastAsia="zh-CN" w:bidi="ar-SA"/>
                    </w:rPr>
                  </w:pPr>
                  <w:r>
                    <w:rPr>
                      <w:rFonts w:hint="eastAsia"/>
                      <w:color w:val="auto"/>
                      <w:lang w:val="en-US" w:eastAsia="zh-CN"/>
                    </w:rPr>
                    <w:t>2.85</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3.8</w:t>
                  </w:r>
                  <w:r>
                    <w:rPr>
                      <w:rFonts w:ascii="Times New Roman" w:hAnsi="Times New Roman"/>
                      <w:color w:val="auto"/>
                      <w:sz w:val="21"/>
                      <w:szCs w:val="21"/>
                    </w:rPr>
                    <w:t>t/a</w:t>
                  </w:r>
                </w:p>
              </w:tc>
              <w:tc>
                <w:tcPr>
                  <w:tcW w:w="1247" w:type="dxa"/>
                  <w:vAlign w:val="center"/>
                </w:tcPr>
                <w:p>
                  <w:pPr>
                    <w:pStyle w:val="46"/>
                    <w:rPr>
                      <w:rFonts w:ascii="Times New Roman" w:hAnsi="Times New Roman"/>
                      <w:snapToGrid/>
                      <w:color w:val="auto"/>
                      <w:sz w:val="21"/>
                      <w:szCs w:val="21"/>
                    </w:rPr>
                  </w:pPr>
                  <w:r>
                    <w:rPr>
                      <w:rFonts w:hint="eastAsia"/>
                      <w:color w:val="auto"/>
                      <w:lang w:val="en-US" w:eastAsia="zh-CN"/>
                    </w:rPr>
                    <w:t>+2.85</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594"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205" w:type="dxa"/>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废油墨</w:t>
                  </w:r>
                </w:p>
              </w:tc>
              <w:tc>
                <w:tcPr>
                  <w:tcW w:w="1153"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0.011</w:t>
                  </w:r>
                  <w:r>
                    <w:rPr>
                      <w:rFonts w:ascii="Times New Roman" w:hAnsi="Times New Roman"/>
                      <w:color w:val="auto"/>
                      <w:sz w:val="21"/>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0.033</w:t>
                  </w:r>
                  <w:r>
                    <w:rPr>
                      <w:rFonts w:ascii="Times New Roman" w:hAnsi="Times New Roman"/>
                      <w:color w:val="auto"/>
                      <w:sz w:val="21"/>
                      <w:szCs w:val="21"/>
                    </w:rPr>
                    <w:t>t/a</w:t>
                  </w:r>
                </w:p>
              </w:tc>
              <w:tc>
                <w:tcPr>
                  <w:tcW w:w="1198" w:type="dxa"/>
                  <w:vAlign w:val="center"/>
                </w:tcPr>
                <w:p>
                  <w:pPr>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0.044</w:t>
                  </w:r>
                  <w:r>
                    <w:rPr>
                      <w:rFonts w:ascii="Times New Roman" w:hAnsi="Times New Roman"/>
                      <w:color w:val="auto"/>
                      <w:sz w:val="21"/>
                      <w:szCs w:val="21"/>
                    </w:rPr>
                    <w:t>t/a</w:t>
                  </w:r>
                </w:p>
              </w:tc>
              <w:tc>
                <w:tcPr>
                  <w:tcW w:w="1247" w:type="dxa"/>
                  <w:vAlign w:val="center"/>
                </w:tcPr>
                <w:p>
                  <w:pPr>
                    <w:pStyle w:val="46"/>
                    <w:rPr>
                      <w:rFonts w:ascii="Times New Roman" w:hAnsi="Times New Roman"/>
                      <w:snapToGrid/>
                      <w:color w:val="auto"/>
                      <w:sz w:val="21"/>
                      <w:szCs w:val="21"/>
                    </w:rPr>
                  </w:pPr>
                  <w:r>
                    <w:rPr>
                      <w:rFonts w:hint="eastAsia"/>
                      <w:color w:val="auto"/>
                      <w:lang w:val="en-US" w:eastAsia="zh-CN"/>
                    </w:rPr>
                    <w:t>+</w:t>
                  </w:r>
                  <w:r>
                    <w:rPr>
                      <w:rFonts w:hint="eastAsia"/>
                      <w:color w:val="auto"/>
                    </w:rPr>
                    <w:t>0.033</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594"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205" w:type="dxa"/>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废粘合剂</w:t>
                  </w:r>
                </w:p>
              </w:tc>
              <w:tc>
                <w:tcPr>
                  <w:tcW w:w="1153"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0.09</w:t>
                  </w:r>
                  <w:r>
                    <w:rPr>
                      <w:rFonts w:ascii="Times New Roman" w:hAnsi="Times New Roman"/>
                      <w:color w:val="auto"/>
                      <w:sz w:val="21"/>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0.26</w:t>
                  </w:r>
                  <w:r>
                    <w:rPr>
                      <w:rFonts w:ascii="Times New Roman" w:hAnsi="Times New Roman"/>
                      <w:color w:val="auto"/>
                      <w:sz w:val="21"/>
                      <w:szCs w:val="21"/>
                    </w:rPr>
                    <w:t>t/a</w:t>
                  </w:r>
                </w:p>
              </w:tc>
              <w:tc>
                <w:tcPr>
                  <w:tcW w:w="1198" w:type="dxa"/>
                  <w:vAlign w:val="center"/>
                </w:tcPr>
                <w:p>
                  <w:pPr>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0.35</w:t>
                  </w:r>
                  <w:r>
                    <w:rPr>
                      <w:rFonts w:ascii="Times New Roman" w:hAnsi="Times New Roman"/>
                      <w:color w:val="auto"/>
                      <w:sz w:val="21"/>
                      <w:szCs w:val="21"/>
                    </w:rPr>
                    <w:t>t/a</w:t>
                  </w:r>
                </w:p>
              </w:tc>
              <w:tc>
                <w:tcPr>
                  <w:tcW w:w="1247" w:type="dxa"/>
                  <w:vAlign w:val="center"/>
                </w:tcPr>
                <w:p>
                  <w:pPr>
                    <w:pStyle w:val="46"/>
                    <w:rPr>
                      <w:rFonts w:ascii="Times New Roman" w:hAnsi="Times New Roman"/>
                      <w:snapToGrid/>
                      <w:color w:val="auto"/>
                      <w:sz w:val="21"/>
                      <w:szCs w:val="21"/>
                    </w:rPr>
                  </w:pPr>
                  <w:r>
                    <w:rPr>
                      <w:rFonts w:hint="eastAsia"/>
                      <w:color w:val="auto"/>
                      <w:lang w:val="en-US" w:eastAsia="zh-CN"/>
                    </w:rPr>
                    <w:t>+</w:t>
                  </w:r>
                  <w:r>
                    <w:rPr>
                      <w:rFonts w:hint="eastAsia"/>
                      <w:color w:val="auto"/>
                    </w:rPr>
                    <w:t>0.26</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FF0000"/>
                      <w:sz w:val="21"/>
                      <w:szCs w:val="21"/>
                    </w:rPr>
                  </w:pPr>
                </w:p>
              </w:tc>
              <w:tc>
                <w:tcPr>
                  <w:tcW w:w="594" w:type="dxa"/>
                  <w:vMerge w:val="continue"/>
                  <w:vAlign w:val="center"/>
                </w:tcPr>
                <w:p>
                  <w:pPr>
                    <w:pStyle w:val="165"/>
                    <w:adjustRightInd/>
                    <w:snapToGrid/>
                    <w:spacing w:line="240" w:lineRule="auto"/>
                    <w:ind w:firstLine="0" w:firstLineChars="0"/>
                    <w:jc w:val="center"/>
                    <w:rPr>
                      <w:rFonts w:ascii="Times New Roman" w:hAnsi="Times New Roman"/>
                      <w:snapToGrid/>
                      <w:color w:val="FF0000"/>
                      <w:sz w:val="21"/>
                      <w:szCs w:val="21"/>
                    </w:rPr>
                  </w:pPr>
                </w:p>
              </w:tc>
              <w:tc>
                <w:tcPr>
                  <w:tcW w:w="1205" w:type="dxa"/>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废活性炭</w:t>
                  </w:r>
                </w:p>
              </w:tc>
              <w:tc>
                <w:tcPr>
                  <w:tcW w:w="1153" w:type="dxa"/>
                  <w:vAlign w:val="center"/>
                </w:tcPr>
                <w:p>
                  <w:pPr>
                    <w:pStyle w:val="165"/>
                    <w:adjustRightInd/>
                    <w:snapToGrid/>
                    <w:spacing w:line="240" w:lineRule="auto"/>
                    <w:ind w:firstLine="0" w:firstLineChars="0"/>
                    <w:jc w:val="center"/>
                    <w:rPr>
                      <w:rFonts w:hint="eastAsia"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4</w:t>
                  </w:r>
                  <w:r>
                    <w:rPr>
                      <w:rFonts w:ascii="Times New Roman" w:hAnsi="Times New Roman"/>
                      <w:color w:val="auto"/>
                      <w:sz w:val="21"/>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shd w:val="clear" w:color="auto" w:fill="auto"/>
                  <w:vAlign w:val="center"/>
                </w:tcPr>
                <w:p>
                  <w:pPr>
                    <w:pStyle w:val="46"/>
                    <w:rPr>
                      <w:rFonts w:hint="default" w:ascii="Times New Roman" w:hAnsi="Times New Roman" w:eastAsia="宋体" w:cs="Times New Roman"/>
                      <w:color w:val="auto"/>
                      <w:kern w:val="2"/>
                      <w:sz w:val="21"/>
                      <w:szCs w:val="22"/>
                      <w:lang w:val="en-US" w:eastAsia="zh-CN" w:bidi="ar-SA"/>
                    </w:rPr>
                  </w:pPr>
                  <w:r>
                    <w:rPr>
                      <w:rFonts w:hint="eastAsia"/>
                      <w:color w:val="auto"/>
                      <w:lang w:val="en-US" w:eastAsia="zh-CN"/>
                    </w:rPr>
                    <w:t>11.989</w:t>
                  </w:r>
                  <w:r>
                    <w:rPr>
                      <w:rFonts w:ascii="Times New Roman" w:hAnsi="Times New Roman"/>
                      <w:color w:val="auto"/>
                      <w:sz w:val="21"/>
                      <w:szCs w:val="21"/>
                    </w:rPr>
                    <w:t>t/a</w:t>
                  </w:r>
                </w:p>
              </w:tc>
              <w:tc>
                <w:tcPr>
                  <w:tcW w:w="1198" w:type="dxa"/>
                  <w:vAlign w:val="center"/>
                </w:tcPr>
                <w:p>
                  <w:pPr>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1</w:t>
                  </w:r>
                  <w:r>
                    <w:rPr>
                      <w:rFonts w:hint="eastAsia"/>
                      <w:color w:val="auto"/>
                      <w:sz w:val="21"/>
                      <w:szCs w:val="21"/>
                      <w:lang w:val="en-US" w:eastAsia="zh-CN"/>
                    </w:rPr>
                    <w:t>5.989</w:t>
                  </w:r>
                  <w:r>
                    <w:rPr>
                      <w:rFonts w:ascii="Times New Roman" w:hAnsi="Times New Roman"/>
                      <w:color w:val="auto"/>
                      <w:sz w:val="21"/>
                      <w:szCs w:val="21"/>
                    </w:rPr>
                    <w:t>t/a</w:t>
                  </w:r>
                </w:p>
              </w:tc>
              <w:tc>
                <w:tcPr>
                  <w:tcW w:w="1247" w:type="dxa"/>
                  <w:vAlign w:val="center"/>
                </w:tcPr>
                <w:p>
                  <w:pPr>
                    <w:pStyle w:val="46"/>
                    <w:jc w:val="center"/>
                    <w:rPr>
                      <w:rFonts w:ascii="Times New Roman" w:hAnsi="Times New Roman"/>
                      <w:snapToGrid/>
                      <w:color w:val="auto"/>
                      <w:sz w:val="21"/>
                      <w:szCs w:val="21"/>
                    </w:rPr>
                  </w:pPr>
                  <w:r>
                    <w:rPr>
                      <w:rFonts w:hint="eastAsia"/>
                      <w:color w:val="auto"/>
                      <w:lang w:val="en-US" w:eastAsia="zh-CN"/>
                    </w:rPr>
                    <w:t>+11.989</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FF0000"/>
                      <w:sz w:val="21"/>
                      <w:szCs w:val="21"/>
                    </w:rPr>
                  </w:pPr>
                </w:p>
              </w:tc>
              <w:tc>
                <w:tcPr>
                  <w:tcW w:w="594" w:type="dxa"/>
                  <w:vMerge w:val="continue"/>
                  <w:vAlign w:val="center"/>
                </w:tcPr>
                <w:p>
                  <w:pPr>
                    <w:pStyle w:val="165"/>
                    <w:adjustRightInd/>
                    <w:snapToGrid/>
                    <w:spacing w:line="240" w:lineRule="auto"/>
                    <w:ind w:firstLine="0" w:firstLineChars="0"/>
                    <w:jc w:val="center"/>
                    <w:rPr>
                      <w:rFonts w:ascii="Times New Roman" w:hAnsi="Times New Roman"/>
                      <w:snapToGrid/>
                      <w:color w:val="FF0000"/>
                      <w:sz w:val="21"/>
                      <w:szCs w:val="21"/>
                    </w:rPr>
                  </w:pPr>
                </w:p>
              </w:tc>
              <w:tc>
                <w:tcPr>
                  <w:tcW w:w="1205" w:type="dxa"/>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印刷滚筒擦拭废布</w:t>
                  </w:r>
                </w:p>
              </w:tc>
              <w:tc>
                <w:tcPr>
                  <w:tcW w:w="1153"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0.95</w:t>
                  </w:r>
                  <w:r>
                    <w:rPr>
                      <w:rFonts w:ascii="Times New Roman" w:hAnsi="Times New Roman"/>
                      <w:color w:val="auto"/>
                      <w:sz w:val="21"/>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shd w:val="clear" w:color="auto" w:fill="auto"/>
                  <w:vAlign w:val="center"/>
                </w:tcPr>
                <w:p>
                  <w:pPr>
                    <w:pStyle w:val="46"/>
                    <w:rPr>
                      <w:rFonts w:ascii="Times New Roman" w:hAnsi="Times New Roman" w:eastAsia="宋体" w:cs="Times New Roman"/>
                      <w:color w:val="auto"/>
                      <w:kern w:val="2"/>
                      <w:sz w:val="21"/>
                      <w:szCs w:val="22"/>
                      <w:lang w:val="en-US" w:eastAsia="zh-CN" w:bidi="ar-SA"/>
                    </w:rPr>
                  </w:pPr>
                  <w:r>
                    <w:rPr>
                      <w:rFonts w:hint="eastAsia"/>
                      <w:color w:val="auto"/>
                    </w:rPr>
                    <w:t>0.45</w:t>
                  </w:r>
                  <w:r>
                    <w:rPr>
                      <w:rFonts w:ascii="Times New Roman" w:hAnsi="Times New Roman"/>
                      <w:color w:val="auto"/>
                      <w:sz w:val="21"/>
                      <w:szCs w:val="21"/>
                    </w:rPr>
                    <w:t>t/a</w:t>
                  </w:r>
                </w:p>
              </w:tc>
              <w:tc>
                <w:tcPr>
                  <w:tcW w:w="1198" w:type="dxa"/>
                  <w:vAlign w:val="center"/>
                </w:tcPr>
                <w:p>
                  <w:pPr>
                    <w:adjustRightInd/>
                    <w:snapToGrid/>
                    <w:spacing w:line="240" w:lineRule="auto"/>
                    <w:ind w:firstLine="0" w:firstLineChars="0"/>
                    <w:jc w:val="center"/>
                    <w:rPr>
                      <w:rFonts w:ascii="Times New Roman" w:hAnsi="Times New Roman"/>
                      <w:snapToGrid/>
                      <w:color w:val="auto"/>
                      <w:sz w:val="21"/>
                      <w:szCs w:val="21"/>
                    </w:rPr>
                  </w:pPr>
                  <w:r>
                    <w:rPr>
                      <w:rFonts w:hint="eastAsia" w:ascii="Times New Roman" w:hAnsi="Times New Roman"/>
                      <w:color w:val="auto"/>
                      <w:sz w:val="21"/>
                      <w:szCs w:val="21"/>
                      <w:lang w:val="en-US" w:eastAsia="zh-CN"/>
                    </w:rPr>
                    <w:t>1.4</w:t>
                  </w:r>
                  <w:r>
                    <w:rPr>
                      <w:rFonts w:ascii="Times New Roman" w:hAnsi="Times New Roman"/>
                      <w:color w:val="auto"/>
                      <w:sz w:val="21"/>
                      <w:szCs w:val="21"/>
                    </w:rPr>
                    <w:t>t/a</w:t>
                  </w:r>
                </w:p>
              </w:tc>
              <w:tc>
                <w:tcPr>
                  <w:tcW w:w="1247" w:type="dxa"/>
                  <w:vAlign w:val="center"/>
                </w:tcPr>
                <w:p>
                  <w:pPr>
                    <w:pStyle w:val="46"/>
                    <w:rPr>
                      <w:rFonts w:ascii="Times New Roman" w:hAnsi="Times New Roman"/>
                      <w:snapToGrid/>
                      <w:color w:val="auto"/>
                      <w:sz w:val="21"/>
                      <w:szCs w:val="21"/>
                    </w:rPr>
                  </w:pPr>
                  <w:r>
                    <w:rPr>
                      <w:rFonts w:hint="eastAsia"/>
                      <w:color w:val="auto"/>
                      <w:lang w:val="en-US" w:eastAsia="zh-CN"/>
                    </w:rPr>
                    <w:t>+</w:t>
                  </w:r>
                  <w:r>
                    <w:rPr>
                      <w:rFonts w:hint="eastAsia"/>
                      <w:color w:val="auto"/>
                    </w:rPr>
                    <w:t>0.45</w:t>
                  </w: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FF0000"/>
                      <w:sz w:val="21"/>
                      <w:szCs w:val="21"/>
                    </w:rPr>
                  </w:pPr>
                </w:p>
              </w:tc>
              <w:tc>
                <w:tcPr>
                  <w:tcW w:w="594" w:type="dxa"/>
                  <w:vMerge w:val="continue"/>
                  <w:vAlign w:val="center"/>
                </w:tcPr>
                <w:p>
                  <w:pPr>
                    <w:pStyle w:val="165"/>
                    <w:adjustRightInd/>
                    <w:snapToGrid/>
                    <w:spacing w:line="240" w:lineRule="auto"/>
                    <w:ind w:firstLine="0" w:firstLineChars="0"/>
                    <w:jc w:val="center"/>
                    <w:rPr>
                      <w:rFonts w:ascii="Times New Roman" w:hAnsi="Times New Roman"/>
                      <w:snapToGrid/>
                      <w:color w:val="FF0000"/>
                      <w:sz w:val="21"/>
                      <w:szCs w:val="21"/>
                    </w:rPr>
                  </w:pPr>
                </w:p>
              </w:tc>
              <w:tc>
                <w:tcPr>
                  <w:tcW w:w="1205" w:type="dxa"/>
                  <w:shd w:val="clear" w:color="auto" w:fill="auto"/>
                  <w:vAlign w:val="center"/>
                </w:tcPr>
                <w:p>
                  <w:pPr>
                    <w:pStyle w:val="46"/>
                    <w:rPr>
                      <w:rFonts w:hint="eastAsia" w:ascii="Times New Roman" w:hAnsi="Times New Roman" w:eastAsia="宋体" w:cs="Times New Roman"/>
                      <w:color w:val="auto"/>
                      <w:kern w:val="2"/>
                      <w:sz w:val="21"/>
                      <w:szCs w:val="22"/>
                      <w:shd w:val="clear" w:color="auto" w:fill="auto"/>
                      <w:lang w:val="en-US" w:eastAsia="zh-CN" w:bidi="ar-SA"/>
                    </w:rPr>
                  </w:pPr>
                  <w:r>
                    <w:rPr>
                      <w:rFonts w:hint="eastAsia"/>
                      <w:color w:val="auto"/>
                      <w:shd w:val="clear" w:color="auto" w:fill="auto"/>
                      <w:lang w:val="en-US" w:eastAsia="zh-CN"/>
                    </w:rPr>
                    <w:t>喷淋废液</w:t>
                  </w:r>
                </w:p>
              </w:tc>
              <w:tc>
                <w:tcPr>
                  <w:tcW w:w="1153" w:type="dxa"/>
                  <w:vAlign w:val="center"/>
                </w:tcPr>
                <w:p>
                  <w:pPr>
                    <w:pStyle w:val="165"/>
                    <w:adjustRightInd/>
                    <w:snapToGrid/>
                    <w:spacing w:line="240" w:lineRule="auto"/>
                    <w:ind w:firstLine="0" w:firstLineChars="0"/>
                    <w:jc w:val="center"/>
                    <w:rPr>
                      <w:rFonts w:hint="eastAsia" w:ascii="Times New Roman" w:hAnsi="Times New Roman" w:eastAsia="宋体"/>
                      <w:snapToGrid/>
                      <w:color w:val="auto"/>
                      <w:sz w:val="21"/>
                      <w:szCs w:val="21"/>
                      <w:shd w:val="clear" w:color="auto" w:fill="auto"/>
                      <w:lang w:val="en-US" w:eastAsia="zh-CN"/>
                    </w:rPr>
                  </w:pPr>
                  <w:r>
                    <w:rPr>
                      <w:rFonts w:hint="eastAsia" w:ascii="Times New Roman" w:hAnsi="Times New Roman"/>
                      <w:snapToGrid/>
                      <w:color w:val="auto"/>
                      <w:sz w:val="21"/>
                      <w:szCs w:val="21"/>
                      <w:shd w:val="clear" w:color="auto" w:fill="auto"/>
                      <w:lang w:val="en-US" w:eastAsia="zh-CN"/>
                    </w:rPr>
                    <w:t>0</w:t>
                  </w:r>
                  <w:r>
                    <w:rPr>
                      <w:rFonts w:ascii="Times New Roman" w:hAnsi="Times New Roman"/>
                      <w:color w:val="auto"/>
                      <w:sz w:val="21"/>
                      <w:szCs w:val="21"/>
                      <w:shd w:val="clear" w:color="auto" w:fill="auto"/>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shd w:val="clear" w:color="auto" w:fill="auto"/>
                    </w:rPr>
                  </w:pPr>
                  <w:r>
                    <w:rPr>
                      <w:rFonts w:ascii="Times New Roman" w:hAnsi="Times New Roman"/>
                      <w:snapToGrid/>
                      <w:color w:val="auto"/>
                      <w:sz w:val="21"/>
                      <w:szCs w:val="21"/>
                      <w:shd w:val="clear" w:color="auto" w:fill="auto"/>
                    </w:rPr>
                    <w:t>0</w:t>
                  </w:r>
                  <w:r>
                    <w:rPr>
                      <w:rFonts w:ascii="Times New Roman" w:hAnsi="Times New Roman"/>
                      <w:color w:val="auto"/>
                      <w:sz w:val="21"/>
                      <w:szCs w:val="21"/>
                      <w:shd w:val="clear" w:color="auto" w:fill="auto"/>
                    </w:rPr>
                    <w:t>t/a</w:t>
                  </w:r>
                </w:p>
              </w:tc>
              <w:tc>
                <w:tcPr>
                  <w:tcW w:w="1276" w:type="dxa"/>
                  <w:shd w:val="clear" w:color="auto" w:fill="auto"/>
                  <w:vAlign w:val="center"/>
                </w:tcPr>
                <w:p>
                  <w:pPr>
                    <w:pStyle w:val="46"/>
                    <w:rPr>
                      <w:rFonts w:hint="eastAsia" w:ascii="Times New Roman" w:hAnsi="Times New Roman" w:eastAsia="宋体" w:cs="Times New Roman"/>
                      <w:color w:val="auto"/>
                      <w:kern w:val="2"/>
                      <w:sz w:val="21"/>
                      <w:szCs w:val="22"/>
                      <w:shd w:val="clear" w:color="auto" w:fill="auto"/>
                      <w:lang w:val="en-US" w:eastAsia="zh-CN" w:bidi="ar-SA"/>
                    </w:rPr>
                  </w:pPr>
                  <w:r>
                    <w:rPr>
                      <w:rFonts w:hint="eastAsia"/>
                      <w:color w:val="auto"/>
                      <w:shd w:val="clear" w:color="auto" w:fill="auto"/>
                      <w:lang w:val="en-US" w:eastAsia="zh-CN"/>
                    </w:rPr>
                    <w:t>8</w:t>
                  </w:r>
                  <w:r>
                    <w:rPr>
                      <w:rFonts w:ascii="Times New Roman" w:hAnsi="Times New Roman"/>
                      <w:color w:val="auto"/>
                      <w:sz w:val="21"/>
                      <w:szCs w:val="21"/>
                      <w:shd w:val="clear" w:color="auto" w:fill="auto"/>
                    </w:rPr>
                    <w:t>t/a</w:t>
                  </w:r>
                </w:p>
              </w:tc>
              <w:tc>
                <w:tcPr>
                  <w:tcW w:w="1198" w:type="dxa"/>
                  <w:vAlign w:val="center"/>
                </w:tcPr>
                <w:p>
                  <w:pPr>
                    <w:adjustRightInd/>
                    <w:snapToGrid/>
                    <w:spacing w:line="240" w:lineRule="auto"/>
                    <w:ind w:firstLine="0" w:firstLineChars="0"/>
                    <w:jc w:val="center"/>
                    <w:rPr>
                      <w:rFonts w:ascii="Times New Roman" w:hAnsi="Times New Roman"/>
                      <w:snapToGrid/>
                      <w:color w:val="auto"/>
                      <w:sz w:val="21"/>
                      <w:szCs w:val="21"/>
                      <w:shd w:val="clear" w:color="auto" w:fill="auto"/>
                    </w:rPr>
                  </w:pPr>
                  <w:r>
                    <w:rPr>
                      <w:rFonts w:hint="eastAsia"/>
                      <w:color w:val="auto"/>
                      <w:sz w:val="21"/>
                      <w:szCs w:val="21"/>
                      <w:shd w:val="clear" w:color="auto" w:fill="auto"/>
                      <w:lang w:val="en-US" w:eastAsia="zh-CN"/>
                    </w:rPr>
                    <w:t>8</w:t>
                  </w:r>
                  <w:r>
                    <w:rPr>
                      <w:rFonts w:ascii="Times New Roman" w:hAnsi="Times New Roman"/>
                      <w:color w:val="auto"/>
                      <w:sz w:val="21"/>
                      <w:szCs w:val="21"/>
                      <w:shd w:val="clear" w:color="auto" w:fill="auto"/>
                    </w:rPr>
                    <w:t>t/a</w:t>
                  </w:r>
                </w:p>
              </w:tc>
              <w:tc>
                <w:tcPr>
                  <w:tcW w:w="1247" w:type="dxa"/>
                  <w:vAlign w:val="center"/>
                </w:tcPr>
                <w:p>
                  <w:pPr>
                    <w:pStyle w:val="46"/>
                    <w:rPr>
                      <w:rFonts w:ascii="Times New Roman" w:hAnsi="Times New Roman"/>
                      <w:snapToGrid/>
                      <w:color w:val="auto"/>
                      <w:sz w:val="21"/>
                      <w:szCs w:val="21"/>
                      <w:shd w:val="clear" w:color="auto" w:fill="auto"/>
                    </w:rPr>
                  </w:pPr>
                  <w:r>
                    <w:rPr>
                      <w:rFonts w:hint="eastAsia"/>
                      <w:color w:val="auto"/>
                      <w:shd w:val="clear" w:color="auto" w:fill="auto"/>
                      <w:lang w:val="en-US" w:eastAsia="zh-CN"/>
                    </w:rPr>
                    <w:t>+8</w:t>
                  </w:r>
                  <w:r>
                    <w:rPr>
                      <w:rFonts w:ascii="Times New Roman" w:hAnsi="Times New Roman"/>
                      <w:color w:val="auto"/>
                      <w:sz w:val="21"/>
                      <w:szCs w:val="21"/>
                      <w:shd w:val="clear" w:color="auto" w:fill="auto"/>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592" w:type="dxa"/>
                  <w:vMerge w:val="continue"/>
                  <w:vAlign w:val="center"/>
                </w:tcPr>
                <w:p>
                  <w:pPr>
                    <w:pStyle w:val="165"/>
                    <w:adjustRightInd/>
                    <w:snapToGrid/>
                    <w:spacing w:line="240" w:lineRule="auto"/>
                    <w:ind w:firstLine="0" w:firstLineChars="0"/>
                    <w:jc w:val="center"/>
                    <w:rPr>
                      <w:rFonts w:ascii="Times New Roman" w:hAnsi="Times New Roman"/>
                      <w:snapToGrid/>
                      <w:color w:val="auto"/>
                      <w:sz w:val="21"/>
                      <w:szCs w:val="21"/>
                    </w:rPr>
                  </w:pPr>
                </w:p>
              </w:tc>
              <w:tc>
                <w:tcPr>
                  <w:tcW w:w="1799" w:type="dxa"/>
                  <w:gridSpan w:val="2"/>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生活垃圾</w:t>
                  </w:r>
                </w:p>
              </w:tc>
              <w:tc>
                <w:tcPr>
                  <w:tcW w:w="1153" w:type="dxa"/>
                  <w:vAlign w:val="center"/>
                </w:tcPr>
                <w:p>
                  <w:pPr>
                    <w:pStyle w:val="165"/>
                    <w:adjustRightInd/>
                    <w:snapToGrid/>
                    <w:spacing w:line="240" w:lineRule="auto"/>
                    <w:ind w:firstLine="0" w:firstLineChars="0"/>
                    <w:jc w:val="center"/>
                    <w:rPr>
                      <w:rFonts w:hint="eastAsia"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9</w:t>
                  </w:r>
                  <w:r>
                    <w:rPr>
                      <w:rFonts w:ascii="Times New Roman" w:hAnsi="Times New Roman"/>
                      <w:color w:val="auto"/>
                      <w:sz w:val="21"/>
                      <w:szCs w:val="21"/>
                    </w:rPr>
                    <w:t>t/a</w:t>
                  </w:r>
                </w:p>
              </w:tc>
              <w:tc>
                <w:tcPr>
                  <w:tcW w:w="1239" w:type="dxa"/>
                  <w:vAlign w:val="center"/>
                </w:tcPr>
                <w:p>
                  <w:pPr>
                    <w:pStyle w:val="165"/>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snapToGrid/>
                      <w:color w:val="auto"/>
                      <w:sz w:val="21"/>
                      <w:szCs w:val="21"/>
                    </w:rPr>
                    <w:t>0</w:t>
                  </w:r>
                  <w:r>
                    <w:rPr>
                      <w:rFonts w:ascii="Times New Roman" w:hAnsi="Times New Roman"/>
                      <w:color w:val="auto"/>
                      <w:sz w:val="21"/>
                      <w:szCs w:val="21"/>
                    </w:rPr>
                    <w:t>t/a</w:t>
                  </w:r>
                </w:p>
              </w:tc>
              <w:tc>
                <w:tcPr>
                  <w:tcW w:w="1276"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18</w:t>
                  </w:r>
                  <w:r>
                    <w:rPr>
                      <w:rFonts w:ascii="Times New Roman" w:hAnsi="Times New Roman"/>
                      <w:color w:val="auto"/>
                      <w:sz w:val="21"/>
                      <w:szCs w:val="21"/>
                    </w:rPr>
                    <w:t>t/a</w:t>
                  </w:r>
                </w:p>
              </w:tc>
              <w:tc>
                <w:tcPr>
                  <w:tcW w:w="1198" w:type="dxa"/>
                  <w:vAlign w:val="center"/>
                </w:tcPr>
                <w:p>
                  <w:pPr>
                    <w:pStyle w:val="165"/>
                    <w:adjustRightInd/>
                    <w:snapToGrid/>
                    <w:spacing w:line="240" w:lineRule="auto"/>
                    <w:ind w:firstLine="0" w:firstLineChars="0"/>
                    <w:jc w:val="center"/>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lang w:val="en-US" w:eastAsia="zh-CN"/>
                    </w:rPr>
                    <w:t>27</w:t>
                  </w:r>
                  <w:r>
                    <w:rPr>
                      <w:rFonts w:ascii="Times New Roman" w:hAnsi="Times New Roman"/>
                      <w:color w:val="auto"/>
                      <w:sz w:val="21"/>
                      <w:szCs w:val="21"/>
                    </w:rPr>
                    <w:t>t/a</w:t>
                  </w:r>
                </w:p>
              </w:tc>
              <w:tc>
                <w:tcPr>
                  <w:tcW w:w="1247" w:type="dxa"/>
                  <w:vAlign w:val="center"/>
                </w:tcPr>
                <w:p>
                  <w:pPr>
                    <w:adjustRightInd/>
                    <w:snapToGrid/>
                    <w:spacing w:line="240" w:lineRule="auto"/>
                    <w:ind w:firstLine="0" w:firstLineChars="0"/>
                    <w:jc w:val="center"/>
                    <w:rPr>
                      <w:rFonts w:ascii="Times New Roman" w:hAnsi="Times New Roman"/>
                      <w:snapToGrid/>
                      <w:color w:val="auto"/>
                      <w:sz w:val="21"/>
                      <w:szCs w:val="21"/>
                    </w:rPr>
                  </w:pPr>
                  <w:r>
                    <w:rPr>
                      <w:rFonts w:ascii="Times New Roman" w:hAnsi="Times New Roman"/>
                      <w:color w:val="auto"/>
                      <w:sz w:val="21"/>
                      <w:szCs w:val="21"/>
                    </w:rPr>
                    <w:t>t/a</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8504" w:type="dxa"/>
                  <w:gridSpan w:val="8"/>
                  <w:vAlign w:val="center"/>
                </w:tcPr>
                <w:p>
                  <w:pPr>
                    <w:pStyle w:val="165"/>
                    <w:adjustRightInd/>
                    <w:snapToGrid/>
                    <w:spacing w:line="240" w:lineRule="auto"/>
                    <w:ind w:firstLine="0" w:firstLineChars="0"/>
                    <w:rPr>
                      <w:rFonts w:hint="default" w:ascii="Times New Roman" w:hAnsi="Times New Roman" w:eastAsia="宋体"/>
                      <w:snapToGrid/>
                      <w:color w:val="auto"/>
                      <w:sz w:val="21"/>
                      <w:szCs w:val="21"/>
                      <w:lang w:val="en-US" w:eastAsia="zh-CN"/>
                    </w:rPr>
                  </w:pPr>
                  <w:r>
                    <w:rPr>
                      <w:rFonts w:hint="eastAsia" w:ascii="Times New Roman" w:hAnsi="Times New Roman"/>
                      <w:snapToGrid/>
                      <w:color w:val="auto"/>
                      <w:sz w:val="21"/>
                      <w:szCs w:val="21"/>
                    </w:rPr>
                    <w:t>注</w:t>
                  </w:r>
                  <w:r>
                    <w:rPr>
                      <w:rFonts w:hint="eastAsia" w:ascii="Times New Roman" w:hAnsi="Times New Roman"/>
                      <w:snapToGrid/>
                      <w:color w:val="auto"/>
                      <w:sz w:val="21"/>
                      <w:szCs w:val="21"/>
                      <w:lang w:val="en-US" w:eastAsia="zh-CN"/>
                    </w:rPr>
                    <w:t>1</w:t>
                  </w:r>
                  <w:r>
                    <w:rPr>
                      <w:rFonts w:hint="eastAsia" w:ascii="Times New Roman" w:hAnsi="Times New Roman"/>
                      <w:snapToGrid/>
                      <w:color w:val="auto"/>
                      <w:sz w:val="21"/>
                      <w:szCs w:val="21"/>
                    </w:rPr>
                    <w:t>：现有项目选址于福建省福州市长乐区航城街道霞洲村湖边溪工业区1号（租用福建省建乐鞋有限公司内的E栋厂房东侧1-4层楼及配套设施），扩建项目选址于福建省福州市长乐区漳港街道渡桥村（租赁福州市长乐区力驰针纺有限公司厂房面积10000m</w:t>
                  </w:r>
                  <w:r>
                    <w:rPr>
                      <w:rFonts w:hint="eastAsia" w:ascii="Times New Roman" w:hAnsi="Times New Roman"/>
                      <w:snapToGrid/>
                      <w:color w:val="auto"/>
                      <w:sz w:val="21"/>
                      <w:szCs w:val="21"/>
                      <w:vertAlign w:val="superscript"/>
                    </w:rPr>
                    <w:t>2</w:t>
                  </w:r>
                  <w:r>
                    <w:rPr>
                      <w:rFonts w:hint="eastAsia" w:ascii="Times New Roman" w:hAnsi="Times New Roman"/>
                      <w:snapToGrid/>
                      <w:color w:val="auto"/>
                      <w:sz w:val="21"/>
                      <w:szCs w:val="21"/>
                    </w:rPr>
                    <w:t>）。</w:t>
                  </w:r>
                </w:p>
              </w:tc>
            </w:tr>
          </w:tbl>
          <w:p>
            <w:pPr>
              <w:pStyle w:val="89"/>
              <w:ind w:firstLine="496" w:firstLineChars="200"/>
              <w:rPr>
                <w:rFonts w:eastAsia="宋体" w:cs="Times New Roman"/>
                <w:color w:val="auto"/>
                <w:spacing w:val="4"/>
                <w:sz w:val="24"/>
                <w:szCs w:val="20"/>
              </w:rPr>
            </w:pPr>
          </w:p>
        </w:tc>
      </w:tr>
    </w:tbl>
    <w:p>
      <w:pPr>
        <w:adjustRightInd w:val="0"/>
        <w:snapToGrid w:val="0"/>
        <w:spacing w:line="360" w:lineRule="auto"/>
        <w:rPr>
          <w:b/>
          <w:color w:val="auto"/>
          <w:kern w:val="0"/>
          <w:sz w:val="28"/>
          <w:szCs w:val="28"/>
        </w:rPr>
      </w:pPr>
    </w:p>
    <w:p>
      <w:pPr>
        <w:adjustRightInd w:val="0"/>
        <w:snapToGrid w:val="0"/>
        <w:spacing w:line="360" w:lineRule="auto"/>
        <w:rPr>
          <w:b/>
          <w:color w:val="auto"/>
          <w:kern w:val="0"/>
          <w:sz w:val="28"/>
          <w:szCs w:val="28"/>
        </w:rPr>
        <w:sectPr>
          <w:pgSz w:w="11907" w:h="16840"/>
          <w:pgMar w:top="1701" w:right="1531" w:bottom="2127" w:left="1531" w:header="851" w:footer="851" w:gutter="0"/>
          <w:cols w:space="720" w:num="1"/>
          <w:docGrid w:linePitch="312" w:charSpace="0"/>
        </w:sectPr>
      </w:pPr>
    </w:p>
    <w:p>
      <w:pPr>
        <w:pStyle w:val="99"/>
        <w:rPr>
          <w:rFonts w:hint="eastAsia"/>
          <w:color w:val="auto"/>
        </w:rPr>
      </w:pPr>
      <w:bookmarkStart w:id="30" w:name="_Toc29218"/>
      <w:r>
        <w:rPr>
          <w:color w:val="auto"/>
        </w:rPr>
        <w:t>五、</w:t>
      </w:r>
      <w:bookmarkStart w:id="31" w:name="_Hlk54167917"/>
      <w:r>
        <w:rPr>
          <w:color w:val="auto"/>
        </w:rPr>
        <w:t>环境保护措施监督检查清单</w:t>
      </w:r>
      <w:bookmarkEnd w:id="30"/>
      <w:bookmarkEnd w:id="31"/>
    </w:p>
    <w:tbl>
      <w:tblPr>
        <w:tblStyle w:val="36"/>
        <w:tblW w:w="932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06"/>
        <w:gridCol w:w="1596"/>
        <w:gridCol w:w="1417"/>
        <w:gridCol w:w="2035"/>
        <w:gridCol w:w="307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tcBorders>
              <w:tl2br w:val="single" w:color="auto" w:sz="4" w:space="0"/>
            </w:tcBorders>
            <w:vAlign w:val="center"/>
          </w:tcPr>
          <w:p>
            <w:pPr>
              <w:pStyle w:val="68"/>
              <w:jc w:val="right"/>
              <w:rPr>
                <w:color w:val="auto"/>
                <w:szCs w:val="21"/>
              </w:rPr>
            </w:pPr>
            <w:r>
              <w:rPr>
                <w:color w:val="auto"/>
                <w:szCs w:val="21"/>
              </w:rPr>
              <w:t>内容</w:t>
            </w:r>
          </w:p>
          <w:p>
            <w:pPr>
              <w:pStyle w:val="68"/>
              <w:jc w:val="both"/>
              <w:rPr>
                <w:color w:val="auto"/>
                <w:szCs w:val="21"/>
              </w:rPr>
            </w:pPr>
            <w:r>
              <w:rPr>
                <w:color w:val="auto"/>
                <w:szCs w:val="21"/>
              </w:rPr>
              <w:t>要素</w:t>
            </w:r>
          </w:p>
        </w:tc>
        <w:tc>
          <w:tcPr>
            <w:tcW w:w="1596" w:type="dxa"/>
            <w:vAlign w:val="center"/>
          </w:tcPr>
          <w:p>
            <w:pPr>
              <w:pStyle w:val="68"/>
              <w:rPr>
                <w:color w:val="auto"/>
                <w:szCs w:val="21"/>
              </w:rPr>
            </w:pPr>
            <w:r>
              <w:rPr>
                <w:color w:val="auto"/>
                <w:szCs w:val="21"/>
              </w:rPr>
              <w:t>排放口</w:t>
            </w:r>
            <w:r>
              <w:rPr>
                <w:rFonts w:hint="eastAsia"/>
                <w:color w:val="auto"/>
                <w:szCs w:val="21"/>
              </w:rPr>
              <w:t>（</w:t>
            </w:r>
            <w:r>
              <w:rPr>
                <w:color w:val="auto"/>
                <w:szCs w:val="21"/>
              </w:rPr>
              <w:t>编号、名称</w:t>
            </w:r>
            <w:r>
              <w:rPr>
                <w:rFonts w:hint="eastAsia"/>
                <w:color w:val="auto"/>
                <w:szCs w:val="21"/>
              </w:rPr>
              <w:t>）</w:t>
            </w:r>
            <w:r>
              <w:rPr>
                <w:color w:val="auto"/>
                <w:szCs w:val="21"/>
              </w:rPr>
              <w:t>/污染源</w:t>
            </w:r>
          </w:p>
        </w:tc>
        <w:tc>
          <w:tcPr>
            <w:tcW w:w="1417" w:type="dxa"/>
            <w:vAlign w:val="center"/>
          </w:tcPr>
          <w:p>
            <w:pPr>
              <w:pStyle w:val="68"/>
              <w:rPr>
                <w:color w:val="auto"/>
                <w:szCs w:val="21"/>
              </w:rPr>
            </w:pPr>
            <w:r>
              <w:rPr>
                <w:color w:val="auto"/>
                <w:szCs w:val="21"/>
              </w:rPr>
              <w:t>污染物项目</w:t>
            </w:r>
          </w:p>
        </w:tc>
        <w:tc>
          <w:tcPr>
            <w:tcW w:w="2035" w:type="dxa"/>
            <w:vAlign w:val="center"/>
          </w:tcPr>
          <w:p>
            <w:pPr>
              <w:pStyle w:val="68"/>
              <w:rPr>
                <w:color w:val="auto"/>
                <w:szCs w:val="21"/>
              </w:rPr>
            </w:pPr>
            <w:r>
              <w:rPr>
                <w:color w:val="auto"/>
                <w:szCs w:val="21"/>
              </w:rPr>
              <w:t>环境保护措施</w:t>
            </w:r>
          </w:p>
        </w:tc>
        <w:tc>
          <w:tcPr>
            <w:tcW w:w="3073" w:type="dxa"/>
            <w:vAlign w:val="center"/>
          </w:tcPr>
          <w:p>
            <w:pPr>
              <w:pStyle w:val="68"/>
              <w:rPr>
                <w:color w:val="auto"/>
                <w:szCs w:val="21"/>
              </w:rPr>
            </w:pPr>
            <w:r>
              <w:rPr>
                <w:color w:val="auto"/>
                <w:szCs w:val="21"/>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Merge w:val="restart"/>
            <w:vAlign w:val="center"/>
          </w:tcPr>
          <w:p>
            <w:pPr>
              <w:pStyle w:val="68"/>
              <w:rPr>
                <w:color w:val="auto"/>
                <w:szCs w:val="21"/>
              </w:rPr>
            </w:pPr>
            <w:r>
              <w:rPr>
                <w:color w:val="auto"/>
                <w:szCs w:val="21"/>
              </w:rPr>
              <w:t>大气环境</w:t>
            </w:r>
          </w:p>
        </w:tc>
        <w:tc>
          <w:tcPr>
            <w:tcW w:w="1596" w:type="dxa"/>
            <w:vAlign w:val="center"/>
          </w:tcPr>
          <w:p>
            <w:pPr>
              <w:pStyle w:val="68"/>
              <w:rPr>
                <w:color w:val="auto"/>
                <w:kern w:val="0"/>
                <w:szCs w:val="21"/>
              </w:rPr>
            </w:pPr>
            <w:r>
              <w:rPr>
                <w:rFonts w:hint="eastAsia"/>
                <w:color w:val="auto"/>
                <w:szCs w:val="21"/>
              </w:rPr>
              <w:t>DA001有机废气排放口（油墨调配、印刷及烘干、酯溶型聚氨酯粘合剂调配、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eastAsia"/>
                <w:color w:val="auto"/>
                <w:szCs w:val="21"/>
              </w:rPr>
              <w:t>复合及烘干、熟化废气）</w:t>
            </w:r>
          </w:p>
        </w:tc>
        <w:tc>
          <w:tcPr>
            <w:tcW w:w="1417" w:type="dxa"/>
            <w:vAlign w:val="center"/>
          </w:tcPr>
          <w:p>
            <w:pPr>
              <w:pStyle w:val="68"/>
              <w:rPr>
                <w:color w:val="auto"/>
                <w:kern w:val="0"/>
                <w:szCs w:val="21"/>
              </w:rPr>
            </w:pPr>
            <w:r>
              <w:rPr>
                <w:rFonts w:hint="eastAsia"/>
                <w:color w:val="auto"/>
                <w:szCs w:val="21"/>
              </w:rPr>
              <w:t>非甲烷总烃</w:t>
            </w:r>
          </w:p>
        </w:tc>
        <w:tc>
          <w:tcPr>
            <w:tcW w:w="2035" w:type="dxa"/>
            <w:vAlign w:val="center"/>
          </w:tcPr>
          <w:p>
            <w:pPr>
              <w:pStyle w:val="68"/>
              <w:rPr>
                <w:color w:val="auto"/>
                <w:kern w:val="0"/>
                <w:szCs w:val="21"/>
              </w:rPr>
            </w:pPr>
            <w:r>
              <w:rPr>
                <w:rFonts w:hint="eastAsia"/>
                <w:color w:val="auto"/>
                <w:szCs w:val="21"/>
              </w:rPr>
              <w:t>油墨调配、印刷及烘干、酯溶型聚氨酯粘合剂调配、</w:t>
            </w:r>
            <w:r>
              <w:rPr>
                <w:rFonts w:hint="default" w:ascii="Times New Roman" w:hAnsi="Times New Roman" w:cs="Times New Roman"/>
                <w:color w:val="auto"/>
                <w:szCs w:val="24"/>
              </w:rPr>
              <w:t>粘合剂</w:t>
            </w:r>
            <w:r>
              <w:rPr>
                <w:rFonts w:hint="default" w:ascii="Times New Roman" w:hAnsi="Times New Roman" w:cs="Times New Roman"/>
                <w:color w:val="auto"/>
                <w:szCs w:val="24"/>
                <w:lang w:val="en-US" w:eastAsia="zh-CN"/>
              </w:rPr>
              <w:t>(含</w:t>
            </w:r>
            <w:r>
              <w:rPr>
                <w:rFonts w:hint="default" w:ascii="Times New Roman" w:hAnsi="Times New Roman" w:cs="Times New Roman"/>
                <w:color w:val="auto"/>
                <w:szCs w:val="24"/>
              </w:rPr>
              <w:t>溶剂型粘合剂</w:t>
            </w:r>
            <w:r>
              <w:rPr>
                <w:rFonts w:hint="default" w:ascii="Times New Roman" w:hAnsi="Times New Roman" w:cs="Times New Roman"/>
                <w:color w:val="auto"/>
                <w:szCs w:val="24"/>
                <w:lang w:eastAsia="zh-CN"/>
              </w:rPr>
              <w:t>、</w:t>
            </w:r>
            <w:r>
              <w:rPr>
                <w:rFonts w:hint="default" w:ascii="Times New Roman" w:hAnsi="Times New Roman" w:cs="Times New Roman"/>
                <w:color w:val="auto"/>
                <w:kern w:val="0"/>
                <w:szCs w:val="21"/>
                <w:lang w:bidi="ar"/>
              </w:rPr>
              <w:t>无溶剂</w:t>
            </w:r>
            <w:r>
              <w:rPr>
                <w:rFonts w:hint="default" w:ascii="Times New Roman" w:hAnsi="Times New Roman" w:cs="Times New Roman"/>
                <w:bCs/>
                <w:color w:val="auto"/>
                <w:szCs w:val="21"/>
              </w:rPr>
              <w:t>粘合剂</w:t>
            </w:r>
            <w:r>
              <w:rPr>
                <w:rFonts w:hint="default" w:ascii="Times New Roman" w:hAnsi="Times New Roman" w:cs="Times New Roman"/>
                <w:color w:val="auto"/>
                <w:szCs w:val="24"/>
                <w:lang w:val="en-US" w:eastAsia="zh-CN"/>
              </w:rPr>
              <w:t>)</w:t>
            </w:r>
            <w:r>
              <w:rPr>
                <w:rFonts w:hint="eastAsia"/>
                <w:color w:val="auto"/>
                <w:szCs w:val="21"/>
              </w:rPr>
              <w:t>复合及烘干、熟化在密闭空间内，微负压收集有机废气（风机风量50000m</w:t>
            </w:r>
            <w:r>
              <w:rPr>
                <w:rFonts w:hint="eastAsia"/>
                <w:color w:val="auto"/>
                <w:szCs w:val="21"/>
                <w:vertAlign w:val="superscript"/>
              </w:rPr>
              <w:t>3</w:t>
            </w:r>
            <w:r>
              <w:rPr>
                <w:rFonts w:hint="eastAsia"/>
                <w:color w:val="auto"/>
                <w:szCs w:val="21"/>
              </w:rPr>
              <w:t>/h），然后经</w:t>
            </w:r>
            <w:r>
              <w:rPr>
                <w:rFonts w:hint="eastAsia"/>
                <w:color w:val="auto"/>
                <w:szCs w:val="21"/>
                <w:lang w:val="en-US" w:eastAsia="zh-CN"/>
              </w:rPr>
              <w:t>喷淋塔+</w:t>
            </w:r>
            <w:r>
              <w:rPr>
                <w:rFonts w:hint="eastAsia"/>
                <w:color w:val="auto"/>
                <w:szCs w:val="21"/>
              </w:rPr>
              <w:t>二级</w:t>
            </w:r>
            <w:r>
              <w:rPr>
                <w:rFonts w:hint="eastAsia"/>
                <w:color w:val="auto"/>
                <w:szCs w:val="21"/>
                <w:lang w:eastAsia="zh-CN"/>
              </w:rPr>
              <w:t>颗粒</w:t>
            </w:r>
            <w:r>
              <w:rPr>
                <w:rFonts w:hint="eastAsia"/>
                <w:color w:val="auto"/>
                <w:szCs w:val="21"/>
              </w:rPr>
              <w:t>活性炭吸附装置处理后通过1根23m高的排气筒DA001排放</w:t>
            </w:r>
          </w:p>
        </w:tc>
        <w:tc>
          <w:tcPr>
            <w:tcW w:w="3073" w:type="dxa"/>
            <w:vAlign w:val="center"/>
          </w:tcPr>
          <w:p>
            <w:pPr>
              <w:pStyle w:val="68"/>
              <w:rPr>
                <w:color w:val="auto"/>
                <w:kern w:val="0"/>
                <w:szCs w:val="21"/>
              </w:rPr>
            </w:pPr>
            <w:r>
              <w:rPr>
                <w:rFonts w:hint="eastAsia"/>
                <w:color w:val="auto"/>
                <w:szCs w:val="21"/>
              </w:rPr>
              <w:t>《印刷行业挥发性有机物排放标准》（DB35/1784-2018）中表1标准限值要求（即非甲烷总烃≤50mg/m</w:t>
            </w:r>
            <w:r>
              <w:rPr>
                <w:rFonts w:hint="eastAsia"/>
                <w:color w:val="auto"/>
                <w:szCs w:val="21"/>
                <w:vertAlign w:val="superscript"/>
              </w:rPr>
              <w:t>3</w:t>
            </w:r>
            <w:r>
              <w:rPr>
                <w:rFonts w:hint="eastAsia"/>
                <w:color w:val="auto"/>
                <w:szCs w:val="21"/>
              </w:rPr>
              <w:t>；非甲烷总烃≤1.5kg/h）</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Merge w:val="continue"/>
            <w:vAlign w:val="center"/>
          </w:tcPr>
          <w:p>
            <w:pPr>
              <w:pStyle w:val="68"/>
              <w:rPr>
                <w:color w:val="auto"/>
                <w:szCs w:val="21"/>
              </w:rPr>
            </w:pPr>
          </w:p>
        </w:tc>
        <w:tc>
          <w:tcPr>
            <w:tcW w:w="1596" w:type="dxa"/>
            <w:vAlign w:val="center"/>
          </w:tcPr>
          <w:p>
            <w:pPr>
              <w:pStyle w:val="68"/>
              <w:rPr>
                <w:color w:val="auto"/>
                <w:szCs w:val="21"/>
              </w:rPr>
            </w:pPr>
            <w:r>
              <w:rPr>
                <w:rFonts w:hint="eastAsia"/>
                <w:color w:val="auto"/>
                <w:szCs w:val="21"/>
              </w:rPr>
              <w:t>无组织废气</w:t>
            </w:r>
          </w:p>
          <w:p>
            <w:pPr>
              <w:pStyle w:val="68"/>
              <w:rPr>
                <w:color w:val="auto"/>
                <w:kern w:val="0"/>
                <w:szCs w:val="21"/>
              </w:rPr>
            </w:pPr>
            <w:r>
              <w:rPr>
                <w:rFonts w:hint="eastAsia"/>
                <w:color w:val="auto"/>
                <w:szCs w:val="21"/>
              </w:rPr>
              <w:t>（厂界）</w:t>
            </w:r>
          </w:p>
        </w:tc>
        <w:tc>
          <w:tcPr>
            <w:tcW w:w="1417" w:type="dxa"/>
            <w:vAlign w:val="center"/>
          </w:tcPr>
          <w:p>
            <w:pPr>
              <w:pStyle w:val="68"/>
              <w:rPr>
                <w:color w:val="auto"/>
                <w:kern w:val="0"/>
                <w:szCs w:val="21"/>
              </w:rPr>
            </w:pPr>
            <w:r>
              <w:rPr>
                <w:rFonts w:hint="eastAsia"/>
                <w:color w:val="auto"/>
                <w:szCs w:val="21"/>
              </w:rPr>
              <w:t>非甲烷总烃</w:t>
            </w:r>
          </w:p>
        </w:tc>
        <w:tc>
          <w:tcPr>
            <w:tcW w:w="2035" w:type="dxa"/>
            <w:vMerge w:val="restart"/>
            <w:vAlign w:val="center"/>
          </w:tcPr>
          <w:p>
            <w:pPr>
              <w:pStyle w:val="68"/>
              <w:rPr>
                <w:color w:val="auto"/>
                <w:kern w:val="0"/>
                <w:szCs w:val="21"/>
              </w:rPr>
            </w:pPr>
            <w:r>
              <w:rPr>
                <w:rFonts w:hint="eastAsia"/>
                <w:color w:val="auto"/>
                <w:kern w:val="0"/>
                <w:szCs w:val="21"/>
              </w:rPr>
              <w:t>含有VOCs的原辅料、危废密闭容器包装，含有VOCs的原辅料使用过程中随取随开，用后应及时密闭；涉及VOCs的原辅料采用桶泵等给料方式密闭投加；印刷、复合、熟化等过程密闭</w:t>
            </w:r>
          </w:p>
        </w:tc>
        <w:tc>
          <w:tcPr>
            <w:tcW w:w="3073" w:type="dxa"/>
            <w:vAlign w:val="center"/>
          </w:tcPr>
          <w:p>
            <w:pPr>
              <w:pStyle w:val="68"/>
              <w:rPr>
                <w:color w:val="auto"/>
                <w:kern w:val="0"/>
                <w:szCs w:val="21"/>
              </w:rPr>
            </w:pPr>
            <w:r>
              <w:rPr>
                <w:rFonts w:hint="eastAsia"/>
                <w:color w:val="auto"/>
                <w:szCs w:val="21"/>
              </w:rPr>
              <w:t>《印刷行业挥发性有机物排放标准》（DB35/1784-2018）中表3企业边界监控点（非甲烷总烃≤2.0mg/m</w:t>
            </w:r>
            <w:r>
              <w:rPr>
                <w:rFonts w:hint="eastAsia"/>
                <w:color w:val="auto"/>
                <w:szCs w:val="21"/>
                <w:vertAlign w:val="superscript"/>
              </w:rPr>
              <w:t>3</w:t>
            </w:r>
            <w:r>
              <w:rPr>
                <w:rFonts w:hint="eastAsia"/>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Merge w:val="continue"/>
            <w:vAlign w:val="center"/>
          </w:tcPr>
          <w:p>
            <w:pPr>
              <w:pStyle w:val="68"/>
              <w:rPr>
                <w:color w:val="auto"/>
                <w:szCs w:val="21"/>
              </w:rPr>
            </w:pPr>
          </w:p>
        </w:tc>
        <w:tc>
          <w:tcPr>
            <w:tcW w:w="1596" w:type="dxa"/>
            <w:vAlign w:val="center"/>
          </w:tcPr>
          <w:p>
            <w:pPr>
              <w:pStyle w:val="68"/>
              <w:rPr>
                <w:color w:val="auto"/>
                <w:szCs w:val="21"/>
              </w:rPr>
            </w:pPr>
            <w:r>
              <w:rPr>
                <w:rFonts w:hint="eastAsia"/>
                <w:color w:val="auto"/>
                <w:szCs w:val="21"/>
              </w:rPr>
              <w:t>无组织废气</w:t>
            </w:r>
          </w:p>
          <w:p>
            <w:pPr>
              <w:pStyle w:val="68"/>
              <w:rPr>
                <w:color w:val="auto"/>
                <w:szCs w:val="21"/>
              </w:rPr>
            </w:pPr>
            <w:r>
              <w:rPr>
                <w:rFonts w:hint="eastAsia"/>
                <w:color w:val="auto"/>
                <w:szCs w:val="21"/>
              </w:rPr>
              <w:t>（厂区内）</w:t>
            </w:r>
          </w:p>
        </w:tc>
        <w:tc>
          <w:tcPr>
            <w:tcW w:w="1417" w:type="dxa"/>
            <w:vAlign w:val="center"/>
          </w:tcPr>
          <w:p>
            <w:pPr>
              <w:pStyle w:val="68"/>
              <w:rPr>
                <w:color w:val="auto"/>
                <w:szCs w:val="21"/>
              </w:rPr>
            </w:pPr>
            <w:r>
              <w:rPr>
                <w:rFonts w:hint="eastAsia"/>
                <w:color w:val="auto"/>
                <w:szCs w:val="21"/>
              </w:rPr>
              <w:t>非甲烷总烃</w:t>
            </w:r>
          </w:p>
        </w:tc>
        <w:tc>
          <w:tcPr>
            <w:tcW w:w="2035" w:type="dxa"/>
            <w:vMerge w:val="continue"/>
            <w:vAlign w:val="center"/>
          </w:tcPr>
          <w:p>
            <w:pPr>
              <w:pStyle w:val="68"/>
              <w:rPr>
                <w:color w:val="auto"/>
                <w:szCs w:val="21"/>
              </w:rPr>
            </w:pPr>
          </w:p>
        </w:tc>
        <w:tc>
          <w:tcPr>
            <w:tcW w:w="3073" w:type="dxa"/>
            <w:vAlign w:val="center"/>
          </w:tcPr>
          <w:p>
            <w:pPr>
              <w:jc w:val="center"/>
              <w:rPr>
                <w:color w:val="auto"/>
                <w:szCs w:val="21"/>
              </w:rPr>
            </w:pPr>
            <w:r>
              <w:rPr>
                <w:rFonts w:hint="eastAsia"/>
                <w:color w:val="auto"/>
                <w:szCs w:val="21"/>
              </w:rPr>
              <w:t>《印刷行业挥发性有机物排放标准》（DB35/1784-2018）中表</w:t>
            </w:r>
            <w:r>
              <w:rPr>
                <w:rFonts w:hint="eastAsia"/>
                <w:color w:val="auto"/>
                <w:szCs w:val="21"/>
                <w:lang w:val="en-US" w:eastAsia="zh-CN"/>
              </w:rPr>
              <w:t>2厂区内</w:t>
            </w:r>
            <w:r>
              <w:rPr>
                <w:rFonts w:hint="eastAsia"/>
                <w:color w:val="auto"/>
                <w:szCs w:val="21"/>
              </w:rPr>
              <w:t>监控点</w:t>
            </w:r>
            <w:r>
              <w:rPr>
                <w:rFonts w:hint="eastAsia"/>
                <w:color w:val="auto"/>
                <w:szCs w:val="21"/>
                <w:lang w:val="en-US" w:eastAsia="zh-CN"/>
              </w:rPr>
              <w:t>浓度限值</w:t>
            </w:r>
            <w:r>
              <w:rPr>
                <w:color w:val="auto"/>
                <w:szCs w:val="21"/>
              </w:rPr>
              <w:t>（非甲烷总烃厂区内监控点1h平均浓度值</w:t>
            </w:r>
            <w:r>
              <w:rPr>
                <w:rFonts w:eastAsia="TimesNewRomanPSMT"/>
                <w:color w:val="auto"/>
                <w:szCs w:val="21"/>
              </w:rPr>
              <w:t>≤</w:t>
            </w:r>
            <w:r>
              <w:rPr>
                <w:rFonts w:hint="eastAsia"/>
                <w:color w:val="auto"/>
                <w:szCs w:val="21"/>
                <w:lang w:val="en-US" w:eastAsia="zh-CN"/>
              </w:rPr>
              <w:t>8</w:t>
            </w:r>
            <w:r>
              <w:rPr>
                <w:rFonts w:eastAsia="TimesNewRomanPSMT"/>
                <w:color w:val="auto"/>
                <w:szCs w:val="21"/>
              </w:rPr>
              <w:t>mg/m</w:t>
            </w:r>
            <w:r>
              <w:rPr>
                <w:color w:val="auto"/>
                <w:szCs w:val="21"/>
                <w:vertAlign w:val="superscript"/>
              </w:rPr>
              <w:t>3</w:t>
            </w:r>
            <w:r>
              <w:rPr>
                <w:color w:val="auto"/>
                <w:szCs w:val="21"/>
              </w:rPr>
              <w:t>）</w:t>
            </w:r>
            <w:r>
              <w:rPr>
                <w:rFonts w:hint="eastAsia"/>
                <w:color w:val="auto"/>
                <w:szCs w:val="21"/>
                <w:lang w:eastAsia="zh-CN"/>
              </w:rPr>
              <w:t>，</w:t>
            </w:r>
            <w:r>
              <w:rPr>
                <w:rFonts w:hint="eastAsia"/>
                <w:color w:val="auto"/>
                <w:szCs w:val="21"/>
                <w:lang w:val="en-US" w:eastAsia="zh-CN"/>
              </w:rPr>
              <w:t>还需执行</w:t>
            </w:r>
            <w:r>
              <w:rPr>
                <w:color w:val="auto"/>
                <w:szCs w:val="21"/>
              </w:rPr>
              <w:t>《挥发性有机物无组织排放控制标准》（GB37822-2019）中附录A表A.1特别限值要求（非甲烷总烃厂区内监控点任意一次浓度值</w:t>
            </w:r>
            <w:r>
              <w:rPr>
                <w:rFonts w:eastAsia="TimesNewRomanPSMT"/>
                <w:color w:val="auto"/>
                <w:szCs w:val="21"/>
              </w:rPr>
              <w:t>≤</w:t>
            </w:r>
            <w:r>
              <w:rPr>
                <w:rFonts w:hint="eastAsia" w:eastAsia="宋体"/>
                <w:color w:val="auto"/>
                <w:szCs w:val="21"/>
                <w:lang w:val="en-US" w:eastAsia="zh-CN"/>
              </w:rPr>
              <w:t>3</w:t>
            </w:r>
            <w:r>
              <w:rPr>
                <w:color w:val="auto"/>
                <w:szCs w:val="21"/>
              </w:rPr>
              <w:t>0</w:t>
            </w:r>
            <w:r>
              <w:rPr>
                <w:rFonts w:eastAsia="TimesNewRomanPSMT"/>
                <w:color w:val="auto"/>
                <w:szCs w:val="21"/>
              </w:rPr>
              <w:t>mg/m</w:t>
            </w:r>
            <w:r>
              <w:rPr>
                <w:color w:val="auto"/>
                <w:szCs w:val="21"/>
                <w:vertAlign w:val="superscript"/>
              </w:rPr>
              <w:t>3</w:t>
            </w:r>
            <w:r>
              <w:rPr>
                <w:color w:val="auto"/>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Merge w:val="restart"/>
            <w:vAlign w:val="center"/>
          </w:tcPr>
          <w:p>
            <w:pPr>
              <w:pStyle w:val="68"/>
              <w:rPr>
                <w:color w:val="auto"/>
                <w:szCs w:val="21"/>
              </w:rPr>
            </w:pPr>
            <w:r>
              <w:rPr>
                <w:color w:val="auto"/>
                <w:szCs w:val="21"/>
              </w:rPr>
              <w:t>地表水</w:t>
            </w:r>
          </w:p>
          <w:p>
            <w:pPr>
              <w:pStyle w:val="68"/>
              <w:rPr>
                <w:color w:val="auto"/>
                <w:szCs w:val="21"/>
              </w:rPr>
            </w:pPr>
            <w:r>
              <w:rPr>
                <w:color w:val="auto"/>
                <w:szCs w:val="21"/>
              </w:rPr>
              <w:t>环境</w:t>
            </w:r>
          </w:p>
        </w:tc>
        <w:tc>
          <w:tcPr>
            <w:tcW w:w="1596" w:type="dxa"/>
            <w:vAlign w:val="center"/>
          </w:tcPr>
          <w:p>
            <w:pPr>
              <w:pStyle w:val="68"/>
              <w:rPr>
                <w:color w:val="auto"/>
                <w:szCs w:val="21"/>
              </w:rPr>
            </w:pPr>
            <w:r>
              <w:rPr>
                <w:color w:val="auto"/>
                <w:szCs w:val="21"/>
              </w:rPr>
              <w:t>DW00</w:t>
            </w:r>
            <w:r>
              <w:rPr>
                <w:rFonts w:hint="eastAsia"/>
                <w:color w:val="auto"/>
                <w:szCs w:val="21"/>
              </w:rPr>
              <w:t>1</w:t>
            </w:r>
          </w:p>
          <w:p>
            <w:pPr>
              <w:pStyle w:val="68"/>
              <w:rPr>
                <w:color w:val="auto"/>
                <w:kern w:val="0"/>
                <w:szCs w:val="21"/>
              </w:rPr>
            </w:pPr>
            <w:r>
              <w:rPr>
                <w:color w:val="auto"/>
                <w:szCs w:val="21"/>
              </w:rPr>
              <w:t>（</w:t>
            </w:r>
            <w:r>
              <w:rPr>
                <w:rFonts w:hint="eastAsia"/>
                <w:color w:val="auto"/>
                <w:szCs w:val="21"/>
              </w:rPr>
              <w:t>生活污水</w:t>
            </w:r>
            <w:r>
              <w:rPr>
                <w:color w:val="auto"/>
                <w:szCs w:val="21"/>
              </w:rPr>
              <w:t>）</w:t>
            </w:r>
          </w:p>
        </w:tc>
        <w:tc>
          <w:tcPr>
            <w:tcW w:w="1417" w:type="dxa"/>
            <w:vAlign w:val="center"/>
          </w:tcPr>
          <w:p>
            <w:pPr>
              <w:pStyle w:val="68"/>
              <w:rPr>
                <w:color w:val="auto"/>
                <w:szCs w:val="21"/>
              </w:rPr>
            </w:pPr>
            <w:r>
              <w:rPr>
                <w:color w:val="auto"/>
                <w:szCs w:val="21"/>
              </w:rPr>
              <w:t>pH、COD</w:t>
            </w:r>
            <w:r>
              <w:rPr>
                <w:rFonts w:hint="eastAsia"/>
                <w:color w:val="auto"/>
                <w:szCs w:val="21"/>
              </w:rPr>
              <w:t>cr</w:t>
            </w:r>
            <w:r>
              <w:rPr>
                <w:color w:val="auto"/>
                <w:szCs w:val="21"/>
              </w:rPr>
              <w:t>、</w:t>
            </w:r>
          </w:p>
          <w:p>
            <w:pPr>
              <w:pStyle w:val="68"/>
              <w:rPr>
                <w:color w:val="auto"/>
                <w:kern w:val="0"/>
                <w:szCs w:val="21"/>
              </w:rPr>
            </w:pPr>
            <w:r>
              <w:rPr>
                <w:color w:val="auto"/>
                <w:szCs w:val="21"/>
              </w:rPr>
              <w:t>BOD</w:t>
            </w:r>
            <w:r>
              <w:rPr>
                <w:color w:val="auto"/>
                <w:szCs w:val="21"/>
                <w:vertAlign w:val="subscript"/>
              </w:rPr>
              <w:t>5</w:t>
            </w:r>
            <w:r>
              <w:rPr>
                <w:color w:val="auto"/>
                <w:szCs w:val="21"/>
              </w:rPr>
              <w:t>、悬浮物、氨氮</w:t>
            </w:r>
          </w:p>
        </w:tc>
        <w:tc>
          <w:tcPr>
            <w:tcW w:w="2035" w:type="dxa"/>
            <w:vAlign w:val="center"/>
          </w:tcPr>
          <w:p>
            <w:pPr>
              <w:pStyle w:val="68"/>
              <w:rPr>
                <w:color w:val="auto"/>
                <w:kern w:val="0"/>
                <w:szCs w:val="21"/>
              </w:rPr>
            </w:pPr>
            <w:r>
              <w:rPr>
                <w:color w:val="auto"/>
                <w:szCs w:val="21"/>
              </w:rPr>
              <w:t>经</w:t>
            </w:r>
            <w:r>
              <w:rPr>
                <w:rFonts w:hint="eastAsia"/>
                <w:color w:val="auto"/>
                <w:szCs w:val="21"/>
              </w:rPr>
              <w:t>已建化粪池</w:t>
            </w:r>
            <w:r>
              <w:rPr>
                <w:color w:val="auto"/>
                <w:szCs w:val="21"/>
              </w:rPr>
              <w:t>处理后排入</w:t>
            </w:r>
            <w:r>
              <w:rPr>
                <w:rFonts w:hint="eastAsia"/>
                <w:color w:val="auto"/>
                <w:szCs w:val="21"/>
              </w:rPr>
              <w:t>市政污水管网纳入</w:t>
            </w:r>
            <w:r>
              <w:rPr>
                <w:color w:val="auto"/>
                <w:szCs w:val="21"/>
              </w:rPr>
              <w:t>长乐区</w:t>
            </w:r>
            <w:r>
              <w:rPr>
                <w:rFonts w:hint="eastAsia" w:ascii="Times New Roman" w:hAnsi="Times New Roman" w:eastAsia="宋体" w:cs="Times New Roman"/>
                <w:color w:val="auto"/>
                <w:kern w:val="2"/>
                <w:lang w:val="en-US" w:eastAsia="zh-CN"/>
              </w:rPr>
              <w:t>滨海</w:t>
            </w:r>
            <w:r>
              <w:rPr>
                <w:color w:val="auto"/>
                <w:szCs w:val="21"/>
              </w:rPr>
              <w:t>污水处理厂处理</w:t>
            </w:r>
          </w:p>
        </w:tc>
        <w:tc>
          <w:tcPr>
            <w:tcW w:w="3073" w:type="dxa"/>
            <w:vAlign w:val="center"/>
          </w:tcPr>
          <w:p>
            <w:pPr>
              <w:pStyle w:val="68"/>
              <w:rPr>
                <w:color w:val="auto"/>
                <w:kern w:val="0"/>
                <w:szCs w:val="21"/>
              </w:rPr>
            </w:pPr>
            <w:r>
              <w:rPr>
                <w:color w:val="auto"/>
                <w:szCs w:val="21"/>
              </w:rPr>
              <w:t>《污水综合排放标准》</w:t>
            </w:r>
            <w:r>
              <w:rPr>
                <w:rFonts w:hint="eastAsia"/>
                <w:color w:val="auto"/>
                <w:szCs w:val="21"/>
              </w:rPr>
              <w:t>（GB8978-1996）</w:t>
            </w:r>
            <w:r>
              <w:rPr>
                <w:color w:val="auto"/>
                <w:szCs w:val="21"/>
              </w:rPr>
              <w:t>表4中</w:t>
            </w:r>
            <w:r>
              <w:rPr>
                <w:rFonts w:hint="eastAsia"/>
                <w:color w:val="auto"/>
                <w:szCs w:val="21"/>
              </w:rPr>
              <w:t>三</w:t>
            </w:r>
            <w:r>
              <w:rPr>
                <w:color w:val="auto"/>
                <w:szCs w:val="21"/>
              </w:rPr>
              <w:t>级标准要求（</w:t>
            </w:r>
            <w:r>
              <w:rPr>
                <w:rFonts w:hint="eastAsia"/>
                <w:color w:val="auto"/>
                <w:szCs w:val="21"/>
              </w:rPr>
              <w:t>其中</w:t>
            </w:r>
            <w:r>
              <w:rPr>
                <w:color w:val="auto"/>
                <w:szCs w:val="21"/>
              </w:rPr>
              <w:t>NH</w:t>
            </w:r>
            <w:r>
              <w:rPr>
                <w:color w:val="auto"/>
                <w:szCs w:val="21"/>
                <w:vertAlign w:val="subscript"/>
              </w:rPr>
              <w:t>3</w:t>
            </w:r>
            <w:r>
              <w:rPr>
                <w:color w:val="auto"/>
                <w:szCs w:val="21"/>
              </w:rPr>
              <w:t>-N执行GB/T31962-2015《污水排入城镇下水道水质标准》B等级）</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15" w:hRule="atLeast"/>
          <w:jc w:val="center"/>
        </w:trPr>
        <w:tc>
          <w:tcPr>
            <w:tcW w:w="1206" w:type="dxa"/>
            <w:vMerge w:val="continue"/>
            <w:vAlign w:val="center"/>
          </w:tcPr>
          <w:p>
            <w:pPr>
              <w:pStyle w:val="68"/>
              <w:rPr>
                <w:color w:val="auto"/>
                <w:szCs w:val="21"/>
              </w:rPr>
            </w:pPr>
          </w:p>
        </w:tc>
        <w:tc>
          <w:tcPr>
            <w:tcW w:w="1596" w:type="dxa"/>
            <w:vAlign w:val="center"/>
          </w:tcPr>
          <w:p>
            <w:pPr>
              <w:pStyle w:val="68"/>
              <w:rPr>
                <w:rFonts w:hint="default" w:eastAsia="宋体"/>
                <w:color w:val="auto"/>
                <w:szCs w:val="21"/>
                <w:lang w:val="en-US" w:eastAsia="zh-CN"/>
              </w:rPr>
            </w:pPr>
            <w:r>
              <w:rPr>
                <w:rFonts w:hint="eastAsia"/>
                <w:color w:val="auto"/>
                <w:szCs w:val="21"/>
                <w:lang w:val="en-US" w:eastAsia="zh-CN"/>
              </w:rPr>
              <w:t>喷淋废水</w:t>
            </w:r>
          </w:p>
        </w:tc>
        <w:tc>
          <w:tcPr>
            <w:tcW w:w="1417" w:type="dxa"/>
            <w:vAlign w:val="center"/>
          </w:tcPr>
          <w:p>
            <w:pPr>
              <w:pStyle w:val="68"/>
              <w:rPr>
                <w:color w:val="auto"/>
                <w:szCs w:val="21"/>
              </w:rPr>
            </w:pPr>
            <w:r>
              <w:rPr>
                <w:color w:val="auto"/>
                <w:szCs w:val="21"/>
              </w:rPr>
              <w:t>pH、COD</w:t>
            </w:r>
            <w:r>
              <w:rPr>
                <w:rFonts w:hint="eastAsia"/>
                <w:color w:val="auto"/>
                <w:szCs w:val="21"/>
              </w:rPr>
              <w:t>cr</w:t>
            </w:r>
            <w:r>
              <w:rPr>
                <w:color w:val="auto"/>
                <w:szCs w:val="21"/>
              </w:rPr>
              <w:t>、</w:t>
            </w:r>
          </w:p>
          <w:p>
            <w:pPr>
              <w:pStyle w:val="68"/>
              <w:rPr>
                <w:color w:val="auto"/>
                <w:szCs w:val="21"/>
              </w:rPr>
            </w:pPr>
            <w:r>
              <w:rPr>
                <w:color w:val="auto"/>
                <w:szCs w:val="21"/>
              </w:rPr>
              <w:t>悬浮物</w:t>
            </w:r>
          </w:p>
        </w:tc>
        <w:tc>
          <w:tcPr>
            <w:tcW w:w="2035" w:type="dxa"/>
            <w:vAlign w:val="center"/>
          </w:tcPr>
          <w:p>
            <w:pPr>
              <w:pStyle w:val="68"/>
              <w:rPr>
                <w:rFonts w:hint="default" w:eastAsia="宋体"/>
                <w:color w:val="auto"/>
                <w:szCs w:val="21"/>
                <w:lang w:val="en-US" w:eastAsia="zh-CN"/>
              </w:rPr>
            </w:pPr>
            <w:r>
              <w:rPr>
                <w:rFonts w:hint="eastAsia"/>
                <w:color w:val="auto"/>
                <w:szCs w:val="21"/>
                <w:lang w:val="en-US" w:eastAsia="zh-CN"/>
              </w:rPr>
              <w:t>喷淋废水循环使用，定期更换喷淋废液（属于危废，委托有资质单位处置）</w:t>
            </w:r>
          </w:p>
        </w:tc>
        <w:tc>
          <w:tcPr>
            <w:tcW w:w="3073" w:type="dxa"/>
            <w:vAlign w:val="center"/>
          </w:tcPr>
          <w:p>
            <w:pPr>
              <w:pStyle w:val="68"/>
              <w:rPr>
                <w:rFonts w:hint="default" w:eastAsia="宋体"/>
                <w:color w:val="auto"/>
                <w:szCs w:val="21"/>
                <w:lang w:val="en-US" w:eastAsia="zh-CN"/>
              </w:rPr>
            </w:pPr>
            <w:r>
              <w:rPr>
                <w:rFonts w:hint="eastAsia"/>
                <w:color w:val="auto"/>
                <w:szCs w:val="21"/>
                <w:lang w:val="en-US" w:eastAsia="zh-CN"/>
              </w:rPr>
              <w:t>验收落实</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Align w:val="center"/>
          </w:tcPr>
          <w:p>
            <w:pPr>
              <w:pStyle w:val="68"/>
              <w:rPr>
                <w:color w:val="auto"/>
                <w:szCs w:val="21"/>
              </w:rPr>
            </w:pPr>
            <w:r>
              <w:rPr>
                <w:color w:val="auto"/>
                <w:szCs w:val="21"/>
              </w:rPr>
              <w:t>声环境</w:t>
            </w:r>
          </w:p>
        </w:tc>
        <w:tc>
          <w:tcPr>
            <w:tcW w:w="1596" w:type="dxa"/>
            <w:vAlign w:val="center"/>
          </w:tcPr>
          <w:p>
            <w:pPr>
              <w:pStyle w:val="68"/>
              <w:rPr>
                <w:color w:val="auto"/>
                <w:szCs w:val="21"/>
              </w:rPr>
            </w:pPr>
            <w:r>
              <w:rPr>
                <w:color w:val="auto"/>
                <w:szCs w:val="21"/>
              </w:rPr>
              <w:t>机械设备噪声</w:t>
            </w:r>
          </w:p>
        </w:tc>
        <w:tc>
          <w:tcPr>
            <w:tcW w:w="1417" w:type="dxa"/>
            <w:vAlign w:val="center"/>
          </w:tcPr>
          <w:p>
            <w:pPr>
              <w:pStyle w:val="68"/>
              <w:rPr>
                <w:color w:val="auto"/>
                <w:szCs w:val="21"/>
              </w:rPr>
            </w:pPr>
            <w:r>
              <w:rPr>
                <w:rFonts w:hint="eastAsia"/>
                <w:color w:val="auto"/>
                <w:szCs w:val="21"/>
              </w:rPr>
              <w:t>等效A声级</w:t>
            </w:r>
          </w:p>
        </w:tc>
        <w:tc>
          <w:tcPr>
            <w:tcW w:w="2035" w:type="dxa"/>
            <w:vAlign w:val="center"/>
          </w:tcPr>
          <w:p>
            <w:pPr>
              <w:pStyle w:val="68"/>
              <w:jc w:val="both"/>
              <w:rPr>
                <w:color w:val="auto"/>
                <w:szCs w:val="21"/>
              </w:rPr>
            </w:pPr>
            <w:r>
              <w:rPr>
                <w:rFonts w:hint="eastAsia"/>
                <w:color w:val="auto"/>
                <w:szCs w:val="21"/>
              </w:rPr>
              <w:t>高噪声设备基础</w:t>
            </w:r>
            <w:r>
              <w:rPr>
                <w:color w:val="auto"/>
                <w:szCs w:val="21"/>
              </w:rPr>
              <w:t>减振、</w:t>
            </w:r>
            <w:r>
              <w:rPr>
                <w:rFonts w:hint="eastAsia"/>
                <w:color w:val="auto"/>
                <w:szCs w:val="21"/>
              </w:rPr>
              <w:t>消声、</w:t>
            </w:r>
            <w:r>
              <w:rPr>
                <w:color w:val="auto"/>
                <w:szCs w:val="21"/>
              </w:rPr>
              <w:t>隔声</w:t>
            </w:r>
          </w:p>
        </w:tc>
        <w:tc>
          <w:tcPr>
            <w:tcW w:w="3073" w:type="dxa"/>
            <w:vAlign w:val="center"/>
          </w:tcPr>
          <w:p>
            <w:pPr>
              <w:pStyle w:val="68"/>
              <w:rPr>
                <w:color w:val="auto"/>
                <w:szCs w:val="21"/>
              </w:rPr>
            </w:pPr>
            <w:r>
              <w:rPr>
                <w:rFonts w:hint="eastAsia"/>
                <w:color w:val="auto"/>
                <w:szCs w:val="21"/>
              </w:rPr>
              <w:t>西</w:t>
            </w:r>
            <w:r>
              <w:rPr>
                <w:color w:val="auto"/>
                <w:szCs w:val="21"/>
              </w:rPr>
              <w:t>南侧沿东环路一侧厂界执行《工业企业厂界环境噪声排放标准》（GB12348-2008）中4类标准（即昼间≤70dB(A)、夜间≤55dB(A)）</w:t>
            </w:r>
            <w:r>
              <w:rPr>
                <w:rFonts w:hint="eastAsia"/>
                <w:color w:val="auto"/>
                <w:szCs w:val="21"/>
              </w:rPr>
              <w:t>；西北侧、东北侧、东南侧</w:t>
            </w:r>
            <w:r>
              <w:rPr>
                <w:color w:val="auto"/>
                <w:szCs w:val="21"/>
              </w:rPr>
              <w:t>厂界执行《工业企业厂界环境噪声排放标准》（GB12348-2008）中</w:t>
            </w:r>
            <w:r>
              <w:rPr>
                <w:rFonts w:hint="eastAsia"/>
                <w:color w:val="auto"/>
                <w:szCs w:val="21"/>
              </w:rPr>
              <w:t>2</w:t>
            </w:r>
            <w:r>
              <w:rPr>
                <w:color w:val="auto"/>
                <w:szCs w:val="21"/>
              </w:rPr>
              <w:t>类标准（即昼间≤</w:t>
            </w:r>
            <w:r>
              <w:rPr>
                <w:rFonts w:hint="eastAsia"/>
                <w:color w:val="auto"/>
                <w:szCs w:val="21"/>
              </w:rPr>
              <w:t>60</w:t>
            </w:r>
            <w:r>
              <w:rPr>
                <w:color w:val="auto"/>
                <w:szCs w:val="21"/>
              </w:rPr>
              <w:t>dB(A)、夜间≤5</w:t>
            </w:r>
            <w:r>
              <w:rPr>
                <w:rFonts w:hint="eastAsia"/>
                <w:color w:val="auto"/>
                <w:szCs w:val="21"/>
              </w:rPr>
              <w:t>0</w:t>
            </w:r>
            <w:r>
              <w:rPr>
                <w:color w:val="auto"/>
                <w:szCs w:val="21"/>
              </w:rPr>
              <w:t>dB(A)）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Align w:val="center"/>
          </w:tcPr>
          <w:p>
            <w:pPr>
              <w:pStyle w:val="68"/>
              <w:rPr>
                <w:color w:val="auto"/>
                <w:szCs w:val="21"/>
              </w:rPr>
            </w:pPr>
            <w:r>
              <w:rPr>
                <w:color w:val="auto"/>
                <w:szCs w:val="21"/>
              </w:rPr>
              <w:t>电磁辐射</w:t>
            </w:r>
          </w:p>
        </w:tc>
        <w:tc>
          <w:tcPr>
            <w:tcW w:w="8121" w:type="dxa"/>
            <w:gridSpan w:val="4"/>
            <w:vAlign w:val="center"/>
          </w:tcPr>
          <w:p>
            <w:pPr>
              <w:pStyle w:val="68"/>
              <w:rPr>
                <w:color w:val="auto"/>
                <w:szCs w:val="21"/>
              </w:rPr>
            </w:pPr>
            <w:r>
              <w:rPr>
                <w:color w:val="auto"/>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Align w:val="center"/>
          </w:tcPr>
          <w:p>
            <w:pPr>
              <w:pStyle w:val="68"/>
              <w:spacing w:line="240" w:lineRule="auto"/>
              <w:rPr>
                <w:color w:val="auto"/>
                <w:szCs w:val="21"/>
              </w:rPr>
            </w:pPr>
            <w:r>
              <w:rPr>
                <w:color w:val="auto"/>
                <w:szCs w:val="21"/>
              </w:rPr>
              <w:t>固体废物</w:t>
            </w:r>
          </w:p>
        </w:tc>
        <w:tc>
          <w:tcPr>
            <w:tcW w:w="8121" w:type="dxa"/>
            <w:gridSpan w:val="4"/>
            <w:vAlign w:val="center"/>
          </w:tcPr>
          <w:p>
            <w:pPr>
              <w:rPr>
                <w:color w:val="auto"/>
                <w:szCs w:val="21"/>
              </w:rPr>
            </w:pPr>
            <w:r>
              <w:rPr>
                <w:rFonts w:hint="eastAsia"/>
                <w:bCs/>
                <w:color w:val="auto"/>
                <w:szCs w:val="21"/>
              </w:rPr>
              <w:t>一般固废：废包装材料、废边角料</w:t>
            </w:r>
            <w:r>
              <w:rPr>
                <w:rFonts w:hint="eastAsia"/>
                <w:bCs/>
                <w:color w:val="auto"/>
                <w:szCs w:val="21"/>
                <w:lang w:eastAsia="zh-CN"/>
              </w:rPr>
              <w:t>、</w:t>
            </w:r>
            <w:r>
              <w:rPr>
                <w:rFonts w:hint="eastAsia"/>
                <w:bCs/>
                <w:color w:val="auto"/>
                <w:szCs w:val="21"/>
                <w:lang w:val="en-US" w:eastAsia="zh-CN"/>
              </w:rPr>
              <w:t>不合格品</w:t>
            </w:r>
            <w:r>
              <w:rPr>
                <w:color w:val="auto"/>
                <w:szCs w:val="21"/>
              </w:rPr>
              <w:t>收集后暂存于一般固废</w:t>
            </w:r>
            <w:r>
              <w:rPr>
                <w:rFonts w:hint="eastAsia"/>
                <w:color w:val="auto"/>
                <w:szCs w:val="21"/>
              </w:rPr>
              <w:t>仓库</w:t>
            </w:r>
            <w:r>
              <w:rPr>
                <w:color w:val="auto"/>
                <w:szCs w:val="21"/>
              </w:rPr>
              <w:t>，定期</w:t>
            </w:r>
            <w:r>
              <w:rPr>
                <w:rFonts w:hint="eastAsia"/>
                <w:color w:val="auto"/>
                <w:szCs w:val="21"/>
              </w:rPr>
              <w:t>由废品回收公司回收处理。</w:t>
            </w:r>
          </w:p>
          <w:p>
            <w:pPr>
              <w:rPr>
                <w:bCs/>
                <w:color w:val="auto"/>
                <w:szCs w:val="21"/>
              </w:rPr>
            </w:pPr>
            <w:r>
              <w:rPr>
                <w:rFonts w:hint="eastAsia"/>
                <w:color w:val="auto"/>
                <w:szCs w:val="21"/>
              </w:rPr>
              <w:t>危险废物：废油墨桶、废油墨、废粘合剂桶、废粘合剂、废活性炭、印刷辊筒擦拭废布</w:t>
            </w:r>
            <w:r>
              <w:rPr>
                <w:rFonts w:hint="eastAsia"/>
                <w:color w:val="auto"/>
                <w:szCs w:val="21"/>
                <w:lang w:eastAsia="zh-CN"/>
              </w:rPr>
              <w:t>、</w:t>
            </w:r>
            <w:r>
              <w:rPr>
                <w:rFonts w:hint="eastAsia"/>
                <w:color w:val="auto"/>
                <w:szCs w:val="21"/>
                <w:lang w:val="en-US" w:eastAsia="zh-CN"/>
              </w:rPr>
              <w:t>喷淋废液</w:t>
            </w:r>
            <w:r>
              <w:rPr>
                <w:rFonts w:hint="eastAsia"/>
                <w:color w:val="auto"/>
                <w:szCs w:val="21"/>
              </w:rPr>
              <w:t>分类收集</w:t>
            </w:r>
            <w:r>
              <w:rPr>
                <w:rFonts w:hint="eastAsia"/>
                <w:bCs/>
                <w:color w:val="auto"/>
                <w:szCs w:val="21"/>
              </w:rPr>
              <w:t>暂存于危废仓库，委托有危废资质单位处置。</w:t>
            </w:r>
            <w:r>
              <w:rPr>
                <w:rFonts w:hint="default"/>
                <w:color w:val="auto"/>
                <w:highlight w:val="none"/>
                <w:lang w:val="en-US" w:eastAsia="zh-CN"/>
              </w:rPr>
              <w:t>根据《固体废物鉴别标准 通则》（GB34330-2017），任何不需要修复和加工即可用于其原始用途的物质，可不作为固体废物管理，废溶剂桶由供应商回收重复利用，可不按照固体废物管理。</w:t>
            </w:r>
          </w:p>
          <w:p>
            <w:pPr>
              <w:pStyle w:val="68"/>
              <w:spacing w:line="240" w:lineRule="auto"/>
              <w:jc w:val="both"/>
              <w:rPr>
                <w:color w:val="auto"/>
                <w:szCs w:val="21"/>
              </w:rPr>
            </w:pPr>
            <w:r>
              <w:rPr>
                <w:rFonts w:hint="eastAsia"/>
                <w:bCs/>
                <w:color w:val="auto"/>
                <w:szCs w:val="21"/>
              </w:rPr>
              <w:t>生活垃圾：收集暂存于垃圾桶，由当地环卫部门定期清运处置。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Align w:val="center"/>
          </w:tcPr>
          <w:p>
            <w:pPr>
              <w:pStyle w:val="68"/>
              <w:spacing w:line="240" w:lineRule="auto"/>
              <w:rPr>
                <w:color w:val="auto"/>
                <w:szCs w:val="21"/>
              </w:rPr>
            </w:pPr>
            <w:r>
              <w:rPr>
                <w:color w:val="auto"/>
                <w:szCs w:val="21"/>
              </w:rPr>
              <w:t>土壤及地下水污染防治措施</w:t>
            </w:r>
          </w:p>
        </w:tc>
        <w:tc>
          <w:tcPr>
            <w:tcW w:w="8121" w:type="dxa"/>
            <w:gridSpan w:val="4"/>
            <w:vAlign w:val="center"/>
          </w:tcPr>
          <w:p>
            <w:pPr>
              <w:pStyle w:val="68"/>
              <w:spacing w:line="240" w:lineRule="auto"/>
              <w:jc w:val="both"/>
              <w:rPr>
                <w:color w:val="auto"/>
                <w:szCs w:val="21"/>
              </w:rPr>
            </w:pPr>
            <w:r>
              <w:rPr>
                <w:rFonts w:hint="eastAsia"/>
                <w:color w:val="auto"/>
              </w:rPr>
              <w:t xml:space="preserve">一般工业固废仓库及危废仓库严格按照《一般工业固体废物贮存和填埋污染控制标准》（GB18599-2020）中固废临时贮存场所的要求及《危险废物贮存污染控制标准》（GB18597-2023）要求进行建设，具备防风、防雨、防晒、防渗漏等要求。溶剂房、油墨仓库、粘合剂仓库应按照《危险化学品仓库储存通则》（GB </w:t>
            </w:r>
            <w:r>
              <w:rPr>
                <w:color w:val="auto"/>
              </w:rPr>
              <w:t>15603-2022</w:t>
            </w:r>
            <w:r>
              <w:rPr>
                <w:rFonts w:hint="eastAsia"/>
                <w:color w:val="auto"/>
              </w:rPr>
              <w:t>）和《危险化学品安全管理条例》（20</w:t>
            </w:r>
            <w:r>
              <w:rPr>
                <w:rFonts w:hint="eastAsia"/>
                <w:color w:val="auto"/>
                <w:lang w:val="en-US" w:eastAsia="zh-CN"/>
              </w:rPr>
              <w:t>13年修订</w:t>
            </w:r>
            <w:r>
              <w:rPr>
                <w:rFonts w:hint="eastAsia"/>
                <w:color w:val="auto"/>
              </w:rPr>
              <w:t>）中的要求，采取防泄漏、防溢流、防腐蚀等措施。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Align w:val="center"/>
          </w:tcPr>
          <w:p>
            <w:pPr>
              <w:pStyle w:val="68"/>
              <w:spacing w:line="240" w:lineRule="auto"/>
              <w:rPr>
                <w:color w:val="auto"/>
                <w:szCs w:val="21"/>
              </w:rPr>
            </w:pPr>
            <w:r>
              <w:rPr>
                <w:color w:val="auto"/>
                <w:szCs w:val="21"/>
              </w:rPr>
              <w:t>生态保护措施</w:t>
            </w:r>
          </w:p>
        </w:tc>
        <w:tc>
          <w:tcPr>
            <w:tcW w:w="8121" w:type="dxa"/>
            <w:gridSpan w:val="4"/>
            <w:vAlign w:val="center"/>
          </w:tcPr>
          <w:p>
            <w:pPr>
              <w:pStyle w:val="68"/>
              <w:spacing w:line="240" w:lineRule="auto"/>
              <w:rPr>
                <w:color w:val="auto"/>
                <w:szCs w:val="21"/>
              </w:rPr>
            </w:pPr>
            <w:r>
              <w:rPr>
                <w:color w:val="auto"/>
                <w:szCs w:val="21"/>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Align w:val="center"/>
          </w:tcPr>
          <w:p>
            <w:pPr>
              <w:pStyle w:val="154"/>
              <w:rPr>
                <w:color w:val="auto"/>
                <w:szCs w:val="21"/>
              </w:rPr>
            </w:pPr>
            <w:r>
              <w:rPr>
                <w:color w:val="auto"/>
                <w:szCs w:val="21"/>
              </w:rPr>
              <w:t>环境风险</w:t>
            </w:r>
          </w:p>
          <w:p>
            <w:pPr>
              <w:pStyle w:val="154"/>
              <w:rPr>
                <w:color w:val="auto"/>
                <w:szCs w:val="21"/>
              </w:rPr>
            </w:pPr>
            <w:r>
              <w:rPr>
                <w:color w:val="auto"/>
                <w:szCs w:val="21"/>
              </w:rPr>
              <w:t>防范措施</w:t>
            </w:r>
          </w:p>
        </w:tc>
        <w:tc>
          <w:tcPr>
            <w:tcW w:w="8121" w:type="dxa"/>
            <w:gridSpan w:val="4"/>
            <w:vAlign w:val="center"/>
          </w:tcPr>
          <w:p>
            <w:pPr>
              <w:pStyle w:val="154"/>
              <w:numPr>
                <w:ilvl w:val="0"/>
                <w:numId w:val="11"/>
              </w:numPr>
              <w:jc w:val="both"/>
              <w:rPr>
                <w:color w:val="auto"/>
                <w:szCs w:val="21"/>
              </w:rPr>
            </w:pPr>
            <w:r>
              <w:rPr>
                <w:color w:val="auto"/>
                <w:szCs w:val="21"/>
              </w:rPr>
              <w:t>贮存过程中安全防范措施</w:t>
            </w:r>
          </w:p>
          <w:p>
            <w:pPr>
              <w:pStyle w:val="154"/>
              <w:jc w:val="both"/>
              <w:rPr>
                <w:color w:val="auto"/>
                <w:szCs w:val="21"/>
              </w:rPr>
            </w:pPr>
            <w:r>
              <w:rPr>
                <w:color w:val="auto"/>
                <w:szCs w:val="21"/>
              </w:rPr>
              <w:t>溶剂房、粘合剂仓库、油墨仓库、厂房一楼布设通风设施，且仓库内布设消防器材、并配置</w:t>
            </w:r>
            <w:r>
              <w:rPr>
                <w:rFonts w:hint="eastAsia"/>
                <w:color w:val="auto"/>
                <w:szCs w:val="21"/>
              </w:rPr>
              <w:t>泄漏</w:t>
            </w:r>
            <w:r>
              <w:rPr>
                <w:color w:val="auto"/>
                <w:szCs w:val="21"/>
              </w:rPr>
              <w:t>应急设施。危废仓库内的废油墨、废粘合剂、废活性炭等危废采用不漏水、防腐蚀的密封袋或密封桶储存。</w:t>
            </w:r>
          </w:p>
          <w:p>
            <w:pPr>
              <w:numPr>
                <w:ilvl w:val="0"/>
                <w:numId w:val="11"/>
              </w:numPr>
              <w:rPr>
                <w:color w:val="auto"/>
              </w:rPr>
            </w:pPr>
            <w:r>
              <w:rPr>
                <w:color w:val="auto"/>
                <w:szCs w:val="21"/>
              </w:rPr>
              <w:t>剂房、粘合剂仓库、油墨仓库、危废仓库的防渗措施</w:t>
            </w:r>
          </w:p>
          <w:p>
            <w:pPr>
              <w:rPr>
                <w:color w:val="auto"/>
              </w:rPr>
            </w:pPr>
            <w:r>
              <w:rPr>
                <w:color w:val="auto"/>
                <w:szCs w:val="21"/>
              </w:rPr>
              <w:t>溶剂房、粘合剂仓库、油墨仓库、危废仓库的内部地坪宜比门口或墙体开洞低至少0.15m，以确保物料不会溢流到室外；溶剂房、粘合剂仓库、油墨仓库、危废仓库的地面基础必须防渗，防渗层应采用至少1m厚粘土层(渗透系数≤10</w:t>
            </w:r>
            <w:r>
              <w:rPr>
                <w:color w:val="auto"/>
                <w:szCs w:val="21"/>
                <w:vertAlign w:val="superscript"/>
              </w:rPr>
              <w:t>-7</w:t>
            </w:r>
            <w:r>
              <w:rPr>
                <w:color w:val="auto"/>
                <w:szCs w:val="21"/>
              </w:rPr>
              <w:t>cm/s)，或2mm厚高密度聚乙烯(HDPE土工膜)，或至少2mm厚的其他人工材料，渗透系数≤10</w:t>
            </w:r>
            <w:r>
              <w:rPr>
                <w:color w:val="auto"/>
                <w:szCs w:val="21"/>
                <w:vertAlign w:val="superscript"/>
              </w:rPr>
              <w:t>-10</w:t>
            </w:r>
            <w:r>
              <w:rPr>
                <w:color w:val="auto"/>
                <w:szCs w:val="21"/>
              </w:rPr>
              <w:t>cm/s。溶剂房、粘合剂仓库、油墨仓库地面全部进行防渗处理、裙脚与地面之间须无缝处理。</w:t>
            </w:r>
          </w:p>
          <w:p>
            <w:pPr>
              <w:numPr>
                <w:ilvl w:val="0"/>
                <w:numId w:val="11"/>
              </w:numPr>
              <w:rPr>
                <w:color w:val="auto"/>
              </w:rPr>
            </w:pPr>
            <w:r>
              <w:rPr>
                <w:color w:val="auto"/>
              </w:rPr>
              <w:t>火灾、爆炸事故的防范措施</w:t>
            </w:r>
          </w:p>
          <w:p>
            <w:pPr>
              <w:rPr>
                <w:color w:val="auto"/>
                <w:szCs w:val="21"/>
              </w:rPr>
            </w:pPr>
            <w:r>
              <w:rPr>
                <w:color w:val="auto"/>
                <w:szCs w:val="21"/>
              </w:rPr>
              <w:t>1）原辅材料、危废在储运过程中在包装上标识是否为易燃物体；生产车间、危废间设置防火、禁止吸烟等标志，原辅材料要注意防潮、远离热源、火种，在原料仓库和危险废物暂存间设置足够的消防器械。</w:t>
            </w:r>
          </w:p>
          <w:p>
            <w:pPr>
              <w:rPr>
                <w:color w:val="auto"/>
                <w:szCs w:val="21"/>
              </w:rPr>
            </w:pPr>
            <w:r>
              <w:rPr>
                <w:color w:val="auto"/>
                <w:szCs w:val="21"/>
              </w:rPr>
              <w:t>2）严格控制火源：严禁在仓库、生产车间附近吸烟和违章用火；防止金属撞击及静电火花发产生；定期测试线路绝缘防止线路老化着火；电气设施要符合防爆等级要求等，这些都是预防火源产生的措施。</w:t>
            </w:r>
          </w:p>
          <w:p>
            <w:pPr>
              <w:rPr>
                <w:color w:val="auto"/>
                <w:szCs w:val="21"/>
              </w:rPr>
            </w:pPr>
            <w:r>
              <w:rPr>
                <w:color w:val="auto"/>
                <w:szCs w:val="21"/>
              </w:rPr>
              <w:t>3）不得将原料或产品堆放于道路上，必须确保消防通道畅通及消防设施的完好可靠。</w:t>
            </w:r>
          </w:p>
          <w:p>
            <w:pPr>
              <w:rPr>
                <w:color w:val="auto"/>
                <w:szCs w:val="21"/>
              </w:rPr>
            </w:pPr>
            <w:r>
              <w:rPr>
                <w:color w:val="auto"/>
                <w:szCs w:val="21"/>
              </w:rPr>
              <w:t>4）项目应当建立健全各项消防安全制度和制定防火安全检查表。</w:t>
            </w:r>
          </w:p>
          <w:p>
            <w:pPr>
              <w:rPr>
                <w:color w:val="auto"/>
                <w:szCs w:val="21"/>
              </w:rPr>
            </w:pPr>
            <w:r>
              <w:rPr>
                <w:color w:val="auto"/>
                <w:szCs w:val="21"/>
              </w:rPr>
              <w:t>5）在生产车间要求设置明显的禁火标志；车间内设置墙式灭火栓箱，配装干粉灭火器等应急灭火器材。</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06" w:type="dxa"/>
            <w:vAlign w:val="center"/>
          </w:tcPr>
          <w:p>
            <w:pPr>
              <w:pStyle w:val="68"/>
              <w:rPr>
                <w:color w:val="auto"/>
                <w:szCs w:val="21"/>
              </w:rPr>
            </w:pPr>
            <w:r>
              <w:rPr>
                <w:color w:val="auto"/>
                <w:szCs w:val="21"/>
              </w:rPr>
              <w:t>其他环境</w:t>
            </w:r>
          </w:p>
          <w:p>
            <w:pPr>
              <w:pStyle w:val="68"/>
              <w:rPr>
                <w:color w:val="auto"/>
                <w:szCs w:val="21"/>
              </w:rPr>
            </w:pPr>
            <w:r>
              <w:rPr>
                <w:color w:val="auto"/>
                <w:szCs w:val="21"/>
              </w:rPr>
              <w:t>管理要求</w:t>
            </w:r>
          </w:p>
        </w:tc>
        <w:tc>
          <w:tcPr>
            <w:tcW w:w="8121" w:type="dxa"/>
            <w:gridSpan w:val="4"/>
            <w:vAlign w:val="center"/>
          </w:tcPr>
          <w:p>
            <w:pPr>
              <w:pStyle w:val="68"/>
              <w:numPr>
                <w:ilvl w:val="0"/>
                <w:numId w:val="12"/>
              </w:numPr>
              <w:spacing w:line="300" w:lineRule="exact"/>
              <w:jc w:val="both"/>
              <w:rPr>
                <w:color w:val="auto"/>
                <w:szCs w:val="21"/>
              </w:rPr>
            </w:pPr>
            <w:r>
              <w:rPr>
                <w:color w:val="auto"/>
                <w:szCs w:val="21"/>
              </w:rPr>
              <w:t>竣工环境保护验收</w:t>
            </w:r>
          </w:p>
          <w:p>
            <w:pPr>
              <w:pStyle w:val="68"/>
              <w:spacing w:line="300" w:lineRule="exact"/>
              <w:ind w:firstLine="420" w:firstLineChars="200"/>
              <w:jc w:val="both"/>
              <w:rPr>
                <w:color w:val="auto"/>
                <w:szCs w:val="21"/>
              </w:rPr>
            </w:pPr>
            <w:r>
              <w:rPr>
                <w:color w:val="auto"/>
                <w:szCs w:val="21"/>
              </w:rPr>
              <w:t>根据《国务院关于修改〈建设项目环境保护管理条例〉的决定》（中华人民共和国国务院令第682号，以下简称《条例》，自2017年10月1日起施行），《建设项目环境保护管理条例》第十七条修改为“编制环境影响报告书、环境影响报告表的建设项目竣工后，建设单位应当按照国务院环境保护行政主管部门规定的标准和程序，对配套建设的环境保护设施进行验收，编制验收报告”，因此自2017年10月1日起取消“建设项目竣工环境保护验收”行政审批事项，环保设施竣工验收主体由环保部门转为建设单位，建设单位需自行验收，在验收过程中与环评单位、环保施工单位、环保设计单位、监测单位、专家等共同组成验收组对项目进行竣工环保验收，进一步强化了建设单位的环境保护“三同时”主体责任。编制环境影响报告书、环境影响报告表的建设项目，其配套建设的环境保护设施经验收合格，方可投入生产或者使用；未经验收或者验收不合格的，不得投入生产或者使用。</w:t>
            </w:r>
          </w:p>
          <w:p>
            <w:pPr>
              <w:pStyle w:val="68"/>
              <w:numPr>
                <w:ilvl w:val="0"/>
                <w:numId w:val="12"/>
              </w:numPr>
              <w:spacing w:line="300" w:lineRule="exact"/>
              <w:jc w:val="both"/>
              <w:rPr>
                <w:color w:val="auto"/>
                <w:szCs w:val="21"/>
              </w:rPr>
            </w:pPr>
            <w:r>
              <w:rPr>
                <w:color w:val="auto"/>
                <w:szCs w:val="21"/>
              </w:rPr>
              <w:t>排污许可管理要求</w:t>
            </w:r>
          </w:p>
          <w:p>
            <w:pPr>
              <w:pStyle w:val="68"/>
              <w:spacing w:line="300" w:lineRule="exact"/>
              <w:ind w:firstLine="420" w:firstLineChars="200"/>
              <w:jc w:val="both"/>
              <w:rPr>
                <w:color w:val="auto"/>
                <w:szCs w:val="21"/>
              </w:rPr>
            </w:pPr>
            <w:r>
              <w:rPr>
                <w:color w:val="auto"/>
                <w:szCs w:val="21"/>
              </w:rPr>
              <w:t>根据《固定污染源排污许可分类管理名录》（2019年版），本项目属于“十八、印刷和记录媒介复制业23、39.印刷231中的其他”，属于登记管理。建设单位应在全国排污许可证管理信息平台登记基本信息、污染物排放去向、执行的污染物排放标准以及采取的污染防治措施等信息。</w:t>
            </w:r>
          </w:p>
        </w:tc>
      </w:tr>
    </w:tbl>
    <w:p>
      <w:pPr>
        <w:pStyle w:val="99"/>
        <w:rPr>
          <w:rFonts w:hint="eastAsia"/>
          <w:color w:val="auto"/>
        </w:rPr>
      </w:pPr>
      <w:r>
        <w:rPr>
          <w:color w:val="auto"/>
        </w:rPr>
        <w:br w:type="page"/>
      </w:r>
      <w:bookmarkStart w:id="32" w:name="_Toc24054"/>
      <w:r>
        <w:rPr>
          <w:color w:val="auto"/>
        </w:rPr>
        <w:drawing>
          <wp:anchor distT="0" distB="0" distL="114300" distR="114300" simplePos="0" relativeHeight="251665408" behindDoc="0" locked="0" layoutInCell="1" allowOverlap="1">
            <wp:simplePos x="0" y="0"/>
            <wp:positionH relativeFrom="column">
              <wp:posOffset>-64770</wp:posOffset>
            </wp:positionH>
            <wp:positionV relativeFrom="paragraph">
              <wp:posOffset>37465</wp:posOffset>
            </wp:positionV>
            <wp:extent cx="5799455" cy="7990840"/>
            <wp:effectExtent l="0" t="0" r="6985" b="10160"/>
            <wp:wrapNone/>
            <wp:docPr id="195" name="图片 195" descr="结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结论"/>
                    <pic:cNvPicPr>
                      <a:picLocks noChangeAspect="1"/>
                    </pic:cNvPicPr>
                  </pic:nvPicPr>
                  <pic:blipFill>
                    <a:blip r:embed="rId50"/>
                    <a:srcRect t="6155"/>
                    <a:stretch>
                      <a:fillRect/>
                    </a:stretch>
                  </pic:blipFill>
                  <pic:spPr>
                    <a:xfrm>
                      <a:off x="0" y="0"/>
                      <a:ext cx="5799455" cy="7990840"/>
                    </a:xfrm>
                    <a:prstGeom prst="rect">
                      <a:avLst/>
                    </a:prstGeom>
                  </pic:spPr>
                </pic:pic>
              </a:graphicData>
            </a:graphic>
          </wp:anchor>
        </w:drawing>
      </w:r>
      <w:r>
        <w:rPr>
          <w:color w:val="auto"/>
        </w:rPr>
        <w:t>六、结论</w:t>
      </w:r>
      <w:bookmarkEnd w:id="32"/>
    </w:p>
    <w:tbl>
      <w:tblPr>
        <w:tblStyle w:val="36"/>
        <w:tblW w:w="886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pPr>
              <w:pStyle w:val="122"/>
              <w:ind w:firstLine="480"/>
              <w:rPr>
                <w:color w:val="auto"/>
              </w:rPr>
            </w:pPr>
            <w:r>
              <w:rPr>
                <w:rFonts w:hint="eastAsia"/>
                <w:color w:val="auto"/>
                <w:szCs w:val="21"/>
              </w:rPr>
              <w:t>福建汇邦包装有限公司年产复合膜600吨及复合袋600吨生产项目</w:t>
            </w:r>
            <w:r>
              <w:rPr>
                <w:color w:val="auto"/>
              </w:rPr>
              <w:t>建设符合国家当前的产业政策，</w:t>
            </w:r>
            <w:r>
              <w:rPr>
                <w:rFonts w:hint="eastAsia"/>
                <w:color w:val="auto"/>
              </w:rPr>
              <w:t>厂址选择符合当地城市总体规划和土地利用总体规划，</w:t>
            </w:r>
            <w:r>
              <w:rPr>
                <w:color w:val="auto"/>
              </w:rPr>
              <w:t>选址合理可行，区域环境现状符合功能区划要求。在正常生产情况下排放的各类污染物</w:t>
            </w:r>
            <w:r>
              <w:rPr>
                <w:rFonts w:hint="eastAsia"/>
                <w:color w:val="auto"/>
              </w:rPr>
              <w:t>排放量不大，</w:t>
            </w:r>
            <w:r>
              <w:rPr>
                <w:color w:val="auto"/>
              </w:rPr>
              <w:t>经采取本环评提出的污染治理措施后，能够实现达标排放。建设项目在认真落实本报告提出的各项环保措施，确保项目“三同时”管理基础上，本评价从环保角度分析认为该项目在此建设是可行的。</w:t>
            </w:r>
          </w:p>
          <w:p>
            <w:pPr>
              <w:pStyle w:val="122"/>
              <w:ind w:firstLine="480"/>
              <w:rPr>
                <w:color w:val="auto"/>
              </w:rPr>
            </w:pPr>
          </w:p>
          <w:p>
            <w:pPr>
              <w:pStyle w:val="122"/>
              <w:ind w:firstLine="480"/>
              <w:rPr>
                <w:color w:val="auto"/>
              </w:rPr>
            </w:pPr>
          </w:p>
          <w:p>
            <w:pPr>
              <w:pStyle w:val="122"/>
              <w:ind w:firstLine="480"/>
              <w:rPr>
                <w:color w:val="auto"/>
              </w:rPr>
            </w:pPr>
          </w:p>
          <w:p>
            <w:pPr>
              <w:pStyle w:val="122"/>
              <w:ind w:firstLine="480"/>
              <w:rPr>
                <w:color w:val="auto"/>
              </w:rPr>
            </w:pPr>
          </w:p>
          <w:p>
            <w:pPr>
              <w:spacing w:line="360" w:lineRule="auto"/>
              <w:jc w:val="right"/>
              <w:rPr>
                <w:b/>
                <w:color w:val="auto"/>
                <w:sz w:val="28"/>
              </w:rPr>
            </w:pPr>
            <w:r>
              <w:rPr>
                <w:rFonts w:hint="eastAsia"/>
                <w:b/>
                <w:color w:val="auto"/>
                <w:sz w:val="28"/>
                <w:lang w:val="en-US" w:eastAsia="zh-CN"/>
              </w:rPr>
              <w:t>厦门欣优杰</w:t>
            </w:r>
            <w:r>
              <w:rPr>
                <w:rFonts w:hint="eastAsia"/>
                <w:b/>
                <w:color w:val="auto"/>
                <w:sz w:val="28"/>
              </w:rPr>
              <w:t>环保科技有限公司</w:t>
            </w:r>
          </w:p>
          <w:p>
            <w:pPr>
              <w:spacing w:line="360" w:lineRule="auto"/>
              <w:ind w:firstLine="6184" w:firstLineChars="2200"/>
              <w:rPr>
                <w:b/>
                <w:color w:val="auto"/>
                <w:sz w:val="28"/>
              </w:rPr>
            </w:pPr>
            <w:r>
              <w:rPr>
                <w:b/>
                <w:color w:val="auto"/>
                <w:sz w:val="28"/>
              </w:rPr>
              <w:t>202</w:t>
            </w:r>
            <w:r>
              <w:rPr>
                <w:rFonts w:hint="eastAsia"/>
                <w:b/>
                <w:color w:val="auto"/>
                <w:sz w:val="28"/>
              </w:rPr>
              <w:t>5</w:t>
            </w:r>
            <w:r>
              <w:rPr>
                <w:b/>
                <w:color w:val="auto"/>
                <w:sz w:val="28"/>
              </w:rPr>
              <w:t>年</w:t>
            </w:r>
            <w:r>
              <w:rPr>
                <w:rFonts w:hint="eastAsia"/>
                <w:b/>
                <w:color w:val="auto"/>
                <w:sz w:val="28"/>
              </w:rPr>
              <w:t>10</w:t>
            </w:r>
            <w:r>
              <w:rPr>
                <w:b/>
                <w:color w:val="auto"/>
                <w:sz w:val="28"/>
              </w:rPr>
              <w:t>月</w:t>
            </w:r>
          </w:p>
          <w:p>
            <w:pPr>
              <w:spacing w:line="360" w:lineRule="auto"/>
              <w:ind w:firstLine="6184" w:firstLineChars="2200"/>
              <w:rPr>
                <w:b/>
                <w:color w:val="auto"/>
                <w:sz w:val="28"/>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p>
            <w:pPr>
              <w:spacing w:line="360" w:lineRule="auto"/>
              <w:rPr>
                <w:color w:val="auto"/>
                <w:sz w:val="24"/>
              </w:rPr>
            </w:pPr>
          </w:p>
        </w:tc>
      </w:tr>
    </w:tbl>
    <w:p>
      <w:pPr>
        <w:rPr>
          <w:color w:val="auto"/>
        </w:rPr>
        <w:sectPr>
          <w:pgSz w:w="11906" w:h="16838"/>
          <w:pgMar w:top="1701" w:right="1531" w:bottom="1701" w:left="1531" w:header="851" w:footer="851" w:gutter="0"/>
          <w:cols w:space="720" w:num="1"/>
          <w:docGrid w:linePitch="312" w:charSpace="0"/>
        </w:sectPr>
      </w:pPr>
    </w:p>
    <w:p>
      <w:pPr>
        <w:pStyle w:val="33"/>
        <w:adjustRightInd w:val="0"/>
        <w:snapToGrid w:val="0"/>
        <w:spacing w:before="0" w:beforeAutospacing="0" w:after="0" w:afterAutospacing="0"/>
        <w:outlineLvl w:val="0"/>
        <w:rPr>
          <w:rFonts w:ascii="Times New Roman" w:hAnsi="Times New Roman" w:eastAsia="黑体"/>
          <w:snapToGrid w:val="0"/>
          <w:color w:val="auto"/>
          <w:sz w:val="32"/>
          <w:szCs w:val="32"/>
          <w:highlight w:val="green"/>
        </w:rPr>
      </w:pPr>
      <w:r>
        <w:rPr>
          <w:rFonts w:ascii="Times New Roman" w:hAnsi="Times New Roman" w:eastAsia="黑体"/>
          <w:snapToGrid w:val="0"/>
          <w:color w:val="auto"/>
          <w:sz w:val="32"/>
          <w:szCs w:val="32"/>
        </w:rPr>
        <w:t>附表</w:t>
      </w:r>
    </w:p>
    <w:p>
      <w:pPr>
        <w:pStyle w:val="33"/>
        <w:adjustRightInd w:val="0"/>
        <w:snapToGrid w:val="0"/>
        <w:spacing w:before="0" w:beforeAutospacing="0" w:after="0" w:afterAutospacing="0"/>
        <w:jc w:val="center"/>
        <w:outlineLvl w:val="0"/>
        <w:rPr>
          <w:rFonts w:ascii="Times New Roman" w:hAnsi="Times New Roman" w:eastAsia="方正小标宋_GBK"/>
          <w:snapToGrid w:val="0"/>
          <w:color w:val="auto"/>
          <w:sz w:val="28"/>
          <w:szCs w:val="28"/>
        </w:rPr>
      </w:pPr>
      <w:r>
        <w:rPr>
          <w:rFonts w:ascii="Times New Roman" w:hAnsi="Times New Roman" w:eastAsia="方正小标宋_GBK"/>
          <w:snapToGrid w:val="0"/>
          <w:color w:val="auto"/>
          <w:sz w:val="28"/>
          <w:szCs w:val="28"/>
        </w:rPr>
        <w:t>建设项目污染物排放量汇总表</w:t>
      </w:r>
    </w:p>
    <w:tbl>
      <w:tblPr>
        <w:tblStyle w:val="36"/>
        <w:tblW w:w="14173"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97"/>
        <w:gridCol w:w="1917"/>
        <w:gridCol w:w="1593"/>
        <w:gridCol w:w="1304"/>
        <w:gridCol w:w="1738"/>
        <w:gridCol w:w="1593"/>
        <w:gridCol w:w="1450"/>
        <w:gridCol w:w="1747"/>
        <w:gridCol w:w="153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tcBorders>
              <w:tl2br w:val="single" w:color="auto" w:sz="4" w:space="0"/>
            </w:tcBorders>
            <w:tcMar>
              <w:left w:w="28" w:type="dxa"/>
              <w:right w:w="28" w:type="dxa"/>
            </w:tcMar>
            <w:vAlign w:val="center"/>
          </w:tcPr>
          <w:p>
            <w:pPr>
              <w:pStyle w:val="101"/>
              <w:spacing w:beforeLines="0" w:afterLines="0" w:line="240" w:lineRule="auto"/>
              <w:jc w:val="right"/>
              <w:rPr>
                <w:rFonts w:ascii="Times New Roman" w:eastAsia="黑体"/>
                <w:snapToGrid w:val="0"/>
                <w:color w:val="auto"/>
                <w:spacing w:val="-6"/>
                <w:kern w:val="21"/>
                <w:szCs w:val="21"/>
              </w:rPr>
            </w:pPr>
            <w:r>
              <w:rPr>
                <w:rFonts w:ascii="Times New Roman" w:eastAsia="黑体"/>
                <w:snapToGrid w:val="0"/>
                <w:color w:val="auto"/>
                <w:spacing w:val="-6"/>
                <w:kern w:val="21"/>
                <w:szCs w:val="21"/>
              </w:rPr>
              <w:t>项目</w:t>
            </w:r>
          </w:p>
          <w:p>
            <w:pPr>
              <w:pStyle w:val="101"/>
              <w:spacing w:beforeLines="0" w:afterLines="0" w:line="240" w:lineRule="auto"/>
              <w:jc w:val="left"/>
              <w:rPr>
                <w:rFonts w:ascii="Times New Roman" w:eastAsia="黑体"/>
                <w:snapToGrid w:val="0"/>
                <w:color w:val="auto"/>
                <w:spacing w:val="-6"/>
                <w:kern w:val="21"/>
                <w:szCs w:val="21"/>
              </w:rPr>
            </w:pPr>
            <w:r>
              <w:rPr>
                <w:rFonts w:ascii="Times New Roman" w:eastAsia="黑体"/>
                <w:snapToGrid w:val="0"/>
                <w:color w:val="auto"/>
                <w:spacing w:val="-6"/>
                <w:kern w:val="21"/>
                <w:szCs w:val="21"/>
              </w:rPr>
              <w:t>分类</w:t>
            </w:r>
          </w:p>
        </w:tc>
        <w:tc>
          <w:tcPr>
            <w:tcW w:w="1917" w:type="dxa"/>
            <w:tcMar>
              <w:left w:w="28" w:type="dxa"/>
              <w:right w:w="28" w:type="dxa"/>
            </w:tcMar>
            <w:vAlign w:val="center"/>
          </w:tcPr>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污染物名称</w:t>
            </w:r>
          </w:p>
        </w:tc>
        <w:tc>
          <w:tcPr>
            <w:tcW w:w="1593" w:type="dxa"/>
            <w:tcMar>
              <w:left w:w="28" w:type="dxa"/>
              <w:right w:w="28" w:type="dxa"/>
            </w:tcMar>
            <w:vAlign w:val="center"/>
          </w:tcPr>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1 \* GB3 \* MERGEFORMAT </w:instrText>
            </w:r>
            <w:r>
              <w:rPr>
                <w:rFonts w:ascii="Times New Roman" w:eastAsia="黑体"/>
                <w:snapToGrid w:val="0"/>
                <w:color w:val="auto"/>
                <w:spacing w:val="-6"/>
                <w:kern w:val="21"/>
                <w:szCs w:val="21"/>
              </w:rPr>
              <w:fldChar w:fldCharType="separate"/>
            </w:r>
            <w:r>
              <w:rPr>
                <w:rFonts w:ascii="Times New Roman"/>
                <w:color w:val="auto"/>
                <w:szCs w:val="21"/>
              </w:rPr>
              <w:t>①</w:t>
            </w:r>
            <w:r>
              <w:rPr>
                <w:rFonts w:ascii="Times New Roman" w:eastAsia="黑体"/>
                <w:snapToGrid w:val="0"/>
                <w:color w:val="auto"/>
                <w:spacing w:val="-6"/>
                <w:kern w:val="21"/>
                <w:szCs w:val="21"/>
              </w:rPr>
              <w:fldChar w:fldCharType="end"/>
            </w:r>
          </w:p>
        </w:tc>
        <w:tc>
          <w:tcPr>
            <w:tcW w:w="1304" w:type="dxa"/>
            <w:tcMar>
              <w:left w:w="28" w:type="dxa"/>
              <w:right w:w="28" w:type="dxa"/>
            </w:tcMar>
            <w:vAlign w:val="center"/>
          </w:tcPr>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现有工程</w:t>
            </w:r>
          </w:p>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许可排放量</w:t>
            </w:r>
          </w:p>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2 \* GB3 \* MERGEFORMAT </w:instrText>
            </w:r>
            <w:r>
              <w:rPr>
                <w:rFonts w:ascii="Times New Roman" w:eastAsia="黑体"/>
                <w:snapToGrid w:val="0"/>
                <w:color w:val="auto"/>
                <w:spacing w:val="-6"/>
                <w:kern w:val="21"/>
                <w:szCs w:val="21"/>
              </w:rPr>
              <w:fldChar w:fldCharType="separate"/>
            </w:r>
            <w:r>
              <w:rPr>
                <w:rFonts w:ascii="Times New Roman"/>
                <w:snapToGrid w:val="0"/>
                <w:color w:val="auto"/>
                <w:spacing w:val="-6"/>
                <w:kern w:val="21"/>
                <w:szCs w:val="21"/>
              </w:rPr>
              <w:t>②</w:t>
            </w:r>
            <w:r>
              <w:rPr>
                <w:rFonts w:ascii="Times New Roman" w:eastAsia="黑体"/>
                <w:snapToGrid w:val="0"/>
                <w:color w:val="auto"/>
                <w:spacing w:val="-6"/>
                <w:kern w:val="21"/>
                <w:szCs w:val="21"/>
              </w:rPr>
              <w:fldChar w:fldCharType="end"/>
            </w:r>
          </w:p>
        </w:tc>
        <w:tc>
          <w:tcPr>
            <w:tcW w:w="1738" w:type="dxa"/>
            <w:tcMar>
              <w:left w:w="28" w:type="dxa"/>
              <w:right w:w="28" w:type="dxa"/>
            </w:tcMar>
            <w:vAlign w:val="center"/>
          </w:tcPr>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在建工程</w:t>
            </w:r>
          </w:p>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3 \* GB3 \* MERGEFORMAT </w:instrText>
            </w:r>
            <w:r>
              <w:rPr>
                <w:rFonts w:ascii="Times New Roman" w:eastAsia="黑体"/>
                <w:snapToGrid w:val="0"/>
                <w:color w:val="auto"/>
                <w:spacing w:val="-6"/>
                <w:kern w:val="21"/>
                <w:szCs w:val="21"/>
              </w:rPr>
              <w:fldChar w:fldCharType="separate"/>
            </w:r>
            <w:r>
              <w:rPr>
                <w:rFonts w:ascii="Times New Roman"/>
                <w:color w:val="auto"/>
                <w:szCs w:val="21"/>
              </w:rPr>
              <w:t>③</w:t>
            </w:r>
            <w:r>
              <w:rPr>
                <w:rFonts w:ascii="Times New Roman" w:eastAsia="黑体"/>
                <w:snapToGrid w:val="0"/>
                <w:color w:val="auto"/>
                <w:spacing w:val="-6"/>
                <w:kern w:val="21"/>
                <w:szCs w:val="21"/>
              </w:rPr>
              <w:fldChar w:fldCharType="end"/>
            </w:r>
          </w:p>
        </w:tc>
        <w:tc>
          <w:tcPr>
            <w:tcW w:w="1593" w:type="dxa"/>
            <w:tcMar>
              <w:left w:w="28" w:type="dxa"/>
              <w:right w:w="28" w:type="dxa"/>
            </w:tcMar>
            <w:vAlign w:val="center"/>
          </w:tcPr>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本项目</w:t>
            </w:r>
          </w:p>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排放量(固体废物产生量)</w:t>
            </w: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4 \* GB3 \* MERGEFORMAT </w:instrText>
            </w:r>
            <w:r>
              <w:rPr>
                <w:rFonts w:ascii="Times New Roman" w:eastAsia="黑体"/>
                <w:snapToGrid w:val="0"/>
                <w:color w:val="auto"/>
                <w:spacing w:val="-6"/>
                <w:kern w:val="21"/>
                <w:szCs w:val="21"/>
              </w:rPr>
              <w:fldChar w:fldCharType="separate"/>
            </w:r>
            <w:r>
              <w:rPr>
                <w:rFonts w:ascii="Times New Roman"/>
                <w:color w:val="auto"/>
                <w:szCs w:val="21"/>
              </w:rPr>
              <w:t>④</w:t>
            </w:r>
            <w:r>
              <w:rPr>
                <w:rFonts w:ascii="Times New Roman" w:eastAsia="黑体"/>
                <w:snapToGrid w:val="0"/>
                <w:color w:val="auto"/>
                <w:spacing w:val="-6"/>
                <w:kern w:val="21"/>
                <w:szCs w:val="21"/>
              </w:rPr>
              <w:fldChar w:fldCharType="end"/>
            </w:r>
          </w:p>
        </w:tc>
        <w:tc>
          <w:tcPr>
            <w:tcW w:w="1450" w:type="dxa"/>
            <w:tcMar>
              <w:left w:w="28" w:type="dxa"/>
              <w:right w:w="28" w:type="dxa"/>
            </w:tcMar>
            <w:vAlign w:val="center"/>
          </w:tcPr>
          <w:p>
            <w:pPr>
              <w:pStyle w:val="101"/>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以新带老削减量</w:t>
            </w:r>
          </w:p>
          <w:p>
            <w:pPr>
              <w:pStyle w:val="101"/>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(新建项目不填)</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5 \* GB3 \* MERGEFORMAT </w:instrText>
            </w:r>
            <w:r>
              <w:rPr>
                <w:rFonts w:ascii="Times New Roman" w:eastAsia="黑体"/>
                <w:snapToGrid w:val="0"/>
                <w:color w:val="auto"/>
                <w:spacing w:val="-16"/>
                <w:kern w:val="21"/>
                <w:szCs w:val="21"/>
              </w:rPr>
              <w:fldChar w:fldCharType="separate"/>
            </w:r>
            <w:r>
              <w:rPr>
                <w:rFonts w:ascii="Times New Roman"/>
                <w:color w:val="auto"/>
                <w:szCs w:val="21"/>
              </w:rPr>
              <w:t>⑤</w:t>
            </w:r>
            <w:r>
              <w:rPr>
                <w:rFonts w:ascii="Times New Roman" w:eastAsia="黑体"/>
                <w:snapToGrid w:val="0"/>
                <w:color w:val="auto"/>
                <w:spacing w:val="-16"/>
                <w:kern w:val="21"/>
                <w:szCs w:val="21"/>
              </w:rPr>
              <w:fldChar w:fldCharType="end"/>
            </w:r>
          </w:p>
        </w:tc>
        <w:tc>
          <w:tcPr>
            <w:tcW w:w="1747" w:type="dxa"/>
            <w:tcMar>
              <w:left w:w="28" w:type="dxa"/>
              <w:right w:w="28" w:type="dxa"/>
            </w:tcMar>
            <w:vAlign w:val="center"/>
          </w:tcPr>
          <w:p>
            <w:pPr>
              <w:pStyle w:val="101"/>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本项目建成后</w:t>
            </w:r>
          </w:p>
          <w:p>
            <w:pPr>
              <w:pStyle w:val="101"/>
              <w:spacing w:beforeLines="0" w:afterLines="0" w:line="240" w:lineRule="auto"/>
              <w:rPr>
                <w:rFonts w:ascii="Times New Roman" w:eastAsia="黑体"/>
                <w:snapToGrid w:val="0"/>
                <w:color w:val="auto"/>
                <w:spacing w:val="-16"/>
                <w:kern w:val="21"/>
                <w:szCs w:val="21"/>
              </w:rPr>
            </w:pPr>
            <w:r>
              <w:rPr>
                <w:rFonts w:ascii="Times New Roman" w:eastAsia="黑体"/>
                <w:snapToGrid w:val="0"/>
                <w:color w:val="auto"/>
                <w:spacing w:val="-16"/>
                <w:kern w:val="21"/>
                <w:szCs w:val="21"/>
              </w:rPr>
              <w:t>全厂排放量(固体废物产生量)</w:t>
            </w:r>
            <w:r>
              <w:rPr>
                <w:rFonts w:ascii="Times New Roman" w:eastAsia="黑体"/>
                <w:snapToGrid w:val="0"/>
                <w:color w:val="auto"/>
                <w:spacing w:val="-16"/>
                <w:kern w:val="21"/>
                <w:szCs w:val="21"/>
              </w:rPr>
              <w:fldChar w:fldCharType="begin"/>
            </w:r>
            <w:r>
              <w:rPr>
                <w:rFonts w:ascii="Times New Roman" w:eastAsia="黑体"/>
                <w:snapToGrid w:val="0"/>
                <w:color w:val="auto"/>
                <w:spacing w:val="-16"/>
                <w:kern w:val="21"/>
                <w:szCs w:val="21"/>
              </w:rPr>
              <w:instrText xml:space="preserve"> = 6 \* GB3 \* MERGEFORMAT </w:instrText>
            </w:r>
            <w:r>
              <w:rPr>
                <w:rFonts w:ascii="Times New Roman" w:eastAsia="黑体"/>
                <w:snapToGrid w:val="0"/>
                <w:color w:val="auto"/>
                <w:spacing w:val="-16"/>
                <w:kern w:val="21"/>
                <w:szCs w:val="21"/>
              </w:rPr>
              <w:fldChar w:fldCharType="separate"/>
            </w:r>
            <w:r>
              <w:rPr>
                <w:rFonts w:ascii="Times New Roman"/>
                <w:color w:val="auto"/>
                <w:szCs w:val="21"/>
              </w:rPr>
              <w:t>⑥</w:t>
            </w:r>
            <w:r>
              <w:rPr>
                <w:rFonts w:ascii="Times New Roman" w:eastAsia="黑体"/>
                <w:snapToGrid w:val="0"/>
                <w:color w:val="auto"/>
                <w:spacing w:val="-16"/>
                <w:kern w:val="21"/>
                <w:szCs w:val="21"/>
              </w:rPr>
              <w:fldChar w:fldCharType="end"/>
            </w:r>
          </w:p>
        </w:tc>
        <w:tc>
          <w:tcPr>
            <w:tcW w:w="1534" w:type="dxa"/>
            <w:tcMar>
              <w:left w:w="28" w:type="dxa"/>
              <w:right w:w="28" w:type="dxa"/>
            </w:tcMar>
            <w:vAlign w:val="center"/>
          </w:tcPr>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t>变化量</w:t>
            </w:r>
          </w:p>
          <w:p>
            <w:pPr>
              <w:pStyle w:val="101"/>
              <w:spacing w:beforeLines="0" w:afterLines="0" w:line="240" w:lineRule="auto"/>
              <w:rPr>
                <w:rFonts w:ascii="Times New Roman" w:eastAsia="黑体"/>
                <w:snapToGrid w:val="0"/>
                <w:color w:val="auto"/>
                <w:spacing w:val="-6"/>
                <w:kern w:val="21"/>
                <w:szCs w:val="21"/>
              </w:rPr>
            </w:pPr>
            <w:r>
              <w:rPr>
                <w:rFonts w:ascii="Times New Roman" w:eastAsia="黑体"/>
                <w:snapToGrid w:val="0"/>
                <w:color w:val="auto"/>
                <w:spacing w:val="-6"/>
                <w:kern w:val="21"/>
                <w:szCs w:val="21"/>
              </w:rPr>
              <w:fldChar w:fldCharType="begin"/>
            </w:r>
            <w:r>
              <w:rPr>
                <w:rFonts w:ascii="Times New Roman" w:eastAsia="黑体"/>
                <w:snapToGrid w:val="0"/>
                <w:color w:val="auto"/>
                <w:spacing w:val="-6"/>
                <w:kern w:val="21"/>
                <w:szCs w:val="21"/>
              </w:rPr>
              <w:instrText xml:space="preserve"> = 7 \* GB3 \* MERGEFORMAT </w:instrText>
            </w:r>
            <w:r>
              <w:rPr>
                <w:rFonts w:ascii="Times New Roman" w:eastAsia="黑体"/>
                <w:snapToGrid w:val="0"/>
                <w:color w:val="auto"/>
                <w:spacing w:val="-6"/>
                <w:kern w:val="21"/>
                <w:szCs w:val="21"/>
              </w:rPr>
              <w:fldChar w:fldCharType="separate"/>
            </w:r>
            <w:r>
              <w:rPr>
                <w:rFonts w:ascii="Times New Roman"/>
                <w:color w:val="auto"/>
                <w:szCs w:val="21"/>
              </w:rPr>
              <w:t>⑦</w:t>
            </w:r>
            <w:r>
              <w:rPr>
                <w:rFonts w:ascii="Times New Roman" w:eastAsia="黑体"/>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restart"/>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废水</w:t>
            </w:r>
          </w:p>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(生活污水)</w:t>
            </w:r>
          </w:p>
        </w:tc>
        <w:tc>
          <w:tcPr>
            <w:tcW w:w="1917" w:type="dxa"/>
            <w:vAlign w:val="center"/>
          </w:tcPr>
          <w:p>
            <w:pPr>
              <w:jc w:val="center"/>
              <w:rPr>
                <w:color w:val="auto"/>
                <w:szCs w:val="21"/>
              </w:rPr>
            </w:pPr>
            <w:r>
              <w:rPr>
                <w:rFonts w:hint="eastAsia"/>
                <w:color w:val="auto"/>
                <w:szCs w:val="21"/>
              </w:rPr>
              <w:t>废</w:t>
            </w:r>
            <w:r>
              <w:rPr>
                <w:color w:val="auto"/>
                <w:szCs w:val="21"/>
              </w:rPr>
              <w:t>水量</w:t>
            </w:r>
          </w:p>
        </w:tc>
        <w:tc>
          <w:tcPr>
            <w:tcW w:w="1593" w:type="dxa"/>
            <w:vAlign w:val="center"/>
          </w:tcPr>
          <w:p>
            <w:pPr>
              <w:pStyle w:val="154"/>
              <w:rPr>
                <w:snapToGrid w:val="0"/>
                <w:color w:val="auto"/>
                <w:kern w:val="21"/>
                <w:szCs w:val="21"/>
              </w:rPr>
            </w:pPr>
            <w:r>
              <w:rPr>
                <w:rFonts w:hint="eastAsia"/>
                <w:color w:val="auto"/>
                <w:szCs w:val="21"/>
              </w:rPr>
              <w:t>864t/a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widowControl/>
              <w:jc w:val="center"/>
              <w:textAlignment w:val="center"/>
              <w:rPr>
                <w:snapToGrid w:val="0"/>
                <w:color w:val="auto"/>
                <w:kern w:val="21"/>
                <w:szCs w:val="21"/>
              </w:rPr>
            </w:pPr>
            <w:r>
              <w:rPr>
                <w:rFonts w:hint="eastAsia"/>
                <w:snapToGrid w:val="0"/>
                <w:color w:val="auto"/>
                <w:kern w:val="21"/>
                <w:szCs w:val="21"/>
              </w:rPr>
              <w:t>2160t/a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widowControl/>
              <w:jc w:val="center"/>
              <w:textAlignment w:val="center"/>
              <w:rPr>
                <w:snapToGrid w:val="0"/>
                <w:color w:val="auto"/>
                <w:kern w:val="21"/>
                <w:szCs w:val="21"/>
              </w:rPr>
            </w:pPr>
            <w:r>
              <w:rPr>
                <w:rFonts w:hint="eastAsia"/>
                <w:snapToGrid w:val="0"/>
                <w:color w:val="auto"/>
                <w:kern w:val="21"/>
                <w:szCs w:val="21"/>
              </w:rPr>
              <w:t>3024t/a</w:t>
            </w:r>
          </w:p>
        </w:tc>
        <w:tc>
          <w:tcPr>
            <w:tcW w:w="1534" w:type="dxa"/>
            <w:vAlign w:val="center"/>
          </w:tcPr>
          <w:p>
            <w:pPr>
              <w:widowControl/>
              <w:jc w:val="center"/>
              <w:textAlignment w:val="center"/>
              <w:rPr>
                <w:snapToGrid w:val="0"/>
                <w:color w:val="auto"/>
                <w:kern w:val="21"/>
                <w:szCs w:val="21"/>
              </w:rPr>
            </w:pPr>
            <w:r>
              <w:rPr>
                <w:rFonts w:hint="eastAsia"/>
                <w:snapToGrid w:val="0"/>
                <w:color w:val="auto"/>
                <w:kern w:val="21"/>
                <w:szCs w:val="21"/>
              </w:rPr>
              <w:t>+2160t/a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jc w:val="center"/>
              <w:rPr>
                <w:color w:val="auto"/>
                <w:szCs w:val="21"/>
              </w:rPr>
            </w:pPr>
            <w:r>
              <w:rPr>
                <w:color w:val="auto"/>
                <w:szCs w:val="21"/>
              </w:rPr>
              <w:t>化学需氧量</w:t>
            </w:r>
          </w:p>
        </w:tc>
        <w:tc>
          <w:tcPr>
            <w:tcW w:w="1593" w:type="dxa"/>
            <w:vAlign w:val="center"/>
          </w:tcPr>
          <w:p>
            <w:pPr>
              <w:pStyle w:val="154"/>
              <w:rPr>
                <w:snapToGrid w:val="0"/>
                <w:color w:val="auto"/>
                <w:kern w:val="21"/>
                <w:szCs w:val="21"/>
              </w:rPr>
            </w:pPr>
            <w:r>
              <w:rPr>
                <w:color w:val="auto"/>
                <w:szCs w:val="21"/>
              </w:rPr>
              <w:t>0.</w:t>
            </w:r>
            <w:r>
              <w:rPr>
                <w:rFonts w:hint="eastAsia"/>
                <w:color w:val="auto"/>
                <w:szCs w:val="21"/>
              </w:rPr>
              <w:t>111t/a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widowControl/>
              <w:jc w:val="center"/>
              <w:textAlignment w:val="center"/>
              <w:rPr>
                <w:snapToGrid w:val="0"/>
                <w:color w:val="auto"/>
                <w:kern w:val="21"/>
                <w:szCs w:val="21"/>
              </w:rPr>
            </w:pPr>
            <w:r>
              <w:rPr>
                <w:rFonts w:hint="eastAsia"/>
                <w:snapToGrid w:val="0"/>
                <w:color w:val="auto"/>
                <w:kern w:val="21"/>
                <w:szCs w:val="21"/>
              </w:rPr>
              <w:t>0.734t/a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widowControl/>
              <w:jc w:val="center"/>
              <w:textAlignment w:val="center"/>
              <w:rPr>
                <w:snapToGrid w:val="0"/>
                <w:color w:val="auto"/>
                <w:kern w:val="21"/>
                <w:szCs w:val="21"/>
              </w:rPr>
            </w:pPr>
            <w:r>
              <w:rPr>
                <w:rFonts w:hint="eastAsia"/>
                <w:snapToGrid w:val="0"/>
                <w:color w:val="auto"/>
                <w:kern w:val="21"/>
                <w:szCs w:val="21"/>
              </w:rPr>
              <w:t>0.845t/a</w:t>
            </w:r>
          </w:p>
        </w:tc>
        <w:tc>
          <w:tcPr>
            <w:tcW w:w="1534" w:type="dxa"/>
            <w:vAlign w:val="center"/>
          </w:tcPr>
          <w:p>
            <w:pPr>
              <w:widowControl/>
              <w:jc w:val="center"/>
              <w:textAlignment w:val="center"/>
              <w:rPr>
                <w:snapToGrid w:val="0"/>
                <w:color w:val="auto"/>
                <w:kern w:val="21"/>
                <w:szCs w:val="21"/>
              </w:rPr>
            </w:pPr>
            <w:r>
              <w:rPr>
                <w:rFonts w:hint="eastAsia"/>
                <w:snapToGrid w:val="0"/>
                <w:color w:val="auto"/>
                <w:kern w:val="21"/>
                <w:szCs w:val="21"/>
              </w:rPr>
              <w:t>+0.734t/a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jc w:val="center"/>
              <w:rPr>
                <w:color w:val="auto"/>
                <w:szCs w:val="21"/>
              </w:rPr>
            </w:pPr>
            <w:r>
              <w:rPr>
                <w:rFonts w:hint="eastAsia"/>
                <w:color w:val="auto"/>
                <w:szCs w:val="21"/>
              </w:rPr>
              <w:t>五日生化需氧量</w:t>
            </w:r>
          </w:p>
        </w:tc>
        <w:tc>
          <w:tcPr>
            <w:tcW w:w="1593" w:type="dxa"/>
            <w:vAlign w:val="center"/>
          </w:tcPr>
          <w:p>
            <w:pPr>
              <w:pStyle w:val="154"/>
              <w:rPr>
                <w:snapToGrid w:val="0"/>
                <w:color w:val="auto"/>
                <w:kern w:val="21"/>
                <w:szCs w:val="21"/>
              </w:rPr>
            </w:pPr>
            <w:r>
              <w:rPr>
                <w:rFonts w:hint="eastAsia"/>
                <w:color w:val="auto"/>
                <w:szCs w:val="21"/>
              </w:rPr>
              <w:t>0.022t/a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widowControl/>
              <w:jc w:val="center"/>
              <w:textAlignment w:val="center"/>
              <w:rPr>
                <w:snapToGrid w:val="0"/>
                <w:color w:val="auto"/>
                <w:kern w:val="21"/>
                <w:szCs w:val="21"/>
              </w:rPr>
            </w:pPr>
            <w:r>
              <w:rPr>
                <w:rFonts w:hint="eastAsia"/>
                <w:snapToGrid w:val="0"/>
                <w:color w:val="auto"/>
                <w:kern w:val="21"/>
                <w:szCs w:val="21"/>
              </w:rPr>
              <w:t>0.482t/a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widowControl/>
              <w:jc w:val="center"/>
              <w:textAlignment w:val="center"/>
              <w:rPr>
                <w:snapToGrid w:val="0"/>
                <w:color w:val="auto"/>
                <w:kern w:val="21"/>
                <w:szCs w:val="21"/>
              </w:rPr>
            </w:pPr>
            <w:r>
              <w:rPr>
                <w:rFonts w:hint="eastAsia"/>
                <w:snapToGrid w:val="0"/>
                <w:color w:val="auto"/>
                <w:kern w:val="21"/>
                <w:szCs w:val="21"/>
              </w:rPr>
              <w:t>0.504t/a</w:t>
            </w:r>
          </w:p>
        </w:tc>
        <w:tc>
          <w:tcPr>
            <w:tcW w:w="1534" w:type="dxa"/>
            <w:vAlign w:val="center"/>
          </w:tcPr>
          <w:p>
            <w:pPr>
              <w:widowControl/>
              <w:jc w:val="center"/>
              <w:textAlignment w:val="center"/>
              <w:rPr>
                <w:snapToGrid w:val="0"/>
                <w:color w:val="auto"/>
                <w:kern w:val="21"/>
                <w:szCs w:val="21"/>
              </w:rPr>
            </w:pPr>
            <w:r>
              <w:rPr>
                <w:rFonts w:hint="eastAsia"/>
                <w:snapToGrid w:val="0"/>
                <w:color w:val="auto"/>
                <w:kern w:val="21"/>
                <w:szCs w:val="21"/>
              </w:rPr>
              <w:t>+0.482t/a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jc w:val="center"/>
              <w:rPr>
                <w:color w:val="auto"/>
                <w:szCs w:val="21"/>
              </w:rPr>
            </w:pPr>
            <w:r>
              <w:rPr>
                <w:rFonts w:hint="eastAsia"/>
                <w:color w:val="auto"/>
                <w:szCs w:val="21"/>
              </w:rPr>
              <w:t>悬浮物</w:t>
            </w:r>
          </w:p>
        </w:tc>
        <w:tc>
          <w:tcPr>
            <w:tcW w:w="1593" w:type="dxa"/>
            <w:vAlign w:val="center"/>
          </w:tcPr>
          <w:p>
            <w:pPr>
              <w:pStyle w:val="154"/>
              <w:rPr>
                <w:snapToGrid w:val="0"/>
                <w:color w:val="auto"/>
                <w:kern w:val="21"/>
                <w:szCs w:val="21"/>
              </w:rPr>
            </w:pPr>
            <w:r>
              <w:rPr>
                <w:rFonts w:hint="eastAsia"/>
                <w:color w:val="auto"/>
                <w:szCs w:val="21"/>
              </w:rPr>
              <w:t>0.053t/a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widowControl/>
              <w:jc w:val="center"/>
              <w:textAlignment w:val="center"/>
              <w:rPr>
                <w:snapToGrid w:val="0"/>
                <w:color w:val="auto"/>
                <w:kern w:val="21"/>
                <w:szCs w:val="21"/>
              </w:rPr>
            </w:pPr>
            <w:r>
              <w:rPr>
                <w:rFonts w:hint="eastAsia"/>
                <w:snapToGrid w:val="0"/>
                <w:color w:val="auto"/>
                <w:kern w:val="21"/>
                <w:szCs w:val="21"/>
              </w:rPr>
              <w:t>0.253t/a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widowControl/>
              <w:jc w:val="center"/>
              <w:textAlignment w:val="center"/>
              <w:rPr>
                <w:snapToGrid w:val="0"/>
                <w:color w:val="auto"/>
                <w:kern w:val="21"/>
                <w:szCs w:val="21"/>
              </w:rPr>
            </w:pPr>
            <w:r>
              <w:rPr>
                <w:rFonts w:hint="eastAsia"/>
                <w:snapToGrid w:val="0"/>
                <w:color w:val="auto"/>
                <w:kern w:val="21"/>
                <w:szCs w:val="21"/>
              </w:rPr>
              <w:t>0.306t/a</w:t>
            </w:r>
          </w:p>
        </w:tc>
        <w:tc>
          <w:tcPr>
            <w:tcW w:w="1534" w:type="dxa"/>
            <w:vAlign w:val="center"/>
          </w:tcPr>
          <w:p>
            <w:pPr>
              <w:widowControl/>
              <w:jc w:val="center"/>
              <w:textAlignment w:val="center"/>
              <w:rPr>
                <w:snapToGrid w:val="0"/>
                <w:color w:val="auto"/>
                <w:kern w:val="21"/>
                <w:szCs w:val="21"/>
              </w:rPr>
            </w:pPr>
            <w:r>
              <w:rPr>
                <w:rFonts w:hint="eastAsia"/>
                <w:snapToGrid w:val="0"/>
                <w:color w:val="auto"/>
                <w:kern w:val="21"/>
                <w:szCs w:val="21"/>
              </w:rPr>
              <w:t>+0.253t/a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jc w:val="center"/>
              <w:rPr>
                <w:color w:val="auto"/>
                <w:szCs w:val="21"/>
              </w:rPr>
            </w:pPr>
            <w:r>
              <w:rPr>
                <w:color w:val="auto"/>
                <w:szCs w:val="21"/>
              </w:rPr>
              <w:t>氨氮</w:t>
            </w:r>
          </w:p>
        </w:tc>
        <w:tc>
          <w:tcPr>
            <w:tcW w:w="1593" w:type="dxa"/>
            <w:vAlign w:val="center"/>
          </w:tcPr>
          <w:p>
            <w:pPr>
              <w:pStyle w:val="154"/>
              <w:rPr>
                <w:snapToGrid w:val="0"/>
                <w:color w:val="auto"/>
                <w:kern w:val="21"/>
                <w:szCs w:val="21"/>
              </w:rPr>
            </w:pPr>
            <w:r>
              <w:rPr>
                <w:rFonts w:hint="eastAsia"/>
                <w:color w:val="auto"/>
                <w:szCs w:val="21"/>
              </w:rPr>
              <w:t>0.019t/a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widowControl/>
              <w:jc w:val="center"/>
              <w:textAlignment w:val="center"/>
              <w:rPr>
                <w:snapToGrid w:val="0"/>
                <w:color w:val="auto"/>
                <w:kern w:val="21"/>
                <w:szCs w:val="21"/>
              </w:rPr>
            </w:pPr>
            <w:r>
              <w:rPr>
                <w:rFonts w:hint="eastAsia"/>
                <w:snapToGrid w:val="0"/>
                <w:color w:val="auto"/>
                <w:kern w:val="21"/>
                <w:szCs w:val="21"/>
              </w:rPr>
              <w:t>0.073t/a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widowControl/>
              <w:jc w:val="center"/>
              <w:textAlignment w:val="center"/>
              <w:rPr>
                <w:snapToGrid w:val="0"/>
                <w:color w:val="auto"/>
                <w:kern w:val="21"/>
                <w:szCs w:val="21"/>
              </w:rPr>
            </w:pPr>
            <w:r>
              <w:rPr>
                <w:rFonts w:hint="eastAsia"/>
                <w:snapToGrid w:val="0"/>
                <w:color w:val="auto"/>
                <w:kern w:val="21"/>
                <w:szCs w:val="21"/>
              </w:rPr>
              <w:t>0.092t/a</w:t>
            </w:r>
          </w:p>
        </w:tc>
        <w:tc>
          <w:tcPr>
            <w:tcW w:w="1534" w:type="dxa"/>
            <w:vAlign w:val="center"/>
          </w:tcPr>
          <w:p>
            <w:pPr>
              <w:widowControl/>
              <w:jc w:val="center"/>
              <w:textAlignment w:val="center"/>
              <w:rPr>
                <w:snapToGrid w:val="0"/>
                <w:color w:val="auto"/>
                <w:kern w:val="21"/>
                <w:szCs w:val="21"/>
              </w:rPr>
            </w:pPr>
            <w:r>
              <w:rPr>
                <w:rFonts w:hint="eastAsia"/>
                <w:snapToGrid w:val="0"/>
                <w:color w:val="auto"/>
                <w:kern w:val="21"/>
                <w:szCs w:val="21"/>
              </w:rPr>
              <w:t>+0.073t/a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restart"/>
            <w:vAlign w:val="center"/>
          </w:tcPr>
          <w:p>
            <w:pPr>
              <w:pStyle w:val="101"/>
              <w:spacing w:beforeLines="0" w:afterLines="0" w:line="240" w:lineRule="auto"/>
              <w:rPr>
                <w:rFonts w:ascii="Times New Roman"/>
                <w:snapToGrid w:val="0"/>
                <w:color w:val="auto"/>
                <w:kern w:val="21"/>
                <w:szCs w:val="21"/>
              </w:rPr>
            </w:pPr>
            <w:r>
              <w:rPr>
                <w:rFonts w:ascii="Times New Roman"/>
                <w:snapToGrid w:val="0"/>
                <w:color w:val="auto"/>
                <w:kern w:val="21"/>
                <w:szCs w:val="21"/>
              </w:rPr>
              <w:t>废气</w:t>
            </w:r>
          </w:p>
        </w:tc>
        <w:tc>
          <w:tcPr>
            <w:tcW w:w="1917" w:type="dxa"/>
            <w:vAlign w:val="center"/>
          </w:tcPr>
          <w:p>
            <w:pPr>
              <w:jc w:val="center"/>
              <w:rPr>
                <w:color w:val="auto"/>
                <w:szCs w:val="21"/>
              </w:rPr>
            </w:pPr>
            <w:r>
              <w:rPr>
                <w:rFonts w:hint="eastAsia"/>
                <w:color w:val="auto"/>
                <w:szCs w:val="21"/>
              </w:rPr>
              <w:t>废气量</w:t>
            </w:r>
          </w:p>
        </w:tc>
        <w:tc>
          <w:tcPr>
            <w:tcW w:w="1593" w:type="dxa"/>
            <w:vAlign w:val="center"/>
          </w:tcPr>
          <w:p>
            <w:pPr>
              <w:jc w:val="center"/>
              <w:rPr>
                <w:snapToGrid w:val="0"/>
                <w:color w:val="auto"/>
                <w:kern w:val="21"/>
                <w:szCs w:val="21"/>
              </w:rPr>
            </w:pPr>
            <w:r>
              <w:rPr>
                <w:rFonts w:hint="eastAsia"/>
                <w:color w:val="auto"/>
                <w:szCs w:val="21"/>
              </w:rPr>
              <w:t>2130万</w:t>
            </w:r>
            <w:r>
              <w:rPr>
                <w:color w:val="auto"/>
              </w:rPr>
              <w:t>m</w:t>
            </w:r>
            <w:r>
              <w:rPr>
                <w:color w:val="auto"/>
                <w:vertAlign w:val="superscript"/>
              </w:rPr>
              <w:t>3</w:t>
            </w:r>
            <w:r>
              <w:rPr>
                <w:color w:val="auto"/>
              </w:rPr>
              <w: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pStyle w:val="188"/>
              <w:widowControl/>
              <w:spacing w:line="240" w:lineRule="auto"/>
              <w:textAlignment w:val="center"/>
              <w:rPr>
                <w:snapToGrid w:val="0"/>
                <w:color w:val="auto"/>
                <w:kern w:val="21"/>
              </w:rPr>
            </w:pPr>
            <w:r>
              <w:rPr>
                <w:rFonts w:hint="eastAsia"/>
                <w:color w:val="auto"/>
                <w:sz w:val="21"/>
                <w:szCs w:val="21"/>
              </w:rPr>
              <w:t>12000万</w:t>
            </w:r>
            <w:r>
              <w:rPr>
                <w:color w:val="auto"/>
              </w:rPr>
              <w:t>m</w:t>
            </w:r>
            <w:r>
              <w:rPr>
                <w:color w:val="auto"/>
                <w:vertAlign w:val="superscript"/>
              </w:rPr>
              <w:t>3</w:t>
            </w:r>
            <w:r>
              <w:rPr>
                <w:color w:val="auto"/>
              </w:rPr>
              <w: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widowControl/>
              <w:jc w:val="center"/>
              <w:textAlignment w:val="center"/>
              <w:rPr>
                <w:snapToGrid w:val="0"/>
                <w:color w:val="auto"/>
                <w:kern w:val="21"/>
                <w:szCs w:val="21"/>
              </w:rPr>
            </w:pPr>
            <w:r>
              <w:rPr>
                <w:rFonts w:hint="eastAsia"/>
                <w:color w:val="auto"/>
                <w:szCs w:val="21"/>
              </w:rPr>
              <w:t>14130万</w:t>
            </w:r>
            <w:r>
              <w:rPr>
                <w:color w:val="auto"/>
              </w:rPr>
              <w:t>m</w:t>
            </w:r>
            <w:r>
              <w:rPr>
                <w:color w:val="auto"/>
                <w:vertAlign w:val="superscript"/>
              </w:rPr>
              <w:t>3</w:t>
            </w:r>
            <w:r>
              <w:rPr>
                <w:color w:val="auto"/>
              </w:rPr>
              <w:t>/a</w:t>
            </w:r>
          </w:p>
        </w:tc>
        <w:tc>
          <w:tcPr>
            <w:tcW w:w="1534" w:type="dxa"/>
            <w:vAlign w:val="center"/>
          </w:tcPr>
          <w:p>
            <w:pPr>
              <w:widowControl/>
              <w:jc w:val="center"/>
              <w:textAlignment w:val="center"/>
              <w:rPr>
                <w:snapToGrid w:val="0"/>
                <w:color w:val="auto"/>
                <w:kern w:val="21"/>
                <w:szCs w:val="21"/>
              </w:rPr>
            </w:pPr>
            <w:r>
              <w:rPr>
                <w:rFonts w:hint="eastAsia"/>
                <w:snapToGrid w:val="0"/>
                <w:color w:val="auto"/>
                <w:kern w:val="21"/>
                <w:szCs w:val="21"/>
              </w:rPr>
              <w:t>+120</w:t>
            </w:r>
            <w:r>
              <w:rPr>
                <w:rFonts w:hint="eastAsia"/>
                <w:color w:val="auto"/>
                <w:szCs w:val="21"/>
              </w:rPr>
              <w:t>00万</w:t>
            </w:r>
            <w:r>
              <w:rPr>
                <w:color w:val="auto"/>
              </w:rPr>
              <w:t>m</w:t>
            </w:r>
            <w:r>
              <w:rPr>
                <w:color w:val="auto"/>
                <w:vertAlign w:val="superscript"/>
              </w:rPr>
              <w:t>3</w:t>
            </w:r>
            <w:r>
              <w:rPr>
                <w:color w:val="auto"/>
              </w:rPr>
              <w: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jc w:val="center"/>
              <w:rPr>
                <w:color w:val="auto"/>
                <w:szCs w:val="21"/>
              </w:rPr>
            </w:pPr>
            <w:r>
              <w:rPr>
                <w:color w:val="auto"/>
                <w:szCs w:val="21"/>
              </w:rPr>
              <w:t>非甲烷总烃</w:t>
            </w:r>
          </w:p>
        </w:tc>
        <w:tc>
          <w:tcPr>
            <w:tcW w:w="1593" w:type="dxa"/>
            <w:vAlign w:val="center"/>
          </w:tcPr>
          <w:p>
            <w:pPr>
              <w:jc w:val="center"/>
              <w:rPr>
                <w:color w:val="auto"/>
                <w:kern w:val="21"/>
                <w:szCs w:val="21"/>
              </w:rPr>
            </w:pPr>
            <w:r>
              <w:rPr>
                <w:rFonts w:hint="eastAsia"/>
                <w:color w:val="auto"/>
                <w:szCs w:val="21"/>
              </w:rPr>
              <w:t>0.2268t/a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pStyle w:val="188"/>
              <w:widowControl/>
              <w:spacing w:line="240" w:lineRule="auto"/>
              <w:textAlignment w:val="center"/>
              <w:rPr>
                <w:snapToGrid w:val="0"/>
                <w:color w:val="auto"/>
                <w:kern w:val="21"/>
              </w:rPr>
            </w:pPr>
            <w:r>
              <w:rPr>
                <w:rFonts w:hint="eastAsia"/>
                <w:color w:val="auto"/>
                <w:sz w:val="21"/>
                <w:szCs w:val="21"/>
              </w:rPr>
              <w:t>1.134t/a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pStyle w:val="188"/>
              <w:widowControl/>
              <w:spacing w:line="240" w:lineRule="auto"/>
              <w:textAlignment w:val="center"/>
              <w:rPr>
                <w:snapToGrid w:val="0"/>
                <w:color w:val="auto"/>
                <w:kern w:val="21"/>
              </w:rPr>
            </w:pPr>
            <w:r>
              <w:rPr>
                <w:rFonts w:hint="eastAsia"/>
                <w:snapToGrid w:val="0"/>
                <w:color w:val="auto"/>
                <w:kern w:val="21"/>
                <w:sz w:val="21"/>
                <w:szCs w:val="21"/>
              </w:rPr>
              <w:t>1.3608t</w:t>
            </w:r>
            <w:r>
              <w:rPr>
                <w:rFonts w:hint="eastAsia"/>
                <w:color w:val="auto"/>
                <w:sz w:val="21"/>
                <w:szCs w:val="21"/>
              </w:rPr>
              <w:t>/a</w:t>
            </w:r>
          </w:p>
        </w:tc>
        <w:tc>
          <w:tcPr>
            <w:tcW w:w="1534" w:type="dxa"/>
            <w:vAlign w:val="center"/>
          </w:tcPr>
          <w:p>
            <w:pPr>
              <w:pStyle w:val="188"/>
              <w:widowControl/>
              <w:spacing w:line="240" w:lineRule="auto"/>
              <w:textAlignment w:val="center"/>
              <w:rPr>
                <w:snapToGrid w:val="0"/>
                <w:color w:val="auto"/>
                <w:kern w:val="21"/>
                <w:highlight w:val="green"/>
              </w:rPr>
            </w:pPr>
            <w:r>
              <w:rPr>
                <w:rFonts w:hint="eastAsia"/>
                <w:snapToGrid w:val="0"/>
                <w:color w:val="auto"/>
                <w:kern w:val="21"/>
              </w:rPr>
              <w:t>+</w:t>
            </w:r>
            <w:r>
              <w:rPr>
                <w:rFonts w:hint="eastAsia"/>
                <w:color w:val="auto"/>
                <w:sz w:val="21"/>
                <w:szCs w:val="21"/>
              </w:rPr>
              <w:t>1.134t/a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Align w:val="center"/>
          </w:tcPr>
          <w:p>
            <w:pPr>
              <w:pStyle w:val="101"/>
              <w:spacing w:beforeLines="0" w:afterLines="0" w:line="240" w:lineRule="auto"/>
              <w:rPr>
                <w:rFonts w:ascii="Times New Roman"/>
                <w:snapToGrid w:val="0"/>
                <w:color w:val="auto"/>
                <w:kern w:val="21"/>
                <w:szCs w:val="21"/>
              </w:rPr>
            </w:pPr>
            <w:r>
              <w:rPr>
                <w:rFonts w:ascii="Times New Roman"/>
                <w:snapToGrid w:val="0"/>
                <w:color w:val="auto"/>
                <w:kern w:val="21"/>
                <w:szCs w:val="21"/>
              </w:rPr>
              <w:t>生活垃圾</w:t>
            </w:r>
          </w:p>
        </w:tc>
        <w:tc>
          <w:tcPr>
            <w:tcW w:w="1917" w:type="dxa"/>
            <w:vAlign w:val="center"/>
          </w:tcPr>
          <w:p>
            <w:pPr>
              <w:widowControl/>
              <w:jc w:val="center"/>
              <w:rPr>
                <w:color w:val="auto"/>
                <w:kern w:val="0"/>
              </w:rPr>
            </w:pPr>
            <w:r>
              <w:rPr>
                <w:color w:val="auto"/>
                <w:kern w:val="0"/>
              </w:rPr>
              <w:t>职工生活垃圾</w:t>
            </w:r>
          </w:p>
        </w:tc>
        <w:tc>
          <w:tcPr>
            <w:tcW w:w="1593" w:type="dxa"/>
            <w:vAlign w:val="center"/>
          </w:tcPr>
          <w:p>
            <w:pPr>
              <w:jc w:val="center"/>
              <w:rPr>
                <w:snapToGrid w:val="0"/>
                <w:color w:val="auto"/>
                <w:kern w:val="21"/>
                <w:szCs w:val="21"/>
              </w:rPr>
            </w:pPr>
            <w:r>
              <w:rPr>
                <w:rFonts w:hint="eastAsia"/>
                <w:color w:val="auto"/>
                <w:szCs w:val="21"/>
              </w:rPr>
              <w:t>9t/a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18t/a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27t/a</w:t>
            </w:r>
          </w:p>
        </w:tc>
        <w:tc>
          <w:tcPr>
            <w:tcW w:w="1534" w:type="dxa"/>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+18t/a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restart"/>
            <w:vAlign w:val="center"/>
          </w:tcPr>
          <w:p>
            <w:pPr>
              <w:pStyle w:val="101"/>
              <w:spacing w:beforeLines="0" w:afterLines="0" w:line="240" w:lineRule="auto"/>
              <w:rPr>
                <w:rFonts w:ascii="Times New Roman"/>
                <w:snapToGrid w:val="0"/>
                <w:color w:val="auto"/>
                <w:kern w:val="21"/>
                <w:szCs w:val="21"/>
              </w:rPr>
            </w:pPr>
            <w:r>
              <w:rPr>
                <w:rFonts w:ascii="Times New Roman"/>
                <w:snapToGrid w:val="0"/>
                <w:color w:val="auto"/>
                <w:kern w:val="21"/>
                <w:szCs w:val="21"/>
              </w:rPr>
              <w:t>一般工业</w:t>
            </w:r>
          </w:p>
          <w:p>
            <w:pPr>
              <w:pStyle w:val="101"/>
              <w:spacing w:beforeLines="0" w:afterLines="0" w:line="240" w:lineRule="auto"/>
              <w:rPr>
                <w:rFonts w:ascii="Times New Roman"/>
                <w:snapToGrid w:val="0"/>
                <w:color w:val="auto"/>
                <w:kern w:val="21"/>
                <w:szCs w:val="21"/>
              </w:rPr>
            </w:pPr>
            <w:r>
              <w:rPr>
                <w:rFonts w:ascii="Times New Roman"/>
                <w:snapToGrid w:val="0"/>
                <w:color w:val="auto"/>
                <w:kern w:val="21"/>
                <w:szCs w:val="21"/>
              </w:rPr>
              <w:t>固体废物</w:t>
            </w:r>
          </w:p>
        </w:tc>
        <w:tc>
          <w:tcPr>
            <w:tcW w:w="1917" w:type="dxa"/>
            <w:vAlign w:val="center"/>
          </w:tcPr>
          <w:p>
            <w:pPr>
              <w:pStyle w:val="154"/>
              <w:rPr>
                <w:color w:val="auto"/>
                <w:szCs w:val="21"/>
              </w:rPr>
            </w:pPr>
            <w:r>
              <w:rPr>
                <w:rFonts w:hint="eastAsia"/>
                <w:color w:val="auto"/>
              </w:rPr>
              <w:t>废薄膜边角料</w:t>
            </w:r>
          </w:p>
        </w:tc>
        <w:tc>
          <w:tcPr>
            <w:tcW w:w="1593" w:type="dxa"/>
            <w:vAlign w:val="center"/>
          </w:tcPr>
          <w:p>
            <w:pPr>
              <w:pStyle w:val="154"/>
              <w:rPr>
                <w:snapToGrid w:val="0"/>
                <w:color w:val="auto"/>
                <w:kern w:val="21"/>
                <w:szCs w:val="21"/>
              </w:rPr>
            </w:pPr>
            <w:r>
              <w:rPr>
                <w:rFonts w:hint="eastAsia"/>
                <w:color w:val="auto"/>
                <w:szCs w:val="21"/>
              </w:rPr>
              <w:t>2.3t/a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6.8t/a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9.1t/a</w:t>
            </w:r>
          </w:p>
        </w:tc>
        <w:tc>
          <w:tcPr>
            <w:tcW w:w="1534" w:type="dxa"/>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+6.8t/a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shd w:val="clear" w:color="auto" w:fill="auto"/>
            <w:vAlign w:val="center"/>
          </w:tcPr>
          <w:p>
            <w:pPr>
              <w:pStyle w:val="154"/>
              <w:rPr>
                <w:rFonts w:hint="eastAsia" w:ascii="Times New Roman" w:hAnsi="Times New Roman" w:eastAsia="宋体" w:cs="Times New Roman"/>
                <w:color w:val="auto"/>
                <w:kern w:val="0"/>
                <w:sz w:val="21"/>
                <w:szCs w:val="24"/>
                <w:lang w:val="en-US" w:eastAsia="zh-CN" w:bidi="ar-SA"/>
              </w:rPr>
            </w:pPr>
            <w:r>
              <w:rPr>
                <w:rFonts w:hint="eastAsia"/>
                <w:color w:val="auto"/>
              </w:rPr>
              <w:t>废包装材料</w:t>
            </w:r>
          </w:p>
        </w:tc>
        <w:tc>
          <w:tcPr>
            <w:tcW w:w="1593" w:type="dxa"/>
            <w:shd w:val="clear" w:color="auto" w:fill="auto"/>
            <w:vAlign w:val="center"/>
          </w:tcPr>
          <w:p>
            <w:pPr>
              <w:pStyle w:val="154"/>
              <w:rPr>
                <w:rFonts w:hint="eastAsia" w:ascii="Times New Roman" w:hAnsi="Times New Roman" w:eastAsia="宋体" w:cs="Times New Roman"/>
                <w:snapToGrid w:val="0"/>
                <w:color w:val="auto"/>
                <w:kern w:val="21"/>
                <w:sz w:val="21"/>
                <w:szCs w:val="21"/>
                <w:lang w:val="en-US" w:eastAsia="zh-CN" w:bidi="ar-SA"/>
              </w:rPr>
            </w:pPr>
            <w:r>
              <w:rPr>
                <w:rFonts w:hint="eastAsia"/>
                <w:color w:val="auto"/>
                <w:szCs w:val="21"/>
              </w:rPr>
              <w:t>1.7t/a</w:t>
            </w:r>
          </w:p>
        </w:tc>
        <w:tc>
          <w:tcPr>
            <w:tcW w:w="1304" w:type="dxa"/>
            <w:shd w:val="clear" w:color="auto" w:fill="auto"/>
            <w:vAlign w:val="center"/>
          </w:tcPr>
          <w:p>
            <w:pPr>
              <w:jc w:val="center"/>
              <w:rPr>
                <w:rFonts w:ascii="Times New Roman" w:hAnsi="Times New Roman" w:eastAsia="宋体" w:cs="Times New Roman"/>
                <w:snapToGrid w:val="0"/>
                <w:color w:val="auto"/>
                <w:kern w:val="21"/>
                <w:sz w:val="21"/>
                <w:szCs w:val="21"/>
                <w:lang w:val="en-US" w:eastAsia="zh-CN" w:bidi="ar-SA"/>
              </w:rPr>
            </w:pPr>
            <w:r>
              <w:rPr>
                <w:snapToGrid w:val="0"/>
                <w:color w:val="auto"/>
                <w:kern w:val="21"/>
                <w:szCs w:val="21"/>
              </w:rPr>
              <w:t>/</w:t>
            </w:r>
          </w:p>
        </w:tc>
        <w:tc>
          <w:tcPr>
            <w:tcW w:w="1738" w:type="dxa"/>
            <w:shd w:val="clear" w:color="auto" w:fill="auto"/>
            <w:vAlign w:val="center"/>
          </w:tcPr>
          <w:p>
            <w:pPr>
              <w:jc w:val="center"/>
              <w:rPr>
                <w:rFonts w:ascii="Times New Roman" w:hAnsi="Times New Roman" w:eastAsia="宋体" w:cs="Times New Roman"/>
                <w:snapToGrid w:val="0"/>
                <w:color w:val="auto"/>
                <w:kern w:val="21"/>
                <w:sz w:val="21"/>
                <w:szCs w:val="21"/>
                <w:lang w:val="en-US" w:eastAsia="zh-CN" w:bidi="ar-SA"/>
              </w:rPr>
            </w:pPr>
            <w:r>
              <w:rPr>
                <w:snapToGrid w:val="0"/>
                <w:color w:val="auto"/>
                <w:kern w:val="21"/>
                <w:szCs w:val="21"/>
              </w:rPr>
              <w:t>/</w:t>
            </w:r>
          </w:p>
        </w:tc>
        <w:tc>
          <w:tcPr>
            <w:tcW w:w="1593" w:type="dxa"/>
            <w:shd w:val="clear" w:color="auto" w:fill="auto"/>
            <w:vAlign w:val="center"/>
          </w:tcPr>
          <w:p>
            <w:pPr>
              <w:pStyle w:val="101"/>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rPr>
              <w:t>5t/a</w:t>
            </w:r>
          </w:p>
        </w:tc>
        <w:tc>
          <w:tcPr>
            <w:tcW w:w="1450" w:type="dxa"/>
            <w:shd w:val="clear" w:color="auto" w:fill="auto"/>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rPr>
              <w:t>0</w:t>
            </w:r>
            <w:r>
              <w:rPr>
                <w:rFonts w:hint="eastAsia"/>
                <w:color w:val="auto"/>
                <w:szCs w:val="21"/>
              </w:rPr>
              <w:t>t/a</w:t>
            </w:r>
          </w:p>
        </w:tc>
        <w:tc>
          <w:tcPr>
            <w:tcW w:w="1747" w:type="dxa"/>
            <w:shd w:val="clear" w:color="auto" w:fill="auto"/>
            <w:vAlign w:val="center"/>
          </w:tcPr>
          <w:p>
            <w:pPr>
              <w:pStyle w:val="101"/>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rPr>
              <w:t>6.7t/a</w:t>
            </w:r>
          </w:p>
        </w:tc>
        <w:tc>
          <w:tcPr>
            <w:tcW w:w="1534" w:type="dxa"/>
            <w:shd w:val="clear" w:color="auto" w:fill="auto"/>
            <w:vAlign w:val="center"/>
          </w:tcPr>
          <w:p>
            <w:pPr>
              <w:pStyle w:val="101"/>
              <w:spacing w:beforeLines="0" w:afterLines="0" w:line="240" w:lineRule="auto"/>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snapToGrid w:val="0"/>
                <w:color w:val="auto"/>
                <w:kern w:val="21"/>
                <w:szCs w:val="21"/>
              </w:rPr>
              <w:t>+5t/a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pStyle w:val="154"/>
              <w:rPr>
                <w:rFonts w:hint="eastAsia" w:eastAsia="宋体"/>
                <w:color w:val="auto"/>
                <w:kern w:val="0"/>
                <w:lang w:val="en-US" w:eastAsia="zh-CN"/>
              </w:rPr>
            </w:pPr>
            <w:r>
              <w:rPr>
                <w:rFonts w:hint="eastAsia"/>
                <w:color w:val="auto"/>
                <w:kern w:val="0"/>
                <w:lang w:val="en-US" w:eastAsia="zh-CN"/>
              </w:rPr>
              <w:t>不合格品</w:t>
            </w:r>
          </w:p>
        </w:tc>
        <w:tc>
          <w:tcPr>
            <w:tcW w:w="1593" w:type="dxa"/>
            <w:vAlign w:val="center"/>
          </w:tcPr>
          <w:p>
            <w:pPr>
              <w:pStyle w:val="154"/>
              <w:rPr>
                <w:rFonts w:hint="default" w:eastAsia="宋体"/>
                <w:snapToGrid w:val="0"/>
                <w:color w:val="auto"/>
                <w:kern w:val="21"/>
                <w:szCs w:val="21"/>
                <w:lang w:val="en-US" w:eastAsia="zh-CN"/>
              </w:rPr>
            </w:pPr>
            <w:r>
              <w:rPr>
                <w:rFonts w:hint="eastAsia"/>
                <w:snapToGrid w:val="0"/>
                <w:color w:val="auto"/>
                <w:kern w:val="21"/>
                <w:szCs w:val="21"/>
                <w:lang w:val="en-US" w:eastAsia="zh-CN"/>
              </w:rPr>
              <w:t>0.83t/a</w:t>
            </w:r>
          </w:p>
        </w:tc>
        <w:tc>
          <w:tcPr>
            <w:tcW w:w="1304" w:type="dxa"/>
            <w:vAlign w:val="center"/>
          </w:tcPr>
          <w:p>
            <w:pPr>
              <w:jc w:val="center"/>
              <w:rPr>
                <w:rFonts w:hint="eastAsia" w:eastAsia="宋体"/>
                <w:snapToGrid w:val="0"/>
                <w:color w:val="auto"/>
                <w:kern w:val="21"/>
                <w:szCs w:val="21"/>
                <w:lang w:val="en-US" w:eastAsia="zh-CN"/>
              </w:rPr>
            </w:pPr>
            <w:r>
              <w:rPr>
                <w:rFonts w:hint="eastAsia"/>
                <w:snapToGrid w:val="0"/>
                <w:color w:val="auto"/>
                <w:kern w:val="21"/>
                <w:szCs w:val="21"/>
                <w:lang w:val="en-US" w:eastAsia="zh-CN"/>
              </w:rPr>
              <w:t>/</w:t>
            </w:r>
          </w:p>
        </w:tc>
        <w:tc>
          <w:tcPr>
            <w:tcW w:w="1738" w:type="dxa"/>
            <w:vAlign w:val="center"/>
          </w:tcPr>
          <w:p>
            <w:pPr>
              <w:jc w:val="center"/>
              <w:rPr>
                <w:rFonts w:hint="eastAsia" w:eastAsia="宋体"/>
                <w:snapToGrid w:val="0"/>
                <w:color w:val="auto"/>
                <w:kern w:val="21"/>
                <w:szCs w:val="21"/>
                <w:lang w:val="en-US" w:eastAsia="zh-CN"/>
              </w:rPr>
            </w:pPr>
            <w:r>
              <w:rPr>
                <w:rFonts w:hint="eastAsia"/>
                <w:snapToGrid w:val="0"/>
                <w:color w:val="auto"/>
                <w:kern w:val="21"/>
                <w:szCs w:val="21"/>
                <w:lang w:val="en-US" w:eastAsia="zh-CN"/>
              </w:rPr>
              <w:t>/</w:t>
            </w:r>
          </w:p>
        </w:tc>
        <w:tc>
          <w:tcPr>
            <w:tcW w:w="1593" w:type="dxa"/>
            <w:vAlign w:val="center"/>
          </w:tcPr>
          <w:p>
            <w:pPr>
              <w:pStyle w:val="101"/>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2.5t/a</w:t>
            </w:r>
          </w:p>
        </w:tc>
        <w:tc>
          <w:tcPr>
            <w:tcW w:w="1450" w:type="dxa"/>
            <w:vAlign w:val="center"/>
          </w:tcPr>
          <w:p>
            <w:pPr>
              <w:jc w:val="center"/>
              <w:rPr>
                <w:rFonts w:hint="default" w:eastAsia="宋体"/>
                <w:snapToGrid w:val="0"/>
                <w:color w:val="auto"/>
                <w:kern w:val="21"/>
                <w:szCs w:val="21"/>
                <w:lang w:val="en-US" w:eastAsia="zh-CN"/>
              </w:rPr>
            </w:pPr>
            <w:r>
              <w:rPr>
                <w:rFonts w:hint="eastAsia"/>
                <w:snapToGrid w:val="0"/>
                <w:color w:val="auto"/>
                <w:kern w:val="21"/>
                <w:szCs w:val="21"/>
                <w:lang w:val="en-US" w:eastAsia="zh-CN"/>
              </w:rPr>
              <w:t>0t/a</w:t>
            </w:r>
          </w:p>
        </w:tc>
        <w:tc>
          <w:tcPr>
            <w:tcW w:w="1747" w:type="dxa"/>
            <w:vAlign w:val="center"/>
          </w:tcPr>
          <w:p>
            <w:pPr>
              <w:pStyle w:val="101"/>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3.33t/a</w:t>
            </w:r>
          </w:p>
        </w:tc>
        <w:tc>
          <w:tcPr>
            <w:tcW w:w="1534" w:type="dxa"/>
            <w:vAlign w:val="center"/>
          </w:tcPr>
          <w:p>
            <w:pPr>
              <w:pStyle w:val="101"/>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+2.5t/a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restart"/>
            <w:vAlign w:val="center"/>
          </w:tcPr>
          <w:p>
            <w:pPr>
              <w:pStyle w:val="101"/>
              <w:spacing w:beforeLines="0" w:afterLines="0" w:line="240" w:lineRule="auto"/>
              <w:rPr>
                <w:rFonts w:ascii="Times New Roman"/>
                <w:snapToGrid w:val="0"/>
                <w:color w:val="auto"/>
                <w:kern w:val="21"/>
                <w:szCs w:val="21"/>
              </w:rPr>
            </w:pPr>
            <w:r>
              <w:rPr>
                <w:rFonts w:ascii="Times New Roman"/>
                <w:snapToGrid w:val="0"/>
                <w:color w:val="auto"/>
                <w:kern w:val="21"/>
                <w:szCs w:val="21"/>
              </w:rPr>
              <w:t>危险废物</w:t>
            </w:r>
          </w:p>
        </w:tc>
        <w:tc>
          <w:tcPr>
            <w:tcW w:w="1917" w:type="dxa"/>
            <w:vAlign w:val="center"/>
          </w:tcPr>
          <w:p>
            <w:pPr>
              <w:pStyle w:val="154"/>
              <w:rPr>
                <w:color w:val="auto"/>
                <w:kern w:val="0"/>
              </w:rPr>
            </w:pPr>
            <w:r>
              <w:rPr>
                <w:rFonts w:hint="eastAsia"/>
                <w:color w:val="auto"/>
              </w:rPr>
              <w:t>废溶剂桶</w:t>
            </w:r>
          </w:p>
        </w:tc>
        <w:tc>
          <w:tcPr>
            <w:tcW w:w="1593" w:type="dxa"/>
            <w:vAlign w:val="center"/>
          </w:tcPr>
          <w:p>
            <w:pPr>
              <w:pStyle w:val="154"/>
              <w:rPr>
                <w:snapToGrid w:val="0"/>
                <w:color w:val="auto"/>
                <w:kern w:val="21"/>
                <w:szCs w:val="21"/>
              </w:rPr>
            </w:pPr>
            <w:r>
              <w:rPr>
                <w:rFonts w:hint="eastAsia"/>
                <w:color w:val="auto"/>
                <w:szCs w:val="21"/>
                <w:lang w:val="en-US" w:eastAsia="zh-CN"/>
              </w:rPr>
              <w:t>0.05</w:t>
            </w:r>
            <w:r>
              <w:rPr>
                <w:rFonts w:hint="eastAsia"/>
                <w:color w:val="auto"/>
                <w:szCs w:val="21"/>
              </w:rPr>
              <w:t>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0.15</w:t>
            </w:r>
            <w:r>
              <w:rPr>
                <w:rFonts w:hint="eastAsia" w:ascii="Times New Roman"/>
                <w:snapToGrid w:val="0"/>
                <w:color w:val="auto"/>
                <w:kern w:val="21"/>
                <w:szCs w:val="21"/>
              </w:rPr>
              <w:t>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lang w:val="en-US" w:eastAsia="zh-CN"/>
              </w:rPr>
              <w:t>0.2</w:t>
            </w:r>
            <w:r>
              <w:rPr>
                <w:rFonts w:hint="eastAsia" w:ascii="Times New Roman"/>
                <w:snapToGrid w:val="0"/>
                <w:color w:val="auto"/>
                <w:kern w:val="21"/>
                <w:szCs w:val="21"/>
              </w:rPr>
              <w:t>t/a</w:t>
            </w:r>
          </w:p>
        </w:tc>
        <w:tc>
          <w:tcPr>
            <w:tcW w:w="1534" w:type="dxa"/>
            <w:vAlign w:val="center"/>
          </w:tcPr>
          <w:p>
            <w:pPr>
              <w:pStyle w:val="101"/>
              <w:spacing w:beforeLines="0" w:afterLines="0" w:line="240" w:lineRule="auto"/>
              <w:rPr>
                <w:rFonts w:ascii="Times New Roman"/>
                <w:snapToGrid w:val="0"/>
                <w:color w:val="auto"/>
                <w:kern w:val="21"/>
                <w:szCs w:val="21"/>
              </w:rPr>
            </w:pPr>
            <w:r>
              <w:rPr>
                <w:rFonts w:hint="eastAsia" w:ascii="Times New Roman"/>
                <w:snapToGrid w:val="0"/>
                <w:color w:val="auto"/>
                <w:kern w:val="21"/>
                <w:szCs w:val="21"/>
              </w:rPr>
              <w:t>+</w:t>
            </w:r>
            <w:r>
              <w:rPr>
                <w:rFonts w:hint="eastAsia" w:ascii="Times New Roman"/>
                <w:snapToGrid w:val="0"/>
                <w:color w:val="auto"/>
                <w:kern w:val="21"/>
                <w:szCs w:val="21"/>
                <w:lang w:val="en-US" w:eastAsia="zh-CN"/>
              </w:rPr>
              <w:t>0.15</w:t>
            </w:r>
            <w:r>
              <w:rPr>
                <w:rFonts w:hint="eastAsia" w:ascii="Times New Roman"/>
                <w:snapToGrid w:val="0"/>
                <w:color w:val="auto"/>
                <w:kern w:val="21"/>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pStyle w:val="154"/>
              <w:rPr>
                <w:rFonts w:hint="eastAsia"/>
                <w:color w:val="auto"/>
              </w:rPr>
            </w:pPr>
            <w:r>
              <w:rPr>
                <w:rFonts w:hint="eastAsia"/>
                <w:color w:val="auto"/>
              </w:rPr>
              <w:t>废油墨桶、废粘合剂桶</w:t>
            </w:r>
          </w:p>
        </w:tc>
        <w:tc>
          <w:tcPr>
            <w:tcW w:w="1593" w:type="dxa"/>
            <w:vAlign w:val="center"/>
          </w:tcPr>
          <w:p>
            <w:pPr>
              <w:pStyle w:val="154"/>
              <w:rPr>
                <w:rFonts w:hint="default" w:eastAsia="宋体"/>
                <w:color w:val="auto"/>
                <w:szCs w:val="21"/>
                <w:lang w:val="en-US" w:eastAsia="zh-CN"/>
              </w:rPr>
            </w:pPr>
            <w:r>
              <w:rPr>
                <w:rFonts w:hint="eastAsia"/>
                <w:color w:val="auto"/>
                <w:szCs w:val="21"/>
                <w:lang w:val="en-US" w:eastAsia="zh-CN"/>
              </w:rPr>
              <w:t>0.95t/a</w:t>
            </w:r>
          </w:p>
        </w:tc>
        <w:tc>
          <w:tcPr>
            <w:tcW w:w="1304" w:type="dxa"/>
            <w:shd w:val="clear" w:color="auto" w:fill="auto"/>
            <w:vAlign w:val="center"/>
          </w:tcPr>
          <w:p>
            <w:pPr>
              <w:jc w:val="center"/>
              <w:rPr>
                <w:rFonts w:ascii="Times New Roman" w:hAnsi="Times New Roman" w:eastAsia="宋体" w:cs="Times New Roman"/>
                <w:snapToGrid w:val="0"/>
                <w:color w:val="auto"/>
                <w:kern w:val="21"/>
                <w:sz w:val="21"/>
                <w:szCs w:val="21"/>
                <w:lang w:val="en-US" w:eastAsia="zh-CN" w:bidi="ar-SA"/>
              </w:rPr>
            </w:pPr>
            <w:r>
              <w:rPr>
                <w:snapToGrid w:val="0"/>
                <w:color w:val="auto"/>
                <w:kern w:val="21"/>
                <w:szCs w:val="21"/>
              </w:rPr>
              <w:t>/</w:t>
            </w:r>
          </w:p>
        </w:tc>
        <w:tc>
          <w:tcPr>
            <w:tcW w:w="1738" w:type="dxa"/>
            <w:shd w:val="clear" w:color="auto" w:fill="auto"/>
            <w:vAlign w:val="center"/>
          </w:tcPr>
          <w:p>
            <w:pPr>
              <w:jc w:val="center"/>
              <w:rPr>
                <w:rFonts w:ascii="Times New Roman" w:hAnsi="Times New Roman" w:eastAsia="宋体" w:cs="Times New Roman"/>
                <w:snapToGrid w:val="0"/>
                <w:color w:val="auto"/>
                <w:kern w:val="21"/>
                <w:sz w:val="21"/>
                <w:szCs w:val="21"/>
                <w:lang w:val="en-US" w:eastAsia="zh-CN" w:bidi="ar-SA"/>
              </w:rPr>
            </w:pPr>
            <w:r>
              <w:rPr>
                <w:snapToGrid w:val="0"/>
                <w:color w:val="auto"/>
                <w:kern w:val="21"/>
                <w:szCs w:val="21"/>
              </w:rPr>
              <w:t>/</w:t>
            </w:r>
          </w:p>
        </w:tc>
        <w:tc>
          <w:tcPr>
            <w:tcW w:w="1593" w:type="dxa"/>
            <w:vAlign w:val="center"/>
          </w:tcPr>
          <w:p>
            <w:pPr>
              <w:pStyle w:val="101"/>
              <w:spacing w:beforeLines="0" w:afterLines="0" w:line="240" w:lineRule="auto"/>
              <w:rPr>
                <w:rFonts w:hint="eastAsia" w:ascii="Times New Roman"/>
                <w:snapToGrid w:val="0"/>
                <w:color w:val="auto"/>
                <w:kern w:val="21"/>
                <w:szCs w:val="21"/>
              </w:rPr>
            </w:pPr>
            <w:r>
              <w:rPr>
                <w:rFonts w:hint="eastAsia" w:ascii="Times New Roman"/>
                <w:snapToGrid w:val="0"/>
                <w:color w:val="auto"/>
                <w:kern w:val="21"/>
                <w:szCs w:val="21"/>
                <w:lang w:val="en-US" w:eastAsia="zh-CN"/>
              </w:rPr>
              <w:t>2.85t/a</w:t>
            </w:r>
          </w:p>
        </w:tc>
        <w:tc>
          <w:tcPr>
            <w:tcW w:w="1450" w:type="dxa"/>
            <w:vAlign w:val="center"/>
          </w:tcPr>
          <w:p>
            <w:pPr>
              <w:jc w:val="center"/>
              <w:rPr>
                <w:rFonts w:hint="eastAsia"/>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pStyle w:val="101"/>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3.8t/a</w:t>
            </w:r>
          </w:p>
        </w:tc>
        <w:tc>
          <w:tcPr>
            <w:tcW w:w="1534" w:type="dxa"/>
            <w:vAlign w:val="center"/>
          </w:tcPr>
          <w:p>
            <w:pPr>
              <w:pStyle w:val="101"/>
              <w:spacing w:beforeLines="0" w:afterLines="0" w:line="240" w:lineRule="auto"/>
              <w:rPr>
                <w:rFonts w:hint="default" w:ascii="Times New Roman" w:eastAsia="宋体"/>
                <w:snapToGrid w:val="0"/>
                <w:color w:val="auto"/>
                <w:kern w:val="21"/>
                <w:szCs w:val="21"/>
                <w:lang w:val="en-US" w:eastAsia="zh-CN"/>
              </w:rPr>
            </w:pPr>
            <w:r>
              <w:rPr>
                <w:rFonts w:hint="eastAsia" w:ascii="Times New Roman"/>
                <w:snapToGrid w:val="0"/>
                <w:color w:val="auto"/>
                <w:kern w:val="21"/>
                <w:szCs w:val="21"/>
                <w:lang w:val="en-US" w:eastAsia="zh-CN"/>
              </w:rPr>
              <w:t>+2.85t/a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pStyle w:val="154"/>
              <w:rPr>
                <w:color w:val="auto"/>
                <w:szCs w:val="21"/>
              </w:rPr>
            </w:pPr>
            <w:r>
              <w:rPr>
                <w:rFonts w:hint="eastAsia"/>
                <w:color w:val="auto"/>
              </w:rPr>
              <w:t>废油墨</w:t>
            </w:r>
          </w:p>
        </w:tc>
        <w:tc>
          <w:tcPr>
            <w:tcW w:w="1593" w:type="dxa"/>
            <w:vAlign w:val="center"/>
          </w:tcPr>
          <w:p>
            <w:pPr>
              <w:pStyle w:val="154"/>
              <w:rPr>
                <w:snapToGrid w:val="0"/>
                <w:color w:val="auto"/>
                <w:kern w:val="21"/>
                <w:szCs w:val="21"/>
              </w:rPr>
            </w:pPr>
            <w:r>
              <w:rPr>
                <w:rFonts w:hint="eastAsia"/>
                <w:color w:val="auto"/>
                <w:szCs w:val="21"/>
              </w:rPr>
              <w:t>0.011t/a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widowControl/>
              <w:jc w:val="center"/>
              <w:rPr>
                <w:color w:val="auto"/>
                <w:szCs w:val="21"/>
              </w:rPr>
            </w:pPr>
            <w:r>
              <w:rPr>
                <w:rFonts w:hint="eastAsia"/>
                <w:color w:val="auto"/>
                <w:szCs w:val="21"/>
              </w:rPr>
              <w:t>0.033t/a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widowControl/>
              <w:jc w:val="center"/>
              <w:rPr>
                <w:color w:val="auto"/>
                <w:szCs w:val="21"/>
              </w:rPr>
            </w:pPr>
            <w:r>
              <w:rPr>
                <w:rFonts w:hint="eastAsia"/>
                <w:color w:val="auto"/>
                <w:szCs w:val="21"/>
              </w:rPr>
              <w:t>0.044t/a</w:t>
            </w:r>
          </w:p>
        </w:tc>
        <w:tc>
          <w:tcPr>
            <w:tcW w:w="1534" w:type="dxa"/>
            <w:vAlign w:val="center"/>
          </w:tcPr>
          <w:p>
            <w:pPr>
              <w:widowControl/>
              <w:jc w:val="center"/>
              <w:rPr>
                <w:color w:val="auto"/>
                <w:szCs w:val="21"/>
              </w:rPr>
            </w:pPr>
            <w:r>
              <w:rPr>
                <w:rFonts w:hint="eastAsia"/>
                <w:color w:val="auto"/>
                <w:szCs w:val="21"/>
              </w:rPr>
              <w:t>+0.033t/a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pStyle w:val="154"/>
              <w:rPr>
                <w:color w:val="auto"/>
                <w:kern w:val="0"/>
                <w:szCs w:val="21"/>
              </w:rPr>
            </w:pPr>
            <w:r>
              <w:rPr>
                <w:rFonts w:hint="eastAsia"/>
                <w:color w:val="auto"/>
              </w:rPr>
              <w:t>废粘合剂</w:t>
            </w:r>
          </w:p>
        </w:tc>
        <w:tc>
          <w:tcPr>
            <w:tcW w:w="1593" w:type="dxa"/>
            <w:vAlign w:val="center"/>
          </w:tcPr>
          <w:p>
            <w:pPr>
              <w:pStyle w:val="154"/>
              <w:rPr>
                <w:snapToGrid w:val="0"/>
                <w:color w:val="auto"/>
                <w:kern w:val="21"/>
                <w:szCs w:val="21"/>
              </w:rPr>
            </w:pPr>
            <w:r>
              <w:rPr>
                <w:rFonts w:hint="eastAsia"/>
                <w:color w:val="auto"/>
                <w:szCs w:val="21"/>
              </w:rPr>
              <w:t>0.09t/a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widowControl/>
              <w:jc w:val="center"/>
              <w:rPr>
                <w:color w:val="auto"/>
                <w:kern w:val="0"/>
                <w:szCs w:val="21"/>
              </w:rPr>
            </w:pPr>
            <w:r>
              <w:rPr>
                <w:rFonts w:hint="eastAsia"/>
                <w:color w:val="auto"/>
                <w:kern w:val="0"/>
                <w:szCs w:val="21"/>
              </w:rPr>
              <w:t>0.26</w:t>
            </w:r>
            <w:r>
              <w:rPr>
                <w:rFonts w:hint="eastAsia"/>
                <w:color w:val="auto"/>
                <w:szCs w:val="21"/>
              </w:rPr>
              <w:t>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widowControl/>
              <w:jc w:val="center"/>
              <w:rPr>
                <w:color w:val="auto"/>
                <w:kern w:val="0"/>
                <w:szCs w:val="21"/>
              </w:rPr>
            </w:pPr>
            <w:r>
              <w:rPr>
                <w:rFonts w:hint="eastAsia"/>
                <w:color w:val="auto"/>
                <w:kern w:val="0"/>
                <w:szCs w:val="21"/>
              </w:rPr>
              <w:t>0.35</w:t>
            </w:r>
            <w:r>
              <w:rPr>
                <w:rFonts w:hint="eastAsia"/>
                <w:color w:val="auto"/>
                <w:szCs w:val="21"/>
              </w:rPr>
              <w:t>t/a</w:t>
            </w:r>
          </w:p>
        </w:tc>
        <w:tc>
          <w:tcPr>
            <w:tcW w:w="1534" w:type="dxa"/>
            <w:vAlign w:val="center"/>
          </w:tcPr>
          <w:p>
            <w:pPr>
              <w:widowControl/>
              <w:jc w:val="center"/>
              <w:rPr>
                <w:color w:val="auto"/>
                <w:kern w:val="0"/>
                <w:szCs w:val="21"/>
              </w:rPr>
            </w:pPr>
            <w:r>
              <w:rPr>
                <w:rFonts w:hint="eastAsia"/>
                <w:color w:val="auto"/>
                <w:kern w:val="0"/>
                <w:szCs w:val="21"/>
              </w:rPr>
              <w:t>+0.26t</w:t>
            </w:r>
            <w:r>
              <w:rPr>
                <w:rFonts w:hint="eastAsia"/>
                <w:color w:val="auto"/>
                <w:szCs w:val="21"/>
              </w:rPr>
              <w: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pStyle w:val="154"/>
              <w:rPr>
                <w:color w:val="auto"/>
                <w:kern w:val="0"/>
                <w:szCs w:val="21"/>
              </w:rPr>
            </w:pPr>
            <w:r>
              <w:rPr>
                <w:rFonts w:hint="eastAsia"/>
                <w:color w:val="auto"/>
              </w:rPr>
              <w:t>废活性炭</w:t>
            </w:r>
          </w:p>
        </w:tc>
        <w:tc>
          <w:tcPr>
            <w:tcW w:w="1593" w:type="dxa"/>
            <w:vAlign w:val="center"/>
          </w:tcPr>
          <w:p>
            <w:pPr>
              <w:pStyle w:val="154"/>
              <w:rPr>
                <w:snapToGrid w:val="0"/>
                <w:color w:val="auto"/>
                <w:kern w:val="21"/>
                <w:szCs w:val="21"/>
              </w:rPr>
            </w:pPr>
            <w:r>
              <w:rPr>
                <w:rFonts w:hint="eastAsia"/>
                <w:color w:val="auto"/>
                <w:szCs w:val="21"/>
              </w:rPr>
              <w:t>4t/a</w:t>
            </w:r>
          </w:p>
        </w:tc>
        <w:tc>
          <w:tcPr>
            <w:tcW w:w="1304" w:type="dxa"/>
            <w:vAlign w:val="center"/>
          </w:tcPr>
          <w:p>
            <w:pPr>
              <w:jc w:val="center"/>
              <w:rPr>
                <w:snapToGrid w:val="0"/>
                <w:color w:val="auto"/>
                <w:kern w:val="21"/>
                <w:szCs w:val="21"/>
              </w:rPr>
            </w:pPr>
            <w:r>
              <w:rPr>
                <w:snapToGrid w:val="0"/>
                <w:color w:val="auto"/>
                <w:kern w:val="21"/>
                <w:szCs w:val="21"/>
              </w:rPr>
              <w:t>/</w:t>
            </w:r>
          </w:p>
        </w:tc>
        <w:tc>
          <w:tcPr>
            <w:tcW w:w="1738" w:type="dxa"/>
            <w:vAlign w:val="center"/>
          </w:tcPr>
          <w:p>
            <w:pPr>
              <w:jc w:val="center"/>
              <w:rPr>
                <w:snapToGrid w:val="0"/>
                <w:color w:val="auto"/>
                <w:kern w:val="21"/>
                <w:szCs w:val="21"/>
              </w:rPr>
            </w:pPr>
            <w:r>
              <w:rPr>
                <w:snapToGrid w:val="0"/>
                <w:color w:val="auto"/>
                <w:kern w:val="21"/>
                <w:szCs w:val="21"/>
              </w:rPr>
              <w:t>/</w:t>
            </w:r>
          </w:p>
        </w:tc>
        <w:tc>
          <w:tcPr>
            <w:tcW w:w="1593" w:type="dxa"/>
            <w:vAlign w:val="center"/>
          </w:tcPr>
          <w:p>
            <w:pPr>
              <w:widowControl/>
              <w:jc w:val="center"/>
              <w:rPr>
                <w:color w:val="auto"/>
                <w:kern w:val="0"/>
                <w:szCs w:val="21"/>
              </w:rPr>
            </w:pPr>
            <w:r>
              <w:rPr>
                <w:rFonts w:hint="eastAsia"/>
                <w:color w:val="auto"/>
                <w:kern w:val="0"/>
                <w:szCs w:val="21"/>
                <w:lang w:val="en-US" w:eastAsia="zh-CN"/>
              </w:rPr>
              <w:t>11.989</w:t>
            </w:r>
            <w:r>
              <w:rPr>
                <w:rFonts w:hint="eastAsia"/>
                <w:color w:val="auto"/>
                <w:szCs w:val="21"/>
              </w:rPr>
              <w:t>t/a</w:t>
            </w:r>
          </w:p>
        </w:tc>
        <w:tc>
          <w:tcPr>
            <w:tcW w:w="1450" w:type="dxa"/>
            <w:vAlign w:val="center"/>
          </w:tcPr>
          <w:p>
            <w:pPr>
              <w:jc w:val="center"/>
              <w:rPr>
                <w:snapToGrid w:val="0"/>
                <w:color w:val="auto"/>
                <w:kern w:val="21"/>
                <w:szCs w:val="21"/>
              </w:rPr>
            </w:pPr>
            <w:r>
              <w:rPr>
                <w:rFonts w:hint="eastAsia"/>
                <w:snapToGrid w:val="0"/>
                <w:color w:val="auto"/>
                <w:kern w:val="21"/>
                <w:szCs w:val="21"/>
              </w:rPr>
              <w:t>0</w:t>
            </w:r>
            <w:r>
              <w:rPr>
                <w:rFonts w:hint="eastAsia"/>
                <w:color w:val="auto"/>
                <w:szCs w:val="21"/>
              </w:rPr>
              <w:t>t/a</w:t>
            </w:r>
          </w:p>
        </w:tc>
        <w:tc>
          <w:tcPr>
            <w:tcW w:w="1747" w:type="dxa"/>
            <w:vAlign w:val="center"/>
          </w:tcPr>
          <w:p>
            <w:pPr>
              <w:widowControl/>
              <w:jc w:val="center"/>
              <w:rPr>
                <w:color w:val="auto"/>
                <w:kern w:val="0"/>
                <w:szCs w:val="21"/>
              </w:rPr>
            </w:pPr>
            <w:r>
              <w:rPr>
                <w:rFonts w:hint="eastAsia"/>
                <w:color w:val="auto"/>
                <w:kern w:val="0"/>
                <w:szCs w:val="21"/>
                <w:lang w:val="en-US" w:eastAsia="zh-CN"/>
              </w:rPr>
              <w:t>15.989</w:t>
            </w:r>
            <w:r>
              <w:rPr>
                <w:rFonts w:hint="eastAsia"/>
                <w:color w:val="auto"/>
                <w:szCs w:val="21"/>
              </w:rPr>
              <w:t>t/a</w:t>
            </w:r>
          </w:p>
        </w:tc>
        <w:tc>
          <w:tcPr>
            <w:tcW w:w="1534" w:type="dxa"/>
            <w:vAlign w:val="center"/>
          </w:tcPr>
          <w:p>
            <w:pPr>
              <w:widowControl/>
              <w:jc w:val="center"/>
              <w:rPr>
                <w:color w:val="auto"/>
                <w:kern w:val="0"/>
                <w:szCs w:val="21"/>
              </w:rPr>
            </w:pPr>
            <w:r>
              <w:rPr>
                <w:rFonts w:hint="eastAsia"/>
                <w:color w:val="auto"/>
                <w:kern w:val="0"/>
                <w:szCs w:val="21"/>
              </w:rPr>
              <w:t>+</w:t>
            </w:r>
            <w:r>
              <w:rPr>
                <w:rFonts w:hint="eastAsia"/>
                <w:color w:val="auto"/>
                <w:kern w:val="0"/>
                <w:szCs w:val="21"/>
                <w:lang w:val="en-US" w:eastAsia="zh-CN"/>
              </w:rPr>
              <w:t>11.989</w:t>
            </w:r>
            <w:r>
              <w:rPr>
                <w:rFonts w:hint="eastAsia"/>
                <w:color w:val="auto"/>
                <w:szCs w:val="21"/>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shd w:val="clear" w:color="auto" w:fill="auto"/>
            <w:vAlign w:val="center"/>
          </w:tcPr>
          <w:p>
            <w:pPr>
              <w:pStyle w:val="154"/>
              <w:rPr>
                <w:rFonts w:hint="eastAsia" w:ascii="Times New Roman" w:hAnsi="Times New Roman" w:eastAsia="宋体" w:cs="Times New Roman"/>
                <w:color w:val="auto"/>
                <w:kern w:val="2"/>
                <w:sz w:val="21"/>
                <w:szCs w:val="24"/>
                <w:lang w:val="en-US" w:eastAsia="zh-CN" w:bidi="ar-SA"/>
              </w:rPr>
            </w:pPr>
            <w:r>
              <w:rPr>
                <w:rFonts w:hint="eastAsia"/>
                <w:color w:val="auto"/>
              </w:rPr>
              <w:t>印刷辊筒擦拭废布</w:t>
            </w:r>
          </w:p>
        </w:tc>
        <w:tc>
          <w:tcPr>
            <w:tcW w:w="1593" w:type="dxa"/>
            <w:shd w:val="clear" w:color="auto" w:fill="auto"/>
            <w:vAlign w:val="center"/>
          </w:tcPr>
          <w:p>
            <w:pPr>
              <w:pStyle w:val="154"/>
              <w:rPr>
                <w:rFonts w:hint="eastAsia" w:ascii="Times New Roman" w:hAnsi="Times New Roman" w:eastAsia="宋体" w:cs="Times New Roman"/>
                <w:color w:val="auto"/>
                <w:kern w:val="2"/>
                <w:sz w:val="21"/>
                <w:szCs w:val="21"/>
                <w:lang w:val="en-US" w:eastAsia="zh-CN" w:bidi="ar-SA"/>
              </w:rPr>
            </w:pPr>
            <w:r>
              <w:rPr>
                <w:rFonts w:hint="eastAsia"/>
                <w:color w:val="auto"/>
                <w:szCs w:val="21"/>
              </w:rPr>
              <w:t>0.95t/a</w:t>
            </w:r>
          </w:p>
        </w:tc>
        <w:tc>
          <w:tcPr>
            <w:tcW w:w="1304" w:type="dxa"/>
            <w:shd w:val="clear" w:color="auto" w:fill="auto"/>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rPr>
              <w:t>/</w:t>
            </w:r>
          </w:p>
        </w:tc>
        <w:tc>
          <w:tcPr>
            <w:tcW w:w="1738" w:type="dxa"/>
            <w:shd w:val="clear" w:color="auto" w:fill="auto"/>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rPr>
              <w:t>/</w:t>
            </w:r>
          </w:p>
        </w:tc>
        <w:tc>
          <w:tcPr>
            <w:tcW w:w="1593" w:type="dxa"/>
            <w:shd w:val="clear" w:color="auto" w:fill="auto"/>
            <w:vAlign w:val="center"/>
          </w:tcPr>
          <w:p>
            <w:pPr>
              <w:widowControl/>
              <w:jc w:val="center"/>
              <w:rPr>
                <w:rFonts w:hint="eastAsia" w:ascii="Times New Roman" w:hAnsi="Times New Roman" w:eastAsia="宋体" w:cs="Times New Roman"/>
                <w:color w:val="auto"/>
                <w:kern w:val="2"/>
                <w:sz w:val="21"/>
                <w:szCs w:val="24"/>
                <w:lang w:val="en-US" w:eastAsia="zh-CN" w:bidi="ar-SA"/>
              </w:rPr>
            </w:pPr>
            <w:r>
              <w:rPr>
                <w:rFonts w:hint="eastAsia"/>
                <w:color w:val="auto"/>
              </w:rPr>
              <w:t>0.45t/a</w:t>
            </w:r>
          </w:p>
        </w:tc>
        <w:tc>
          <w:tcPr>
            <w:tcW w:w="1450" w:type="dxa"/>
            <w:shd w:val="clear" w:color="auto" w:fill="auto"/>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rPr>
              <w:t>0</w:t>
            </w:r>
            <w:r>
              <w:rPr>
                <w:rFonts w:hint="eastAsia"/>
                <w:color w:val="auto"/>
                <w:szCs w:val="21"/>
              </w:rPr>
              <w:t>t/a</w:t>
            </w:r>
          </w:p>
        </w:tc>
        <w:tc>
          <w:tcPr>
            <w:tcW w:w="1747" w:type="dxa"/>
            <w:shd w:val="clear" w:color="auto" w:fill="auto"/>
            <w:vAlign w:val="center"/>
          </w:tcPr>
          <w:p>
            <w:pPr>
              <w:widowControl/>
              <w:jc w:val="center"/>
              <w:rPr>
                <w:rFonts w:hint="eastAsia" w:ascii="Times New Roman" w:hAnsi="Times New Roman" w:eastAsia="宋体" w:cs="Times New Roman"/>
                <w:color w:val="auto"/>
                <w:kern w:val="0"/>
                <w:sz w:val="21"/>
                <w:szCs w:val="21"/>
                <w:lang w:val="en-US" w:eastAsia="zh-CN" w:bidi="ar-SA"/>
              </w:rPr>
            </w:pPr>
            <w:r>
              <w:rPr>
                <w:rFonts w:hint="eastAsia"/>
                <w:color w:val="auto"/>
              </w:rPr>
              <w:t>1.4t/a</w:t>
            </w:r>
          </w:p>
        </w:tc>
        <w:tc>
          <w:tcPr>
            <w:tcW w:w="1534" w:type="dxa"/>
            <w:shd w:val="clear" w:color="auto" w:fill="auto"/>
            <w:vAlign w:val="center"/>
          </w:tcPr>
          <w:p>
            <w:pPr>
              <w:widowControl/>
              <w:jc w:val="center"/>
              <w:rPr>
                <w:rFonts w:hint="eastAsia" w:ascii="Times New Roman" w:hAnsi="Times New Roman" w:eastAsia="宋体" w:cs="Times New Roman"/>
                <w:color w:val="auto"/>
                <w:kern w:val="0"/>
                <w:sz w:val="21"/>
                <w:szCs w:val="21"/>
                <w:lang w:val="en-US" w:eastAsia="zh-CN" w:bidi="ar-SA"/>
              </w:rPr>
            </w:pPr>
            <w:r>
              <w:rPr>
                <w:rFonts w:hint="eastAsia"/>
                <w:color w:val="auto"/>
              </w:rPr>
              <w:t>+0.45t/a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1297" w:type="dxa"/>
            <w:vMerge w:val="continue"/>
            <w:vAlign w:val="center"/>
          </w:tcPr>
          <w:p>
            <w:pPr>
              <w:pStyle w:val="101"/>
              <w:spacing w:beforeLines="0" w:afterLines="0" w:line="240" w:lineRule="auto"/>
              <w:rPr>
                <w:rFonts w:ascii="Times New Roman"/>
                <w:snapToGrid w:val="0"/>
                <w:color w:val="auto"/>
                <w:kern w:val="21"/>
                <w:szCs w:val="21"/>
              </w:rPr>
            </w:pPr>
          </w:p>
        </w:tc>
        <w:tc>
          <w:tcPr>
            <w:tcW w:w="1917" w:type="dxa"/>
            <w:vAlign w:val="center"/>
          </w:tcPr>
          <w:p>
            <w:pPr>
              <w:pStyle w:val="154"/>
              <w:rPr>
                <w:rFonts w:hint="default" w:eastAsia="宋体"/>
                <w:color w:val="auto"/>
                <w:lang w:val="en-US" w:eastAsia="zh-CN"/>
              </w:rPr>
            </w:pPr>
            <w:r>
              <w:rPr>
                <w:rFonts w:hint="eastAsia"/>
                <w:color w:val="auto"/>
                <w:lang w:val="en-US" w:eastAsia="zh-CN"/>
              </w:rPr>
              <w:t>喷淋废液</w:t>
            </w:r>
          </w:p>
        </w:tc>
        <w:tc>
          <w:tcPr>
            <w:tcW w:w="1593" w:type="dxa"/>
            <w:vAlign w:val="center"/>
          </w:tcPr>
          <w:p>
            <w:pPr>
              <w:pStyle w:val="154"/>
              <w:rPr>
                <w:rFonts w:hint="default" w:eastAsia="宋体"/>
                <w:color w:val="auto"/>
                <w:szCs w:val="21"/>
                <w:lang w:val="en-US" w:eastAsia="zh-CN"/>
              </w:rPr>
            </w:pPr>
            <w:r>
              <w:rPr>
                <w:rFonts w:hint="eastAsia"/>
                <w:color w:val="auto"/>
                <w:szCs w:val="21"/>
                <w:lang w:val="en-US" w:eastAsia="zh-CN"/>
              </w:rPr>
              <w:t>0t/a</w:t>
            </w:r>
          </w:p>
        </w:tc>
        <w:tc>
          <w:tcPr>
            <w:tcW w:w="1304" w:type="dxa"/>
            <w:shd w:val="clear" w:color="auto" w:fill="auto"/>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rPr>
              <w:t>/</w:t>
            </w:r>
          </w:p>
        </w:tc>
        <w:tc>
          <w:tcPr>
            <w:tcW w:w="1738" w:type="dxa"/>
            <w:shd w:val="clear" w:color="auto" w:fill="auto"/>
            <w:vAlign w:val="center"/>
          </w:tcPr>
          <w:p>
            <w:pPr>
              <w:jc w:val="center"/>
              <w:rPr>
                <w:rFonts w:hint="eastAsia" w:ascii="Times New Roman" w:hAnsi="Times New Roman" w:eastAsia="宋体" w:cs="Times New Roman"/>
                <w:snapToGrid w:val="0"/>
                <w:color w:val="auto"/>
                <w:kern w:val="21"/>
                <w:sz w:val="21"/>
                <w:szCs w:val="21"/>
                <w:lang w:val="en-US" w:eastAsia="zh-CN" w:bidi="ar-SA"/>
              </w:rPr>
            </w:pPr>
            <w:r>
              <w:rPr>
                <w:rFonts w:hint="eastAsia"/>
                <w:snapToGrid w:val="0"/>
                <w:color w:val="auto"/>
                <w:kern w:val="21"/>
                <w:szCs w:val="21"/>
              </w:rPr>
              <w:t>/</w:t>
            </w:r>
          </w:p>
        </w:tc>
        <w:tc>
          <w:tcPr>
            <w:tcW w:w="1593" w:type="dxa"/>
            <w:vAlign w:val="center"/>
          </w:tcPr>
          <w:p>
            <w:pPr>
              <w:widowControl/>
              <w:jc w:val="center"/>
              <w:rPr>
                <w:rFonts w:hint="default" w:eastAsia="宋体"/>
                <w:color w:val="auto"/>
                <w:lang w:val="en-US" w:eastAsia="zh-CN"/>
              </w:rPr>
            </w:pPr>
            <w:r>
              <w:rPr>
                <w:rFonts w:hint="eastAsia"/>
                <w:color w:val="auto"/>
                <w:lang w:val="en-US" w:eastAsia="zh-CN"/>
              </w:rPr>
              <w:t>8t/a</w:t>
            </w:r>
          </w:p>
        </w:tc>
        <w:tc>
          <w:tcPr>
            <w:tcW w:w="1450" w:type="dxa"/>
            <w:vAlign w:val="center"/>
          </w:tcPr>
          <w:p>
            <w:pPr>
              <w:jc w:val="center"/>
              <w:rPr>
                <w:snapToGrid w:val="0"/>
                <w:color w:val="auto"/>
                <w:kern w:val="21"/>
                <w:szCs w:val="21"/>
              </w:rPr>
            </w:pPr>
            <w:r>
              <w:rPr>
                <w:rFonts w:hint="eastAsia"/>
                <w:snapToGrid w:val="0"/>
                <w:color w:val="auto"/>
                <w:kern w:val="21"/>
                <w:szCs w:val="21"/>
                <w:lang w:val="en-US" w:eastAsia="zh-CN"/>
              </w:rPr>
              <w:t>0</w:t>
            </w:r>
            <w:r>
              <w:rPr>
                <w:rFonts w:hint="eastAsia"/>
                <w:color w:val="auto"/>
                <w:szCs w:val="21"/>
              </w:rPr>
              <w:t>t/a</w:t>
            </w:r>
          </w:p>
        </w:tc>
        <w:tc>
          <w:tcPr>
            <w:tcW w:w="1747" w:type="dxa"/>
            <w:vAlign w:val="center"/>
          </w:tcPr>
          <w:p>
            <w:pPr>
              <w:widowControl/>
              <w:jc w:val="center"/>
              <w:rPr>
                <w:color w:val="auto"/>
                <w:kern w:val="0"/>
                <w:szCs w:val="21"/>
              </w:rPr>
            </w:pPr>
            <w:r>
              <w:rPr>
                <w:rFonts w:hint="eastAsia"/>
                <w:color w:val="auto"/>
                <w:lang w:val="en-US" w:eastAsia="zh-CN"/>
              </w:rPr>
              <w:t>8t/a</w:t>
            </w:r>
          </w:p>
        </w:tc>
        <w:tc>
          <w:tcPr>
            <w:tcW w:w="1534" w:type="dxa"/>
            <w:vAlign w:val="center"/>
          </w:tcPr>
          <w:p>
            <w:pPr>
              <w:widowControl/>
              <w:jc w:val="center"/>
              <w:rPr>
                <w:rFonts w:hint="eastAsia" w:eastAsia="宋体"/>
                <w:color w:val="auto"/>
                <w:kern w:val="0"/>
                <w:szCs w:val="21"/>
                <w:lang w:val="en-US" w:eastAsia="zh-CN"/>
              </w:rPr>
            </w:pPr>
            <w:r>
              <w:rPr>
                <w:rFonts w:hint="eastAsia"/>
                <w:color w:val="auto"/>
                <w:kern w:val="0"/>
                <w:szCs w:val="21"/>
                <w:lang w:val="en-US" w:eastAsia="zh-CN"/>
              </w:rPr>
              <w:t>+8</w:t>
            </w:r>
            <w:r>
              <w:rPr>
                <w:rFonts w:hint="eastAsia"/>
                <w:color w:val="auto"/>
                <w:lang w:val="en-US" w:eastAsia="zh-CN"/>
              </w:rPr>
              <w:t>t/a</w:t>
            </w:r>
          </w:p>
        </w:tc>
      </w:tr>
    </w:tbl>
    <w:p>
      <w:pPr>
        <w:pStyle w:val="101"/>
        <w:spacing w:before="192" w:beforeLines="80" w:after="24"/>
        <w:ind w:firstLine="480"/>
        <w:jc w:val="left"/>
        <w:rPr>
          <w:color w:val="auto"/>
        </w:rPr>
        <w:sectPr>
          <w:headerReference r:id="rId6" w:type="default"/>
          <w:footerReference r:id="rId7" w:type="default"/>
          <w:pgSz w:w="16838" w:h="11906" w:orient="landscape"/>
          <w:pgMar w:top="1111" w:right="1701" w:bottom="1531" w:left="1701" w:header="851" w:footer="851" w:gutter="0"/>
          <w:cols w:space="720" w:num="1"/>
          <w:docGrid w:linePitch="312" w:charSpace="0"/>
        </w:sect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hint="eastAsia" w:ascii="Times New Roman"/>
          <w:snapToGrid w:val="0"/>
          <w:color w:val="auto"/>
          <w:spacing w:val="-6"/>
          <w:kern w:val="21"/>
          <w:szCs w:val="21"/>
        </w:rPr>
        <w:t>；</w:t>
      </w:r>
      <w:r>
        <w:rPr>
          <w:rFonts w:hint="eastAsia" w:ascii="Times New Roman"/>
          <w:b/>
          <w:bCs/>
          <w:snapToGrid w:val="0"/>
          <w:color w:val="auto"/>
          <w:spacing w:val="-6"/>
          <w:kern w:val="21"/>
          <w:szCs w:val="21"/>
        </w:rPr>
        <w:t>全厂为现有项目厂区和扩建项目厂区</w:t>
      </w:r>
    </w:p>
    <w:p>
      <w:pPr>
        <w:pStyle w:val="73"/>
        <w:jc w:val="left"/>
        <w:outlineLvl w:val="0"/>
        <w:rPr>
          <w:color w:val="auto"/>
        </w:rPr>
      </w:pPr>
      <w:r>
        <w:rPr>
          <w:rFonts w:hint="eastAsia"/>
          <w:color w:val="auto"/>
        </w:rPr>
        <w:drawing>
          <wp:inline distT="0" distB="0" distL="114300" distR="114300">
            <wp:extent cx="5610860" cy="7409180"/>
            <wp:effectExtent l="0" t="0" r="0" b="0"/>
            <wp:docPr id="196" name="图片 196" descr="删除依据和理由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删除依据和理由的说明"/>
                    <pic:cNvPicPr>
                      <a:picLocks noChangeAspect="1"/>
                    </pic:cNvPicPr>
                  </pic:nvPicPr>
                  <pic:blipFill>
                    <a:blip r:embed="rId51"/>
                    <a:srcRect b="6678"/>
                    <a:stretch>
                      <a:fillRect/>
                    </a:stretch>
                  </pic:blipFill>
                  <pic:spPr>
                    <a:xfrm>
                      <a:off x="0" y="0"/>
                      <a:ext cx="5610860" cy="7409180"/>
                    </a:xfrm>
                    <a:prstGeom prst="rect">
                      <a:avLst/>
                    </a:prstGeom>
                  </pic:spPr>
                </pic:pic>
              </a:graphicData>
            </a:graphic>
          </wp:inline>
        </w:drawing>
      </w:r>
      <w:r>
        <w:rPr>
          <w:rFonts w:hint="eastAsia"/>
          <w:color w:val="auto"/>
        </w:rPr>
        <w:drawing>
          <wp:inline distT="0" distB="0" distL="114300" distR="114300">
            <wp:extent cx="5610860" cy="7435215"/>
            <wp:effectExtent l="0" t="0" r="0" b="0"/>
            <wp:docPr id="197" name="图片 197" descr="删除依据的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删除依据的说明"/>
                    <pic:cNvPicPr>
                      <a:picLocks noChangeAspect="1"/>
                    </pic:cNvPicPr>
                  </pic:nvPicPr>
                  <pic:blipFill>
                    <a:blip r:embed="rId52"/>
                    <a:srcRect b="6350"/>
                    <a:stretch>
                      <a:fillRect/>
                    </a:stretch>
                  </pic:blipFill>
                  <pic:spPr>
                    <a:xfrm>
                      <a:off x="0" y="0"/>
                      <a:ext cx="5610860" cy="7435215"/>
                    </a:xfrm>
                    <a:prstGeom prst="rect">
                      <a:avLst/>
                    </a:prstGeom>
                  </pic:spPr>
                </pic:pic>
              </a:graphicData>
            </a:graphic>
          </wp:inline>
        </w:drawing>
      </w:r>
    </w:p>
    <w:sectPr>
      <w:footerReference r:id="rId8" w:type="default"/>
      <w:pgSz w:w="11906" w:h="16838"/>
      <w:pgMar w:top="1418" w:right="1531" w:bottom="1701" w:left="1531" w:header="851" w:footer="851"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54E0E0D-9119-41A2-A056-14F6028C96F7}"/>
  </w:font>
  <w:font w:name="Arial">
    <w:panose1 w:val="020B0604020202020204"/>
    <w:charset w:val="01"/>
    <w:family w:val="swiss"/>
    <w:pitch w:val="default"/>
    <w:sig w:usb0="E0002AFF" w:usb1="C0007843" w:usb2="00000009" w:usb3="00000000" w:csb0="400001FF" w:csb1="FFFF0000"/>
    <w:embedRegular r:id="rId2" w:fontKey="{9EDB3F7E-5657-45F7-8F3D-2282CDC5B647}"/>
  </w:font>
  <w:font w:name="黑体">
    <w:panose1 w:val="02010609060101010101"/>
    <w:charset w:val="86"/>
    <w:family w:val="auto"/>
    <w:pitch w:val="default"/>
    <w:sig w:usb0="800002BF" w:usb1="38CF7CFA" w:usb2="00000016" w:usb3="00000000" w:csb0="00040001" w:csb1="00000000"/>
    <w:embedRegular r:id="rId3" w:fontKey="{575E403A-7C87-49C4-BA42-523AD8FE98D8}"/>
  </w:font>
  <w:font w:name="Courier New">
    <w:panose1 w:val="02070309020205020404"/>
    <w:charset w:val="01"/>
    <w:family w:val="modern"/>
    <w:pitch w:val="default"/>
    <w:sig w:usb0="E0002AFF" w:usb1="C0007843" w:usb2="00000009" w:usb3="00000000" w:csb0="400001FF" w:csb1="FFFF0000"/>
    <w:embedRegular r:id="rId4" w:fontKey="{0E2EC6F2-B807-48A2-A3F2-3DD5C2046D20}"/>
  </w:font>
  <w:font w:name="Symbol">
    <w:panose1 w:val="05050102010706020507"/>
    <w:charset w:val="02"/>
    <w:family w:val="roman"/>
    <w:pitch w:val="default"/>
    <w:sig w:usb0="00000000" w:usb1="00000000" w:usb2="00000000" w:usb3="00000000" w:csb0="80000000" w:csb1="00000000"/>
    <w:embedRegular r:id="rId5" w:fontKey="{119F2410-13E2-40B4-A2DC-5A679089EC38}"/>
  </w:font>
  <w:font w:name="Calibri">
    <w:panose1 w:val="020F0502020204030204"/>
    <w:charset w:val="00"/>
    <w:family w:val="swiss"/>
    <w:pitch w:val="default"/>
    <w:sig w:usb0="E00002FF" w:usb1="4000ACFF" w:usb2="00000001" w:usb3="00000000" w:csb0="2000019F" w:csb1="00000000"/>
    <w:embedRegular r:id="rId6" w:fontKey="{8771759B-0C96-4B82-B6A6-DB198D40098B}"/>
  </w:font>
  <w:font w:name="楷体_GB2312">
    <w:panose1 w:val="02010609030101010101"/>
    <w:charset w:val="86"/>
    <w:family w:val="modern"/>
    <w:pitch w:val="default"/>
    <w:sig w:usb0="00000001" w:usb1="080E0000" w:usb2="00000000" w:usb3="00000000" w:csb0="00040000" w:csb1="00000000"/>
    <w:embedRegular r:id="rId7" w:fontKey="{54D669BB-1D99-4B00-803B-BC88AAE2F416}"/>
  </w:font>
  <w:font w:name="仿宋_GB2312">
    <w:panose1 w:val="02010609030101010101"/>
    <w:charset w:val="86"/>
    <w:family w:val="modern"/>
    <w:pitch w:val="default"/>
    <w:sig w:usb0="00000001" w:usb1="080E0000" w:usb2="00000000" w:usb3="00000000" w:csb0="00040000" w:csb1="00000000"/>
    <w:embedRegular r:id="rId8" w:fontKey="{36F49945-63C2-4A50-A1D8-A18CDE8CA887}"/>
  </w:font>
  <w:font w:name="方正楷体简体">
    <w:altName w:val="宋体"/>
    <w:panose1 w:val="00000000000000000000"/>
    <w:charset w:val="86"/>
    <w:family w:val="auto"/>
    <w:pitch w:val="default"/>
    <w:sig w:usb0="00000000" w:usb1="00000000" w:usb2="00000012" w:usb3="00000000" w:csb0="00040001" w:csb1="00000000"/>
  </w:font>
  <w:font w:name="Tahoma">
    <w:panose1 w:val="020B0604030504040204"/>
    <w:charset w:val="00"/>
    <w:family w:val="swiss"/>
    <w:pitch w:val="default"/>
    <w:sig w:usb0="E1002EFF" w:usb1="C000605B" w:usb2="00000029" w:usb3="00000000" w:csb0="200101FF" w:csb1="20280000"/>
    <w:embedRegular r:id="rId9" w:fontKey="{0831E2C0-AE58-48B4-BB53-8696358DD536}"/>
  </w:font>
  <w:font w:name="@”“Times New Roman”“">
    <w:altName w:val="@宋体"/>
    <w:panose1 w:val="00000000000000000000"/>
    <w:charset w:val="86"/>
    <w:family w:val="roman"/>
    <w:pitch w:val="default"/>
    <w:sig w:usb0="00000000" w:usb1="00000000" w:usb2="00000010" w:usb3="00000000" w:csb0="00040000" w:csb1="00000000"/>
  </w:font>
  <w:font w:name="方正小标宋_GBK">
    <w:altName w:val="微软雅黑"/>
    <w:panose1 w:val="00000000000000000000"/>
    <w:charset w:val="86"/>
    <w:family w:val="script"/>
    <w:pitch w:val="default"/>
    <w:sig w:usb0="00000000" w:usb1="00000000" w:usb2="00082016" w:usb3="00000000" w:csb0="00040001" w:csb1="00000000"/>
    <w:embedRegular r:id="rId10" w:fontKey="{3E0036D1-F546-40FB-831C-A66215ED499D}"/>
  </w:font>
  <w:font w:name="仿宋">
    <w:panose1 w:val="02010609060101010101"/>
    <w:charset w:val="86"/>
    <w:family w:val="modern"/>
    <w:pitch w:val="default"/>
    <w:sig w:usb0="800002BF" w:usb1="38CF7CFA" w:usb2="00000016" w:usb3="00000000" w:csb0="00040001" w:csb1="00000000"/>
    <w:embedRegular r:id="rId11" w:fontKey="{217E9B59-0165-4CFC-9F90-63E2E35970AA}"/>
  </w:font>
  <w:font w:name="FZFSK--GBK1-0">
    <w:altName w:val="宋体"/>
    <w:panose1 w:val="00000000000000000000"/>
    <w:charset w:val="86"/>
    <w:family w:val="auto"/>
    <w:pitch w:val="default"/>
    <w:sig w:usb0="00000000" w:usb1="00000000" w:usb2="00000000" w:usb3="00000000" w:csb0="00040000" w:csb1="00000000"/>
    <w:embedRegular r:id="rId12" w:fontKey="{B328D0C9-49BC-4B75-9E3D-EF522ACCD385}"/>
  </w:font>
  <w:font w:name="TimesNewRomanPSMT">
    <w:altName w:val="Times New Roman"/>
    <w:panose1 w:val="00000000000000000000"/>
    <w:charset w:val="80"/>
    <w:family w:val="auto"/>
    <w:pitch w:val="default"/>
    <w:sig w:usb0="00000000" w:usb1="00000000" w:usb2="00000000" w:usb3="00000000" w:csb0="00020000" w:csb1="00000000"/>
    <w:embedRegular r:id="rId13" w:fontKey="{D135B5A9-1B71-4A73-AD89-532AC605D212}"/>
  </w:font>
  <w:font w:name="微软雅黑">
    <w:panose1 w:val="020B0503020204020204"/>
    <w:charset w:val="86"/>
    <w:family w:val="auto"/>
    <w:pitch w:val="default"/>
    <w:sig w:usb0="80000287" w:usb1="280F3C52" w:usb2="00000016" w:usb3="00000000" w:csb0="0004001F" w:csb1="00000000"/>
  </w:font>
  <w:font w:name="@宋体">
    <w:panose1 w:val="02010600030101010101"/>
    <w:charset w:val="86"/>
    <w:family w:val="auto"/>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mc:AlternateContent>
        <mc:Choice Requires="wps">
          <w:drawing>
            <wp:anchor distT="0" distB="0" distL="114300" distR="114300" simplePos="0" relativeHeight="251661312" behindDoc="0" locked="0" layoutInCell="1" allowOverlap="1">
              <wp:simplePos x="0" y="0"/>
              <wp:positionH relativeFrom="margin">
                <wp:posOffset>2746375</wp:posOffset>
              </wp:positionH>
              <wp:positionV relativeFrom="paragraph">
                <wp:posOffset>-1270</wp:posOffset>
              </wp:positionV>
              <wp:extent cx="236220" cy="1828800"/>
              <wp:effectExtent l="0" t="0" r="11430" b="14605"/>
              <wp:wrapNone/>
              <wp:docPr id="182" name="文本框 182"/>
              <wp:cNvGraphicFramePr/>
              <a:graphic xmlns:a="http://schemas.openxmlformats.org/drawingml/2006/main">
                <a:graphicData uri="http://schemas.microsoft.com/office/word/2010/wordprocessingShape">
                  <wps:wsp>
                    <wps:cNvSpPr txBox="1"/>
                    <wps:spPr>
                      <a:xfrm>
                        <a:off x="0" y="0"/>
                        <a:ext cx="23622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6"/>
                            <w:jc w:val="center"/>
                          </w:pPr>
                          <w:r>
                            <w:fldChar w:fldCharType="begin"/>
                          </w:r>
                          <w:r>
                            <w:instrText xml:space="preserve">PAGE   \* MERGEFORMAT</w:instrText>
                          </w:r>
                          <w:r>
                            <w:fldChar w:fldCharType="separate"/>
                          </w:r>
                          <w:r>
                            <w:rPr>
                              <w:lang w:val="zh-CN"/>
                            </w:rPr>
                            <w:t>40</w:t>
                          </w:r>
                          <w:r>
                            <w:fldChar w:fldCharType="end"/>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216.25pt;margin-top:-0.1pt;height:144pt;width:18.6pt;mso-position-horizontal-relative:margin;z-index:251661312;mso-width-relative:page;mso-height-relative:page;" filled="f" stroked="f" coordsize="21600,21600" o:gfxdata="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kPCpd9kAAAAJAQAADwAAAAAAAAABACAAAAAiAAAAZHJzL2Rvd25yZXYu&#10;eG1sUEsBAhQAFAAAAAgAh07iQB3WikMzAgAAWgQAAA4AAAAAAAAAAQAgAAAAKAEAAGRycy9lMm9E&#10;b2MueG1sUEsFBgAAAAAGAAYAWQEAAM0FAAAAAA==&#10;">
              <v:fill on="f" focussize="0,0"/>
              <v:stroke on="f" weight="0.5pt"/>
              <v:imagedata o:title=""/>
              <o:lock v:ext="edit" aspectratio="f"/>
              <v:textbox inset="0mm,0mm,0mm,0mm" style="mso-fit-shape-to-text:t;">
                <w:txbxContent>
                  <w:p>
                    <w:pPr>
                      <w:pStyle w:val="26"/>
                      <w:jc w:val="center"/>
                    </w:pPr>
                    <w:r>
                      <w:fldChar w:fldCharType="begin"/>
                    </w:r>
                    <w:r>
                      <w:instrText xml:space="preserve">PAGE   \* MERGEFORMAT</w:instrText>
                    </w:r>
                    <w:r>
                      <w:fldChar w:fldCharType="separate"/>
                    </w:r>
                    <w:r>
                      <w:rPr>
                        <w:lang w:val="zh-CN"/>
                      </w:rPr>
                      <w:t>40</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firstLine="48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8" name="文本框 1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6"/>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NWD4Is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Q1YPgiwCAABZBAAADgAAAAAAAAABACAAAAAfAQAAZHJzL2Uyb0RvYy54bWxQSwUGAAAAAAYA&#10;BgBZAQAAvQUAAAAA&#10;">
              <v:fill on="f" focussize="0,0"/>
              <v:stroke on="f" weight="0.5pt"/>
              <v:imagedata o:title=""/>
              <o:lock v:ext="edit" aspectratio="f"/>
              <v:textbox inset="0mm,0mm,0mm,0mm" style="mso-fit-shape-to-text:t;">
                <w:txbxContent>
                  <w:p>
                    <w:pPr>
                      <w:pStyle w:val="26"/>
                    </w:pPr>
                    <w:r>
                      <w:fldChar w:fldCharType="begin"/>
                    </w:r>
                    <w:r>
                      <w:instrText xml:space="preserve"> PAGE  \* MERGEFORMAT </w:instrText>
                    </w:r>
                    <w:r>
                      <w:fldChar w:fldCharType="separate"/>
                    </w:r>
                    <w:r>
                      <w:t>69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9" name="文本框 1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6"/>
                            <w:jc w:val="center"/>
                          </w:pPr>
                          <w:r>
                            <w:fldChar w:fldCharType="begin"/>
                          </w:r>
                          <w:r>
                            <w:instrText xml:space="preserve">PAGE   \* MERGEFORMAT</w:instrText>
                          </w:r>
                          <w:r>
                            <w:fldChar w:fldCharType="separate"/>
                          </w:r>
                          <w:r>
                            <w:rPr>
                              <w:lang w:val="zh-CN"/>
                            </w:rPr>
                            <w:t>54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3qzJgtAgAAWQQAAA4AAABkcnMvZTJvRG9jLnhtbK1UzY7TMBC+I/EO&#10;lu80aVesSt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I3qzJgtAgAAWQQAAA4AAAAAAAAAAQAgAAAAHwEAAGRycy9lMm9Eb2MueG1sUEsFBgAAAAAG&#10;AAYAWQEAAL4FAAAAAA==&#10;">
              <v:fill on="f" focussize="0,0"/>
              <v:stroke on="f" weight="0.5pt"/>
              <v:imagedata o:title=""/>
              <o:lock v:ext="edit" aspectratio="f"/>
              <v:textbox inset="0mm,0mm,0mm,0mm" style="mso-fit-shape-to-text:t;">
                <w:txbxContent>
                  <w:p>
                    <w:pPr>
                      <w:pStyle w:val="26"/>
                      <w:jc w:val="center"/>
                    </w:pPr>
                    <w:r>
                      <w:fldChar w:fldCharType="begin"/>
                    </w:r>
                    <w:r>
                      <w:instrText xml:space="preserve">PAGE   \* MERGEFORMAT</w:instrText>
                    </w:r>
                    <w:r>
                      <w:fldChar w:fldCharType="separate"/>
                    </w:r>
                    <w:r>
                      <w:rPr>
                        <w:lang w:val="zh-CN"/>
                      </w:rPr>
                      <w:t>54</w:t>
                    </w:r>
                    <w:r>
                      <w:fldChar w:fldCharType="end"/>
                    </w:r>
                  </w:p>
                </w:txbxContent>
              </v:textbox>
            </v:shape>
          </w:pict>
        </mc:Fallback>
      </mc:AlternateContent>
    </w:r>
  </w:p>
  <w:p>
    <w:pPr>
      <w:pStyle w:val="26"/>
      <w:ind w:right="360" w:firstLine="360"/>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F40FA5"/>
    <w:multiLevelType w:val="singleLevel"/>
    <w:tmpl w:val="A8F40FA5"/>
    <w:lvl w:ilvl="0" w:tentative="0">
      <w:start w:val="2"/>
      <w:numFmt w:val="decimal"/>
      <w:suff w:val="nothing"/>
      <w:lvlText w:val="%1、"/>
      <w:lvlJc w:val="left"/>
    </w:lvl>
  </w:abstractNum>
  <w:abstractNum w:abstractNumId="1">
    <w:nsid w:val="D3F0705E"/>
    <w:multiLevelType w:val="singleLevel"/>
    <w:tmpl w:val="D3F0705E"/>
    <w:lvl w:ilvl="0" w:tentative="0">
      <w:start w:val="1"/>
      <w:numFmt w:val="decimal"/>
      <w:suff w:val="nothing"/>
      <w:lvlText w:val="%1）"/>
      <w:lvlJc w:val="left"/>
    </w:lvl>
  </w:abstractNum>
  <w:abstractNum w:abstractNumId="2">
    <w:nsid w:val="E2BE64F3"/>
    <w:multiLevelType w:val="singleLevel"/>
    <w:tmpl w:val="E2BE64F3"/>
    <w:lvl w:ilvl="0" w:tentative="0">
      <w:start w:val="5"/>
      <w:numFmt w:val="decimal"/>
      <w:suff w:val="nothing"/>
      <w:lvlText w:val="%1、"/>
      <w:lvlJc w:val="left"/>
    </w:lvl>
  </w:abstractNum>
  <w:abstractNum w:abstractNumId="3">
    <w:nsid w:val="E5055860"/>
    <w:multiLevelType w:val="singleLevel"/>
    <w:tmpl w:val="E5055860"/>
    <w:lvl w:ilvl="0" w:tentative="0">
      <w:start w:val="3"/>
      <w:numFmt w:val="decimal"/>
      <w:suff w:val="nothing"/>
      <w:lvlText w:val="%1）"/>
      <w:lvlJc w:val="left"/>
    </w:lvl>
  </w:abstractNum>
  <w:abstractNum w:abstractNumId="4">
    <w:nsid w:val="F6AFD5B7"/>
    <w:multiLevelType w:val="singleLevel"/>
    <w:tmpl w:val="F6AFD5B7"/>
    <w:lvl w:ilvl="0" w:tentative="0">
      <w:start w:val="1"/>
      <w:numFmt w:val="decimal"/>
      <w:suff w:val="nothing"/>
      <w:lvlText w:val="%1、"/>
      <w:lvlJc w:val="left"/>
    </w:lvl>
  </w:abstractNum>
  <w:abstractNum w:abstractNumId="5">
    <w:nsid w:val="0A3983EE"/>
    <w:multiLevelType w:val="singleLevel"/>
    <w:tmpl w:val="0A3983EE"/>
    <w:lvl w:ilvl="0" w:tentative="0">
      <w:start w:val="1"/>
      <w:numFmt w:val="decimal"/>
      <w:suff w:val="nothing"/>
      <w:lvlText w:val="%1）"/>
      <w:lvlJc w:val="left"/>
    </w:lvl>
  </w:abstractNum>
  <w:abstractNum w:abstractNumId="6">
    <w:nsid w:val="1DF9CCDC"/>
    <w:multiLevelType w:val="singleLevel"/>
    <w:tmpl w:val="1DF9CCDC"/>
    <w:lvl w:ilvl="0" w:tentative="0">
      <w:start w:val="1"/>
      <w:numFmt w:val="decimal"/>
      <w:suff w:val="nothing"/>
      <w:lvlText w:val="%1、"/>
      <w:lvlJc w:val="left"/>
    </w:lvl>
  </w:abstractNum>
  <w:abstractNum w:abstractNumId="7">
    <w:nsid w:val="54966EDB"/>
    <w:multiLevelType w:val="singleLevel"/>
    <w:tmpl w:val="54966EDB"/>
    <w:lvl w:ilvl="0" w:tentative="0">
      <w:start w:val="1"/>
      <w:numFmt w:val="decimal"/>
      <w:suff w:val="nothing"/>
      <w:lvlText w:val="%1）"/>
      <w:lvlJc w:val="left"/>
    </w:lvl>
  </w:abstractNum>
  <w:abstractNum w:abstractNumId="8">
    <w:nsid w:val="658DCA3A"/>
    <w:multiLevelType w:val="multilevel"/>
    <w:tmpl w:val="658DCA3A"/>
    <w:lvl w:ilvl="0" w:tentative="0">
      <w:start w:val="1"/>
      <w:numFmt w:val="decimal"/>
      <w:suff w:val="space"/>
      <w:lvlText w:val="%1"/>
      <w:lvlJc w:val="left"/>
      <w:pPr>
        <w:tabs>
          <w:tab w:val="left" w:pos="0"/>
        </w:tabs>
        <w:ind w:left="0" w:firstLine="0"/>
      </w:pPr>
      <w:rPr>
        <w:rFonts w:hint="default" w:ascii="宋体" w:hAnsi="宋体" w:eastAsia="宋体" w:cs="宋体"/>
      </w:rPr>
    </w:lvl>
    <w:lvl w:ilvl="1" w:tentative="0">
      <w:start w:val="1"/>
      <w:numFmt w:val="decimal"/>
      <w:suff w:val="space"/>
      <w:lvlText w:val="%1.%2"/>
      <w:lvlJc w:val="left"/>
      <w:pPr>
        <w:tabs>
          <w:tab w:val="left" w:pos="0"/>
        </w:tabs>
        <w:ind w:left="0" w:firstLine="0"/>
      </w:pPr>
      <w:rPr>
        <w:rFonts w:hint="default" w:ascii="宋体" w:hAnsi="宋体" w:eastAsia="宋体" w:cs="宋体"/>
      </w:rPr>
    </w:lvl>
    <w:lvl w:ilvl="2" w:tentative="0">
      <w:start w:val="1"/>
      <w:numFmt w:val="decimal"/>
      <w:suff w:val="space"/>
      <w:lvlText w:val="%1.%2.%3"/>
      <w:lvlJc w:val="left"/>
      <w:pPr>
        <w:tabs>
          <w:tab w:val="left" w:pos="0"/>
        </w:tabs>
        <w:ind w:left="0" w:firstLine="0"/>
      </w:pPr>
      <w:rPr>
        <w:rFonts w:hint="default" w:ascii="宋体" w:hAnsi="宋体" w:eastAsia="宋体" w:cs="宋体"/>
      </w:rPr>
    </w:lvl>
    <w:lvl w:ilvl="3" w:tentative="0">
      <w:start w:val="1"/>
      <w:numFmt w:val="decimal"/>
      <w:lvlText w:val="%1.%2.%3.%4."/>
      <w:lvlJc w:val="left"/>
      <w:pPr>
        <w:ind w:left="864" w:hanging="864"/>
      </w:pPr>
      <w:rPr>
        <w:rFonts w:hint="default"/>
      </w:rPr>
    </w:lvl>
    <w:lvl w:ilvl="4" w:tentative="0">
      <w:start w:val="1"/>
      <w:numFmt w:val="decimal"/>
      <w:pStyle w:val="7"/>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9">
    <w:nsid w:val="66ADC90D"/>
    <w:multiLevelType w:val="singleLevel"/>
    <w:tmpl w:val="66ADC90D"/>
    <w:lvl w:ilvl="0" w:tentative="0">
      <w:start w:val="1"/>
      <w:numFmt w:val="decimal"/>
      <w:suff w:val="nothing"/>
      <w:lvlText w:val="（%1）"/>
      <w:lvlJc w:val="left"/>
    </w:lvl>
  </w:abstractNum>
  <w:abstractNum w:abstractNumId="10">
    <w:nsid w:val="6780DCEB"/>
    <w:multiLevelType w:val="singleLevel"/>
    <w:tmpl w:val="6780DCEB"/>
    <w:lvl w:ilvl="0" w:tentative="0">
      <w:start w:val="1"/>
      <w:numFmt w:val="decimal"/>
      <w:suff w:val="nothing"/>
      <w:lvlText w:val="%1）"/>
      <w:lvlJc w:val="left"/>
    </w:lvl>
  </w:abstractNum>
  <w:abstractNum w:abstractNumId="11">
    <w:nsid w:val="7F0C3E49"/>
    <w:multiLevelType w:val="multilevel"/>
    <w:tmpl w:val="7F0C3E49"/>
    <w:lvl w:ilvl="0" w:tentative="0">
      <w:start w:val="1"/>
      <w:numFmt w:val="decimal"/>
      <w:pStyle w:val="45"/>
      <w:lvlText w:val="表%1"/>
      <w:lvlJc w:val="left"/>
      <w:pPr>
        <w:ind w:left="420" w:hanging="420"/>
      </w:pPr>
      <w:rPr>
        <w:rFonts w:hint="eastAsia"/>
        <w:lang w:val="en-US"/>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8"/>
  </w:num>
  <w:num w:numId="2">
    <w:abstractNumId w:val="11"/>
  </w:num>
  <w:num w:numId="3">
    <w:abstractNumId w:val="0"/>
  </w:num>
  <w:num w:numId="4">
    <w:abstractNumId w:val="2"/>
  </w:num>
  <w:num w:numId="5">
    <w:abstractNumId w:val="9"/>
  </w:num>
  <w:num w:numId="6">
    <w:abstractNumId w:val="5"/>
  </w:num>
  <w:num w:numId="7">
    <w:abstractNumId w:val="1"/>
  </w:num>
  <w:num w:numId="8">
    <w:abstractNumId w:val="3"/>
  </w:num>
  <w:num w:numId="9">
    <w:abstractNumId w:val="10"/>
  </w:num>
  <w:num w:numId="10">
    <w:abstractNumId w:val="7"/>
  </w:num>
  <w:num w:numId="11">
    <w:abstractNumId w:val="6"/>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JmYmRjYjRmOGI4NmIxZTA5ZjIxNmM5NzBhNGVmMDcifQ=="/>
  </w:docVars>
  <w:rsids>
    <w:rsidRoot w:val="00172A27"/>
    <w:rsid w:val="00000596"/>
    <w:rsid w:val="000010C7"/>
    <w:rsid w:val="00001449"/>
    <w:rsid w:val="00003676"/>
    <w:rsid w:val="000060B3"/>
    <w:rsid w:val="000102AB"/>
    <w:rsid w:val="0001042C"/>
    <w:rsid w:val="00010DF0"/>
    <w:rsid w:val="00011D92"/>
    <w:rsid w:val="0001252A"/>
    <w:rsid w:val="00012907"/>
    <w:rsid w:val="000139D0"/>
    <w:rsid w:val="000159C7"/>
    <w:rsid w:val="0001630F"/>
    <w:rsid w:val="00022BED"/>
    <w:rsid w:val="0002746E"/>
    <w:rsid w:val="000300A6"/>
    <w:rsid w:val="00032F7D"/>
    <w:rsid w:val="00035599"/>
    <w:rsid w:val="0003780E"/>
    <w:rsid w:val="00040AAA"/>
    <w:rsid w:val="000412DD"/>
    <w:rsid w:val="00042EFA"/>
    <w:rsid w:val="0004364B"/>
    <w:rsid w:val="000516F3"/>
    <w:rsid w:val="0005346C"/>
    <w:rsid w:val="00057008"/>
    <w:rsid w:val="00057554"/>
    <w:rsid w:val="00060628"/>
    <w:rsid w:val="00061B1F"/>
    <w:rsid w:val="00064228"/>
    <w:rsid w:val="00067AFC"/>
    <w:rsid w:val="00067B9A"/>
    <w:rsid w:val="00071BBA"/>
    <w:rsid w:val="0007237E"/>
    <w:rsid w:val="000732CB"/>
    <w:rsid w:val="000733C4"/>
    <w:rsid w:val="00073EC9"/>
    <w:rsid w:val="00074011"/>
    <w:rsid w:val="00074783"/>
    <w:rsid w:val="0008070B"/>
    <w:rsid w:val="000810AC"/>
    <w:rsid w:val="00081A02"/>
    <w:rsid w:val="00082231"/>
    <w:rsid w:val="00082274"/>
    <w:rsid w:val="00086A0B"/>
    <w:rsid w:val="00087228"/>
    <w:rsid w:val="00090A75"/>
    <w:rsid w:val="00092D38"/>
    <w:rsid w:val="0009377B"/>
    <w:rsid w:val="0009716C"/>
    <w:rsid w:val="000A0091"/>
    <w:rsid w:val="000A1BD9"/>
    <w:rsid w:val="000A20C9"/>
    <w:rsid w:val="000A267E"/>
    <w:rsid w:val="000A2EAA"/>
    <w:rsid w:val="000A4139"/>
    <w:rsid w:val="000A4D43"/>
    <w:rsid w:val="000A57E5"/>
    <w:rsid w:val="000A761D"/>
    <w:rsid w:val="000A7FDA"/>
    <w:rsid w:val="000B0385"/>
    <w:rsid w:val="000B058F"/>
    <w:rsid w:val="000B1A88"/>
    <w:rsid w:val="000B4467"/>
    <w:rsid w:val="000B4976"/>
    <w:rsid w:val="000B4DB9"/>
    <w:rsid w:val="000B7B3C"/>
    <w:rsid w:val="000C0656"/>
    <w:rsid w:val="000C09AC"/>
    <w:rsid w:val="000C0D7D"/>
    <w:rsid w:val="000C1F7B"/>
    <w:rsid w:val="000C4849"/>
    <w:rsid w:val="000C5912"/>
    <w:rsid w:val="000C60E0"/>
    <w:rsid w:val="000C6584"/>
    <w:rsid w:val="000C6828"/>
    <w:rsid w:val="000C767F"/>
    <w:rsid w:val="000D0CE1"/>
    <w:rsid w:val="000D0D47"/>
    <w:rsid w:val="000D5A44"/>
    <w:rsid w:val="000D6A83"/>
    <w:rsid w:val="000D781F"/>
    <w:rsid w:val="000E220E"/>
    <w:rsid w:val="000E37E8"/>
    <w:rsid w:val="000E3E6E"/>
    <w:rsid w:val="000E3ED2"/>
    <w:rsid w:val="000E5183"/>
    <w:rsid w:val="000F1FE0"/>
    <w:rsid w:val="000F2822"/>
    <w:rsid w:val="000F3CA0"/>
    <w:rsid w:val="000F4C0B"/>
    <w:rsid w:val="000F4F31"/>
    <w:rsid w:val="000F59B7"/>
    <w:rsid w:val="000F7347"/>
    <w:rsid w:val="000F7380"/>
    <w:rsid w:val="000F7E80"/>
    <w:rsid w:val="00100BF6"/>
    <w:rsid w:val="00100CB3"/>
    <w:rsid w:val="001011EC"/>
    <w:rsid w:val="00101BEC"/>
    <w:rsid w:val="00102C34"/>
    <w:rsid w:val="0010525A"/>
    <w:rsid w:val="00112564"/>
    <w:rsid w:val="0011483D"/>
    <w:rsid w:val="0011760E"/>
    <w:rsid w:val="00117FEA"/>
    <w:rsid w:val="00121DA3"/>
    <w:rsid w:val="00122C47"/>
    <w:rsid w:val="001268AB"/>
    <w:rsid w:val="001269C3"/>
    <w:rsid w:val="00130BFD"/>
    <w:rsid w:val="00131F42"/>
    <w:rsid w:val="001357F1"/>
    <w:rsid w:val="00140FA8"/>
    <w:rsid w:val="00141CEE"/>
    <w:rsid w:val="00141D7A"/>
    <w:rsid w:val="00142FEB"/>
    <w:rsid w:val="00143A2D"/>
    <w:rsid w:val="00143B84"/>
    <w:rsid w:val="00143E63"/>
    <w:rsid w:val="00145A41"/>
    <w:rsid w:val="001474A8"/>
    <w:rsid w:val="001476C8"/>
    <w:rsid w:val="00150234"/>
    <w:rsid w:val="0015024F"/>
    <w:rsid w:val="00151675"/>
    <w:rsid w:val="001527D3"/>
    <w:rsid w:val="0015287E"/>
    <w:rsid w:val="00152CD9"/>
    <w:rsid w:val="00153060"/>
    <w:rsid w:val="00154862"/>
    <w:rsid w:val="00157435"/>
    <w:rsid w:val="001603F3"/>
    <w:rsid w:val="00160721"/>
    <w:rsid w:val="0016076B"/>
    <w:rsid w:val="00161A4A"/>
    <w:rsid w:val="00164391"/>
    <w:rsid w:val="00165FDC"/>
    <w:rsid w:val="001662E6"/>
    <w:rsid w:val="00171743"/>
    <w:rsid w:val="00172A27"/>
    <w:rsid w:val="001735AE"/>
    <w:rsid w:val="00173DD5"/>
    <w:rsid w:val="0017504D"/>
    <w:rsid w:val="001753A5"/>
    <w:rsid w:val="00175634"/>
    <w:rsid w:val="00175A32"/>
    <w:rsid w:val="00176239"/>
    <w:rsid w:val="0017671A"/>
    <w:rsid w:val="00177422"/>
    <w:rsid w:val="001778D7"/>
    <w:rsid w:val="00180BEB"/>
    <w:rsid w:val="00183C3C"/>
    <w:rsid w:val="001842F5"/>
    <w:rsid w:val="001843C1"/>
    <w:rsid w:val="001843EB"/>
    <w:rsid w:val="00184590"/>
    <w:rsid w:val="00185907"/>
    <w:rsid w:val="00185ABA"/>
    <w:rsid w:val="001870D1"/>
    <w:rsid w:val="0018781E"/>
    <w:rsid w:val="0019105C"/>
    <w:rsid w:val="00191874"/>
    <w:rsid w:val="001920E4"/>
    <w:rsid w:val="0019262D"/>
    <w:rsid w:val="00194057"/>
    <w:rsid w:val="00194BFA"/>
    <w:rsid w:val="001951E5"/>
    <w:rsid w:val="001959FE"/>
    <w:rsid w:val="00196A66"/>
    <w:rsid w:val="00197418"/>
    <w:rsid w:val="00197C7F"/>
    <w:rsid w:val="001A18DC"/>
    <w:rsid w:val="001A1B35"/>
    <w:rsid w:val="001A299D"/>
    <w:rsid w:val="001A2ED4"/>
    <w:rsid w:val="001A3350"/>
    <w:rsid w:val="001A48A2"/>
    <w:rsid w:val="001A5F23"/>
    <w:rsid w:val="001A6F61"/>
    <w:rsid w:val="001A6F80"/>
    <w:rsid w:val="001B141D"/>
    <w:rsid w:val="001B2083"/>
    <w:rsid w:val="001B42A2"/>
    <w:rsid w:val="001B45DB"/>
    <w:rsid w:val="001B476B"/>
    <w:rsid w:val="001B6748"/>
    <w:rsid w:val="001B72B8"/>
    <w:rsid w:val="001C04A7"/>
    <w:rsid w:val="001C2BE0"/>
    <w:rsid w:val="001C2C6E"/>
    <w:rsid w:val="001C43A5"/>
    <w:rsid w:val="001C638D"/>
    <w:rsid w:val="001C69B3"/>
    <w:rsid w:val="001C79EE"/>
    <w:rsid w:val="001D0401"/>
    <w:rsid w:val="001D0FE1"/>
    <w:rsid w:val="001D22E7"/>
    <w:rsid w:val="001D32A5"/>
    <w:rsid w:val="001D3E58"/>
    <w:rsid w:val="001D49D7"/>
    <w:rsid w:val="001D5595"/>
    <w:rsid w:val="001D7874"/>
    <w:rsid w:val="001D799D"/>
    <w:rsid w:val="001D79E4"/>
    <w:rsid w:val="001D7F22"/>
    <w:rsid w:val="001E207D"/>
    <w:rsid w:val="001E427F"/>
    <w:rsid w:val="001E4500"/>
    <w:rsid w:val="001E53C1"/>
    <w:rsid w:val="001F016E"/>
    <w:rsid w:val="001F01C3"/>
    <w:rsid w:val="001F0906"/>
    <w:rsid w:val="001F0F17"/>
    <w:rsid w:val="001F2267"/>
    <w:rsid w:val="001F323D"/>
    <w:rsid w:val="001F3347"/>
    <w:rsid w:val="001F5488"/>
    <w:rsid w:val="001F59B0"/>
    <w:rsid w:val="001F69E4"/>
    <w:rsid w:val="001F7F7E"/>
    <w:rsid w:val="00200A45"/>
    <w:rsid w:val="002027DC"/>
    <w:rsid w:val="002077C4"/>
    <w:rsid w:val="0021109D"/>
    <w:rsid w:val="002125B4"/>
    <w:rsid w:val="00214150"/>
    <w:rsid w:val="0021455A"/>
    <w:rsid w:val="00215275"/>
    <w:rsid w:val="002155B8"/>
    <w:rsid w:val="00217F39"/>
    <w:rsid w:val="00223893"/>
    <w:rsid w:val="00224563"/>
    <w:rsid w:val="00224839"/>
    <w:rsid w:val="002249B2"/>
    <w:rsid w:val="00224FE7"/>
    <w:rsid w:val="00225A8E"/>
    <w:rsid w:val="00226574"/>
    <w:rsid w:val="002278EC"/>
    <w:rsid w:val="00232241"/>
    <w:rsid w:val="0023280E"/>
    <w:rsid w:val="00232DAB"/>
    <w:rsid w:val="00233575"/>
    <w:rsid w:val="002358CD"/>
    <w:rsid w:val="00236271"/>
    <w:rsid w:val="002377D1"/>
    <w:rsid w:val="00237C9B"/>
    <w:rsid w:val="002407D3"/>
    <w:rsid w:val="00240D2E"/>
    <w:rsid w:val="00240F06"/>
    <w:rsid w:val="002410ED"/>
    <w:rsid w:val="0024259B"/>
    <w:rsid w:val="00242A69"/>
    <w:rsid w:val="00244A4F"/>
    <w:rsid w:val="00244BB2"/>
    <w:rsid w:val="00244D36"/>
    <w:rsid w:val="002506BC"/>
    <w:rsid w:val="00252EDE"/>
    <w:rsid w:val="00254345"/>
    <w:rsid w:val="00254574"/>
    <w:rsid w:val="00260042"/>
    <w:rsid w:val="002610F0"/>
    <w:rsid w:val="00262598"/>
    <w:rsid w:val="00263516"/>
    <w:rsid w:val="0026361B"/>
    <w:rsid w:val="00263825"/>
    <w:rsid w:val="00264005"/>
    <w:rsid w:val="00264557"/>
    <w:rsid w:val="00265B62"/>
    <w:rsid w:val="002664E8"/>
    <w:rsid w:val="00267F1B"/>
    <w:rsid w:val="00272AD0"/>
    <w:rsid w:val="00272D5D"/>
    <w:rsid w:val="002756C0"/>
    <w:rsid w:val="00277E0C"/>
    <w:rsid w:val="00277F41"/>
    <w:rsid w:val="002805AB"/>
    <w:rsid w:val="002810C4"/>
    <w:rsid w:val="00281217"/>
    <w:rsid w:val="00282BDE"/>
    <w:rsid w:val="00283ED8"/>
    <w:rsid w:val="00284204"/>
    <w:rsid w:val="00285D3B"/>
    <w:rsid w:val="00290C90"/>
    <w:rsid w:val="00291773"/>
    <w:rsid w:val="002941C4"/>
    <w:rsid w:val="002954C6"/>
    <w:rsid w:val="00296A25"/>
    <w:rsid w:val="002A168C"/>
    <w:rsid w:val="002A3DC7"/>
    <w:rsid w:val="002A4062"/>
    <w:rsid w:val="002A4184"/>
    <w:rsid w:val="002A46CF"/>
    <w:rsid w:val="002A655D"/>
    <w:rsid w:val="002B1AA9"/>
    <w:rsid w:val="002B3C11"/>
    <w:rsid w:val="002B49E2"/>
    <w:rsid w:val="002B5226"/>
    <w:rsid w:val="002B5244"/>
    <w:rsid w:val="002B7B00"/>
    <w:rsid w:val="002B7C44"/>
    <w:rsid w:val="002C08A1"/>
    <w:rsid w:val="002C1737"/>
    <w:rsid w:val="002C2B17"/>
    <w:rsid w:val="002C354B"/>
    <w:rsid w:val="002C51F2"/>
    <w:rsid w:val="002C6F56"/>
    <w:rsid w:val="002D00DD"/>
    <w:rsid w:val="002D1D46"/>
    <w:rsid w:val="002D3DD0"/>
    <w:rsid w:val="002D46EA"/>
    <w:rsid w:val="002D5648"/>
    <w:rsid w:val="002D7057"/>
    <w:rsid w:val="002D7ADF"/>
    <w:rsid w:val="002D7E63"/>
    <w:rsid w:val="002E1F3A"/>
    <w:rsid w:val="002E298A"/>
    <w:rsid w:val="002E6575"/>
    <w:rsid w:val="002E6F39"/>
    <w:rsid w:val="002E7B32"/>
    <w:rsid w:val="002F0D1A"/>
    <w:rsid w:val="00300D20"/>
    <w:rsid w:val="00301978"/>
    <w:rsid w:val="0030332C"/>
    <w:rsid w:val="003051C2"/>
    <w:rsid w:val="00307BDE"/>
    <w:rsid w:val="00311176"/>
    <w:rsid w:val="00312296"/>
    <w:rsid w:val="00314104"/>
    <w:rsid w:val="0031430B"/>
    <w:rsid w:val="00314F0E"/>
    <w:rsid w:val="00315262"/>
    <w:rsid w:val="00315D26"/>
    <w:rsid w:val="00317E3D"/>
    <w:rsid w:val="00320773"/>
    <w:rsid w:val="00321D8E"/>
    <w:rsid w:val="00325928"/>
    <w:rsid w:val="003267CA"/>
    <w:rsid w:val="00326CDF"/>
    <w:rsid w:val="00327D94"/>
    <w:rsid w:val="00331134"/>
    <w:rsid w:val="003324D4"/>
    <w:rsid w:val="00332863"/>
    <w:rsid w:val="00333B11"/>
    <w:rsid w:val="00333F0D"/>
    <w:rsid w:val="0033684D"/>
    <w:rsid w:val="00336D5E"/>
    <w:rsid w:val="00337A36"/>
    <w:rsid w:val="00337B42"/>
    <w:rsid w:val="0034079C"/>
    <w:rsid w:val="00341B42"/>
    <w:rsid w:val="0034348F"/>
    <w:rsid w:val="00346EF4"/>
    <w:rsid w:val="00351FE1"/>
    <w:rsid w:val="00352216"/>
    <w:rsid w:val="00352802"/>
    <w:rsid w:val="00353D65"/>
    <w:rsid w:val="00354897"/>
    <w:rsid w:val="00356118"/>
    <w:rsid w:val="00356653"/>
    <w:rsid w:val="00356D66"/>
    <w:rsid w:val="00356D87"/>
    <w:rsid w:val="0035743F"/>
    <w:rsid w:val="00357BE2"/>
    <w:rsid w:val="003606CA"/>
    <w:rsid w:val="003614A4"/>
    <w:rsid w:val="0036170C"/>
    <w:rsid w:val="003618EA"/>
    <w:rsid w:val="00361A35"/>
    <w:rsid w:val="00364208"/>
    <w:rsid w:val="003643F6"/>
    <w:rsid w:val="00364EAD"/>
    <w:rsid w:val="00366E0F"/>
    <w:rsid w:val="00367AEA"/>
    <w:rsid w:val="00371FDC"/>
    <w:rsid w:val="00372924"/>
    <w:rsid w:val="00373190"/>
    <w:rsid w:val="00381A72"/>
    <w:rsid w:val="00384676"/>
    <w:rsid w:val="0038488F"/>
    <w:rsid w:val="00384EA4"/>
    <w:rsid w:val="00385CD6"/>
    <w:rsid w:val="00386A66"/>
    <w:rsid w:val="003879DF"/>
    <w:rsid w:val="00387CA5"/>
    <w:rsid w:val="00390857"/>
    <w:rsid w:val="0039105A"/>
    <w:rsid w:val="0039139A"/>
    <w:rsid w:val="0039488C"/>
    <w:rsid w:val="00394927"/>
    <w:rsid w:val="003A3094"/>
    <w:rsid w:val="003A4BF3"/>
    <w:rsid w:val="003A59AD"/>
    <w:rsid w:val="003A5FDF"/>
    <w:rsid w:val="003A6489"/>
    <w:rsid w:val="003A78E2"/>
    <w:rsid w:val="003B0775"/>
    <w:rsid w:val="003B35D0"/>
    <w:rsid w:val="003B420D"/>
    <w:rsid w:val="003B430F"/>
    <w:rsid w:val="003B4C1C"/>
    <w:rsid w:val="003B53E9"/>
    <w:rsid w:val="003C03FD"/>
    <w:rsid w:val="003C411E"/>
    <w:rsid w:val="003C441A"/>
    <w:rsid w:val="003C4637"/>
    <w:rsid w:val="003C5CF1"/>
    <w:rsid w:val="003C67FF"/>
    <w:rsid w:val="003C6BDA"/>
    <w:rsid w:val="003C6C16"/>
    <w:rsid w:val="003C7301"/>
    <w:rsid w:val="003D11B4"/>
    <w:rsid w:val="003D3428"/>
    <w:rsid w:val="003D444A"/>
    <w:rsid w:val="003D5226"/>
    <w:rsid w:val="003D794D"/>
    <w:rsid w:val="003E09CB"/>
    <w:rsid w:val="003E137F"/>
    <w:rsid w:val="003E28F3"/>
    <w:rsid w:val="003E3058"/>
    <w:rsid w:val="003E4196"/>
    <w:rsid w:val="003E58CF"/>
    <w:rsid w:val="003E6894"/>
    <w:rsid w:val="003E76A9"/>
    <w:rsid w:val="003F02C3"/>
    <w:rsid w:val="003F0809"/>
    <w:rsid w:val="003F1D74"/>
    <w:rsid w:val="003F492E"/>
    <w:rsid w:val="003F4DA6"/>
    <w:rsid w:val="003F5DBE"/>
    <w:rsid w:val="003F5E21"/>
    <w:rsid w:val="003F6A8C"/>
    <w:rsid w:val="003F755C"/>
    <w:rsid w:val="003F78E1"/>
    <w:rsid w:val="004011A8"/>
    <w:rsid w:val="00404089"/>
    <w:rsid w:val="00404F2F"/>
    <w:rsid w:val="00406F01"/>
    <w:rsid w:val="0041026E"/>
    <w:rsid w:val="004104C6"/>
    <w:rsid w:val="00413C65"/>
    <w:rsid w:val="00413F1C"/>
    <w:rsid w:val="004148F5"/>
    <w:rsid w:val="00414C8B"/>
    <w:rsid w:val="0041622B"/>
    <w:rsid w:val="00416D50"/>
    <w:rsid w:val="00416FD5"/>
    <w:rsid w:val="00417772"/>
    <w:rsid w:val="004206CD"/>
    <w:rsid w:val="00420E6A"/>
    <w:rsid w:val="00420E98"/>
    <w:rsid w:val="004229E2"/>
    <w:rsid w:val="00425A12"/>
    <w:rsid w:val="00425A9E"/>
    <w:rsid w:val="00426D6B"/>
    <w:rsid w:val="00430218"/>
    <w:rsid w:val="00431E6C"/>
    <w:rsid w:val="004322D5"/>
    <w:rsid w:val="0043243F"/>
    <w:rsid w:val="00433CE7"/>
    <w:rsid w:val="004343FD"/>
    <w:rsid w:val="00440815"/>
    <w:rsid w:val="0044215A"/>
    <w:rsid w:val="00442B61"/>
    <w:rsid w:val="0044498F"/>
    <w:rsid w:val="00452738"/>
    <w:rsid w:val="00453C55"/>
    <w:rsid w:val="0045504C"/>
    <w:rsid w:val="00455A60"/>
    <w:rsid w:val="00456091"/>
    <w:rsid w:val="0045655B"/>
    <w:rsid w:val="00456924"/>
    <w:rsid w:val="0046001A"/>
    <w:rsid w:val="0046064B"/>
    <w:rsid w:val="004649C6"/>
    <w:rsid w:val="00466321"/>
    <w:rsid w:val="00470423"/>
    <w:rsid w:val="0047046C"/>
    <w:rsid w:val="004743FC"/>
    <w:rsid w:val="004755CD"/>
    <w:rsid w:val="00476A2B"/>
    <w:rsid w:val="004779DF"/>
    <w:rsid w:val="0048057C"/>
    <w:rsid w:val="0048270F"/>
    <w:rsid w:val="00483192"/>
    <w:rsid w:val="00484B9B"/>
    <w:rsid w:val="0048543F"/>
    <w:rsid w:val="004855F6"/>
    <w:rsid w:val="00485EFF"/>
    <w:rsid w:val="00486059"/>
    <w:rsid w:val="0048661E"/>
    <w:rsid w:val="004931A7"/>
    <w:rsid w:val="004940F4"/>
    <w:rsid w:val="00494670"/>
    <w:rsid w:val="0049549E"/>
    <w:rsid w:val="00496225"/>
    <w:rsid w:val="00496C01"/>
    <w:rsid w:val="00497C31"/>
    <w:rsid w:val="004A144C"/>
    <w:rsid w:val="004A3823"/>
    <w:rsid w:val="004A3E32"/>
    <w:rsid w:val="004A4761"/>
    <w:rsid w:val="004A4952"/>
    <w:rsid w:val="004A4E4A"/>
    <w:rsid w:val="004A5428"/>
    <w:rsid w:val="004A57E4"/>
    <w:rsid w:val="004B20CB"/>
    <w:rsid w:val="004B4271"/>
    <w:rsid w:val="004B49FB"/>
    <w:rsid w:val="004B6951"/>
    <w:rsid w:val="004B6DDC"/>
    <w:rsid w:val="004B7914"/>
    <w:rsid w:val="004C16E1"/>
    <w:rsid w:val="004C2018"/>
    <w:rsid w:val="004C267F"/>
    <w:rsid w:val="004C3AF1"/>
    <w:rsid w:val="004C3B09"/>
    <w:rsid w:val="004C3D04"/>
    <w:rsid w:val="004C525E"/>
    <w:rsid w:val="004C6362"/>
    <w:rsid w:val="004D56C5"/>
    <w:rsid w:val="004D673C"/>
    <w:rsid w:val="004E590D"/>
    <w:rsid w:val="004E6946"/>
    <w:rsid w:val="004E7092"/>
    <w:rsid w:val="004F1AD8"/>
    <w:rsid w:val="004F2472"/>
    <w:rsid w:val="00502C7C"/>
    <w:rsid w:val="005039CB"/>
    <w:rsid w:val="0050558F"/>
    <w:rsid w:val="00506286"/>
    <w:rsid w:val="00506FAA"/>
    <w:rsid w:val="00510813"/>
    <w:rsid w:val="005111EF"/>
    <w:rsid w:val="00511990"/>
    <w:rsid w:val="00511DE0"/>
    <w:rsid w:val="00512F05"/>
    <w:rsid w:val="00514870"/>
    <w:rsid w:val="00514B9B"/>
    <w:rsid w:val="00515BFD"/>
    <w:rsid w:val="00517F02"/>
    <w:rsid w:val="00520678"/>
    <w:rsid w:val="005206BC"/>
    <w:rsid w:val="00522E6E"/>
    <w:rsid w:val="005233E2"/>
    <w:rsid w:val="005239EB"/>
    <w:rsid w:val="00524303"/>
    <w:rsid w:val="005258A2"/>
    <w:rsid w:val="00525E32"/>
    <w:rsid w:val="00526ABC"/>
    <w:rsid w:val="005276BF"/>
    <w:rsid w:val="00530944"/>
    <w:rsid w:val="00531425"/>
    <w:rsid w:val="00534485"/>
    <w:rsid w:val="005353D5"/>
    <w:rsid w:val="00535DC3"/>
    <w:rsid w:val="005401AE"/>
    <w:rsid w:val="00541454"/>
    <w:rsid w:val="00542AE6"/>
    <w:rsid w:val="00542E07"/>
    <w:rsid w:val="005452EF"/>
    <w:rsid w:val="00545424"/>
    <w:rsid w:val="005465F8"/>
    <w:rsid w:val="00546D03"/>
    <w:rsid w:val="00551208"/>
    <w:rsid w:val="00551C06"/>
    <w:rsid w:val="00554A7B"/>
    <w:rsid w:val="0055572C"/>
    <w:rsid w:val="0055599B"/>
    <w:rsid w:val="0055685B"/>
    <w:rsid w:val="0056106A"/>
    <w:rsid w:val="005616EC"/>
    <w:rsid w:val="00562FC7"/>
    <w:rsid w:val="0056587D"/>
    <w:rsid w:val="00566719"/>
    <w:rsid w:val="0056763A"/>
    <w:rsid w:val="00570831"/>
    <w:rsid w:val="00571766"/>
    <w:rsid w:val="00571CC9"/>
    <w:rsid w:val="005720AE"/>
    <w:rsid w:val="005776CE"/>
    <w:rsid w:val="00581928"/>
    <w:rsid w:val="005827DE"/>
    <w:rsid w:val="00585712"/>
    <w:rsid w:val="00585750"/>
    <w:rsid w:val="005869AD"/>
    <w:rsid w:val="00586A75"/>
    <w:rsid w:val="0059019C"/>
    <w:rsid w:val="00590B4E"/>
    <w:rsid w:val="005932A4"/>
    <w:rsid w:val="00593FDE"/>
    <w:rsid w:val="00594D77"/>
    <w:rsid w:val="005969E4"/>
    <w:rsid w:val="005A06B7"/>
    <w:rsid w:val="005A1759"/>
    <w:rsid w:val="005A207A"/>
    <w:rsid w:val="005A36EB"/>
    <w:rsid w:val="005A63D1"/>
    <w:rsid w:val="005A68A7"/>
    <w:rsid w:val="005B092F"/>
    <w:rsid w:val="005C177A"/>
    <w:rsid w:val="005C20C2"/>
    <w:rsid w:val="005C5E4B"/>
    <w:rsid w:val="005C6AE8"/>
    <w:rsid w:val="005D0323"/>
    <w:rsid w:val="005D0ED1"/>
    <w:rsid w:val="005D157F"/>
    <w:rsid w:val="005D2D5D"/>
    <w:rsid w:val="005D36AB"/>
    <w:rsid w:val="005D48CB"/>
    <w:rsid w:val="005D6479"/>
    <w:rsid w:val="005D7D42"/>
    <w:rsid w:val="005E0259"/>
    <w:rsid w:val="005E028C"/>
    <w:rsid w:val="005E3259"/>
    <w:rsid w:val="005E59B6"/>
    <w:rsid w:val="005E7DA9"/>
    <w:rsid w:val="005F0D36"/>
    <w:rsid w:val="005F12B1"/>
    <w:rsid w:val="005F2314"/>
    <w:rsid w:val="005F292A"/>
    <w:rsid w:val="005F63A3"/>
    <w:rsid w:val="005F7F3E"/>
    <w:rsid w:val="00600713"/>
    <w:rsid w:val="006019C9"/>
    <w:rsid w:val="00602497"/>
    <w:rsid w:val="00602867"/>
    <w:rsid w:val="00604291"/>
    <w:rsid w:val="00604D83"/>
    <w:rsid w:val="00605099"/>
    <w:rsid w:val="006062EF"/>
    <w:rsid w:val="00610708"/>
    <w:rsid w:val="006146FD"/>
    <w:rsid w:val="006153D8"/>
    <w:rsid w:val="0061612D"/>
    <w:rsid w:val="0061657B"/>
    <w:rsid w:val="00617CC3"/>
    <w:rsid w:val="00621DC0"/>
    <w:rsid w:val="00632A05"/>
    <w:rsid w:val="006344F8"/>
    <w:rsid w:val="006347F9"/>
    <w:rsid w:val="006360BD"/>
    <w:rsid w:val="00636A36"/>
    <w:rsid w:val="006374E4"/>
    <w:rsid w:val="006377A6"/>
    <w:rsid w:val="006379BF"/>
    <w:rsid w:val="00637A3D"/>
    <w:rsid w:val="006411EF"/>
    <w:rsid w:val="006422EE"/>
    <w:rsid w:val="006427FA"/>
    <w:rsid w:val="00643140"/>
    <w:rsid w:val="00643E3D"/>
    <w:rsid w:val="00646E52"/>
    <w:rsid w:val="00647C1C"/>
    <w:rsid w:val="0065159A"/>
    <w:rsid w:val="0065182D"/>
    <w:rsid w:val="00652404"/>
    <w:rsid w:val="00653291"/>
    <w:rsid w:val="00654A90"/>
    <w:rsid w:val="006606FF"/>
    <w:rsid w:val="00666534"/>
    <w:rsid w:val="0066767B"/>
    <w:rsid w:val="00670D4D"/>
    <w:rsid w:val="0067292B"/>
    <w:rsid w:val="006748B8"/>
    <w:rsid w:val="00675401"/>
    <w:rsid w:val="00675499"/>
    <w:rsid w:val="00675705"/>
    <w:rsid w:val="00676199"/>
    <w:rsid w:val="006775C3"/>
    <w:rsid w:val="006805D1"/>
    <w:rsid w:val="00680C0F"/>
    <w:rsid w:val="00681293"/>
    <w:rsid w:val="006823A0"/>
    <w:rsid w:val="00683D58"/>
    <w:rsid w:val="00685A05"/>
    <w:rsid w:val="00687014"/>
    <w:rsid w:val="00687B38"/>
    <w:rsid w:val="00687C1B"/>
    <w:rsid w:val="00687E82"/>
    <w:rsid w:val="006915D6"/>
    <w:rsid w:val="0069290A"/>
    <w:rsid w:val="006972B6"/>
    <w:rsid w:val="0069775A"/>
    <w:rsid w:val="00697813"/>
    <w:rsid w:val="006A0D35"/>
    <w:rsid w:val="006A153B"/>
    <w:rsid w:val="006A37CD"/>
    <w:rsid w:val="006A3EE8"/>
    <w:rsid w:val="006A4D26"/>
    <w:rsid w:val="006A72BF"/>
    <w:rsid w:val="006B03F2"/>
    <w:rsid w:val="006B2DA8"/>
    <w:rsid w:val="006B37DC"/>
    <w:rsid w:val="006B40C0"/>
    <w:rsid w:val="006B4F68"/>
    <w:rsid w:val="006B5122"/>
    <w:rsid w:val="006B64DB"/>
    <w:rsid w:val="006C0592"/>
    <w:rsid w:val="006C0C5A"/>
    <w:rsid w:val="006C1223"/>
    <w:rsid w:val="006C1508"/>
    <w:rsid w:val="006C272E"/>
    <w:rsid w:val="006C2AB8"/>
    <w:rsid w:val="006C3EBA"/>
    <w:rsid w:val="006C5479"/>
    <w:rsid w:val="006C77C0"/>
    <w:rsid w:val="006D13B5"/>
    <w:rsid w:val="006D20F0"/>
    <w:rsid w:val="006D46DA"/>
    <w:rsid w:val="006D6B21"/>
    <w:rsid w:val="006E12FF"/>
    <w:rsid w:val="006E4E64"/>
    <w:rsid w:val="006E521E"/>
    <w:rsid w:val="006E5399"/>
    <w:rsid w:val="006E607E"/>
    <w:rsid w:val="006E7021"/>
    <w:rsid w:val="006E75F6"/>
    <w:rsid w:val="006F0FAC"/>
    <w:rsid w:val="006F665F"/>
    <w:rsid w:val="006F74CD"/>
    <w:rsid w:val="007019FF"/>
    <w:rsid w:val="007034DE"/>
    <w:rsid w:val="00704472"/>
    <w:rsid w:val="00705432"/>
    <w:rsid w:val="00706C5D"/>
    <w:rsid w:val="00710A8A"/>
    <w:rsid w:val="00711275"/>
    <w:rsid w:val="00715EF9"/>
    <w:rsid w:val="00720DED"/>
    <w:rsid w:val="00725301"/>
    <w:rsid w:val="00725493"/>
    <w:rsid w:val="00731430"/>
    <w:rsid w:val="00731BEE"/>
    <w:rsid w:val="00731C2F"/>
    <w:rsid w:val="00732922"/>
    <w:rsid w:val="00733037"/>
    <w:rsid w:val="007346F7"/>
    <w:rsid w:val="007356F8"/>
    <w:rsid w:val="007371AB"/>
    <w:rsid w:val="00737D85"/>
    <w:rsid w:val="007409F2"/>
    <w:rsid w:val="00743855"/>
    <w:rsid w:val="00744BE3"/>
    <w:rsid w:val="007454FE"/>
    <w:rsid w:val="00745B11"/>
    <w:rsid w:val="00745D91"/>
    <w:rsid w:val="00747E74"/>
    <w:rsid w:val="0075162E"/>
    <w:rsid w:val="00752376"/>
    <w:rsid w:val="0075330A"/>
    <w:rsid w:val="00754034"/>
    <w:rsid w:val="00756556"/>
    <w:rsid w:val="007577A9"/>
    <w:rsid w:val="00760B85"/>
    <w:rsid w:val="00760DC5"/>
    <w:rsid w:val="007618C4"/>
    <w:rsid w:val="00761B03"/>
    <w:rsid w:val="00762991"/>
    <w:rsid w:val="00765EBF"/>
    <w:rsid w:val="0076613A"/>
    <w:rsid w:val="0076731D"/>
    <w:rsid w:val="0076732C"/>
    <w:rsid w:val="00767980"/>
    <w:rsid w:val="00767ED5"/>
    <w:rsid w:val="007709D9"/>
    <w:rsid w:val="00770B19"/>
    <w:rsid w:val="00772870"/>
    <w:rsid w:val="0077463F"/>
    <w:rsid w:val="00774844"/>
    <w:rsid w:val="007775D9"/>
    <w:rsid w:val="007836EA"/>
    <w:rsid w:val="00784B93"/>
    <w:rsid w:val="00784CAB"/>
    <w:rsid w:val="00784CDA"/>
    <w:rsid w:val="007851FF"/>
    <w:rsid w:val="0078668E"/>
    <w:rsid w:val="0078681F"/>
    <w:rsid w:val="007906C4"/>
    <w:rsid w:val="00790BBD"/>
    <w:rsid w:val="0079290B"/>
    <w:rsid w:val="00793B0C"/>
    <w:rsid w:val="007940EA"/>
    <w:rsid w:val="007967E8"/>
    <w:rsid w:val="007A02D6"/>
    <w:rsid w:val="007A05CD"/>
    <w:rsid w:val="007A0CFB"/>
    <w:rsid w:val="007A2170"/>
    <w:rsid w:val="007A22BF"/>
    <w:rsid w:val="007A251B"/>
    <w:rsid w:val="007A3323"/>
    <w:rsid w:val="007A3ECA"/>
    <w:rsid w:val="007A55C6"/>
    <w:rsid w:val="007A5F9E"/>
    <w:rsid w:val="007B1098"/>
    <w:rsid w:val="007B28A1"/>
    <w:rsid w:val="007B59C9"/>
    <w:rsid w:val="007B72B8"/>
    <w:rsid w:val="007B7A58"/>
    <w:rsid w:val="007B7E09"/>
    <w:rsid w:val="007C114C"/>
    <w:rsid w:val="007C20E6"/>
    <w:rsid w:val="007C21B5"/>
    <w:rsid w:val="007C272F"/>
    <w:rsid w:val="007C2E3E"/>
    <w:rsid w:val="007C390F"/>
    <w:rsid w:val="007C43BE"/>
    <w:rsid w:val="007C52F3"/>
    <w:rsid w:val="007C62CB"/>
    <w:rsid w:val="007C7F9C"/>
    <w:rsid w:val="007D020B"/>
    <w:rsid w:val="007D14DE"/>
    <w:rsid w:val="007D37AF"/>
    <w:rsid w:val="007D3932"/>
    <w:rsid w:val="007D3B08"/>
    <w:rsid w:val="007D4BE0"/>
    <w:rsid w:val="007D6457"/>
    <w:rsid w:val="007D6A1F"/>
    <w:rsid w:val="007E0911"/>
    <w:rsid w:val="007E3F6F"/>
    <w:rsid w:val="007E4A53"/>
    <w:rsid w:val="007E4BD2"/>
    <w:rsid w:val="007E7EF0"/>
    <w:rsid w:val="007F00DD"/>
    <w:rsid w:val="007F01C0"/>
    <w:rsid w:val="007F1981"/>
    <w:rsid w:val="007F2376"/>
    <w:rsid w:val="007F2DB3"/>
    <w:rsid w:val="007F2DBD"/>
    <w:rsid w:val="007F5060"/>
    <w:rsid w:val="0080088B"/>
    <w:rsid w:val="00801393"/>
    <w:rsid w:val="008016DC"/>
    <w:rsid w:val="00802472"/>
    <w:rsid w:val="00802F88"/>
    <w:rsid w:val="00803C7C"/>
    <w:rsid w:val="008040A1"/>
    <w:rsid w:val="00806782"/>
    <w:rsid w:val="0081025A"/>
    <w:rsid w:val="008112C3"/>
    <w:rsid w:val="008115AA"/>
    <w:rsid w:val="0081293E"/>
    <w:rsid w:val="00815465"/>
    <w:rsid w:val="00815EBF"/>
    <w:rsid w:val="00817787"/>
    <w:rsid w:val="00817E9A"/>
    <w:rsid w:val="00826448"/>
    <w:rsid w:val="0082707C"/>
    <w:rsid w:val="0082791B"/>
    <w:rsid w:val="008306BD"/>
    <w:rsid w:val="00831A80"/>
    <w:rsid w:val="00831D7B"/>
    <w:rsid w:val="00832AA7"/>
    <w:rsid w:val="00832CB8"/>
    <w:rsid w:val="0083356C"/>
    <w:rsid w:val="00833743"/>
    <w:rsid w:val="008340A4"/>
    <w:rsid w:val="00834AF7"/>
    <w:rsid w:val="00840895"/>
    <w:rsid w:val="008418E1"/>
    <w:rsid w:val="0084191A"/>
    <w:rsid w:val="0084389D"/>
    <w:rsid w:val="00843A61"/>
    <w:rsid w:val="008465B8"/>
    <w:rsid w:val="00847343"/>
    <w:rsid w:val="00850C98"/>
    <w:rsid w:val="00850DDA"/>
    <w:rsid w:val="008524B1"/>
    <w:rsid w:val="0085410E"/>
    <w:rsid w:val="00854873"/>
    <w:rsid w:val="008549E7"/>
    <w:rsid w:val="00855356"/>
    <w:rsid w:val="008557EB"/>
    <w:rsid w:val="008559C6"/>
    <w:rsid w:val="00857902"/>
    <w:rsid w:val="0086053F"/>
    <w:rsid w:val="00862CC5"/>
    <w:rsid w:val="00864991"/>
    <w:rsid w:val="008668F7"/>
    <w:rsid w:val="0086753E"/>
    <w:rsid w:val="0087135F"/>
    <w:rsid w:val="00872705"/>
    <w:rsid w:val="00872D94"/>
    <w:rsid w:val="008734EB"/>
    <w:rsid w:val="00874A82"/>
    <w:rsid w:val="00874FA9"/>
    <w:rsid w:val="00875C46"/>
    <w:rsid w:val="008767CD"/>
    <w:rsid w:val="00876983"/>
    <w:rsid w:val="0087750F"/>
    <w:rsid w:val="00877A2B"/>
    <w:rsid w:val="00880364"/>
    <w:rsid w:val="00881614"/>
    <w:rsid w:val="00883412"/>
    <w:rsid w:val="008845A0"/>
    <w:rsid w:val="008878D1"/>
    <w:rsid w:val="00890E2F"/>
    <w:rsid w:val="00891592"/>
    <w:rsid w:val="00891E9E"/>
    <w:rsid w:val="0089295C"/>
    <w:rsid w:val="008933AA"/>
    <w:rsid w:val="008941DD"/>
    <w:rsid w:val="00894CAF"/>
    <w:rsid w:val="0089515A"/>
    <w:rsid w:val="00895B98"/>
    <w:rsid w:val="00896D01"/>
    <w:rsid w:val="00897328"/>
    <w:rsid w:val="008A07FD"/>
    <w:rsid w:val="008A2F68"/>
    <w:rsid w:val="008A497E"/>
    <w:rsid w:val="008A52F8"/>
    <w:rsid w:val="008A785F"/>
    <w:rsid w:val="008B0EF2"/>
    <w:rsid w:val="008B28C3"/>
    <w:rsid w:val="008B332C"/>
    <w:rsid w:val="008B4FA6"/>
    <w:rsid w:val="008B5282"/>
    <w:rsid w:val="008B6756"/>
    <w:rsid w:val="008B7C17"/>
    <w:rsid w:val="008C14E3"/>
    <w:rsid w:val="008C1A38"/>
    <w:rsid w:val="008C25AA"/>
    <w:rsid w:val="008C2D01"/>
    <w:rsid w:val="008C3DD5"/>
    <w:rsid w:val="008C40E4"/>
    <w:rsid w:val="008C40E6"/>
    <w:rsid w:val="008C530E"/>
    <w:rsid w:val="008C578B"/>
    <w:rsid w:val="008C57A5"/>
    <w:rsid w:val="008C6A43"/>
    <w:rsid w:val="008C7767"/>
    <w:rsid w:val="008D0F7A"/>
    <w:rsid w:val="008D1E3D"/>
    <w:rsid w:val="008D3491"/>
    <w:rsid w:val="008D6562"/>
    <w:rsid w:val="008D68E4"/>
    <w:rsid w:val="008D7527"/>
    <w:rsid w:val="008D7E29"/>
    <w:rsid w:val="008E0506"/>
    <w:rsid w:val="008E0CFF"/>
    <w:rsid w:val="008E0DAD"/>
    <w:rsid w:val="008E1753"/>
    <w:rsid w:val="008E1911"/>
    <w:rsid w:val="008E2DDE"/>
    <w:rsid w:val="008E3F0D"/>
    <w:rsid w:val="008E5A09"/>
    <w:rsid w:val="008E5A99"/>
    <w:rsid w:val="008E5D6B"/>
    <w:rsid w:val="008E6B9C"/>
    <w:rsid w:val="008E76F0"/>
    <w:rsid w:val="008F04F4"/>
    <w:rsid w:val="008F0B01"/>
    <w:rsid w:val="008F15FE"/>
    <w:rsid w:val="008F2D29"/>
    <w:rsid w:val="008F3C35"/>
    <w:rsid w:val="008F4581"/>
    <w:rsid w:val="008F50B8"/>
    <w:rsid w:val="008F5183"/>
    <w:rsid w:val="008F5187"/>
    <w:rsid w:val="008F5AB7"/>
    <w:rsid w:val="008F5DC6"/>
    <w:rsid w:val="008F5E74"/>
    <w:rsid w:val="008F60D8"/>
    <w:rsid w:val="008F6F60"/>
    <w:rsid w:val="0090047C"/>
    <w:rsid w:val="0090067F"/>
    <w:rsid w:val="0090217D"/>
    <w:rsid w:val="00902288"/>
    <w:rsid w:val="00902727"/>
    <w:rsid w:val="0090312B"/>
    <w:rsid w:val="00904A6F"/>
    <w:rsid w:val="00905D0C"/>
    <w:rsid w:val="00910EC2"/>
    <w:rsid w:val="0091203C"/>
    <w:rsid w:val="00914A96"/>
    <w:rsid w:val="0091736D"/>
    <w:rsid w:val="009177EE"/>
    <w:rsid w:val="00920839"/>
    <w:rsid w:val="0092297C"/>
    <w:rsid w:val="00923866"/>
    <w:rsid w:val="0092538F"/>
    <w:rsid w:val="0092636A"/>
    <w:rsid w:val="009266BD"/>
    <w:rsid w:val="0093037A"/>
    <w:rsid w:val="00930A38"/>
    <w:rsid w:val="0093168E"/>
    <w:rsid w:val="00932E1E"/>
    <w:rsid w:val="0093331E"/>
    <w:rsid w:val="0093371C"/>
    <w:rsid w:val="0094154D"/>
    <w:rsid w:val="0094270E"/>
    <w:rsid w:val="009429F3"/>
    <w:rsid w:val="0094430F"/>
    <w:rsid w:val="0094681A"/>
    <w:rsid w:val="009469EA"/>
    <w:rsid w:val="009477F8"/>
    <w:rsid w:val="0095155F"/>
    <w:rsid w:val="00952713"/>
    <w:rsid w:val="00954429"/>
    <w:rsid w:val="00955593"/>
    <w:rsid w:val="009559B6"/>
    <w:rsid w:val="009563CE"/>
    <w:rsid w:val="00956412"/>
    <w:rsid w:val="0095790E"/>
    <w:rsid w:val="00961790"/>
    <w:rsid w:val="009647D6"/>
    <w:rsid w:val="00964EFB"/>
    <w:rsid w:val="009664B8"/>
    <w:rsid w:val="00967C1A"/>
    <w:rsid w:val="00971AF4"/>
    <w:rsid w:val="00973044"/>
    <w:rsid w:val="00973F56"/>
    <w:rsid w:val="00975EF0"/>
    <w:rsid w:val="00976328"/>
    <w:rsid w:val="0097676D"/>
    <w:rsid w:val="0097680D"/>
    <w:rsid w:val="0098074C"/>
    <w:rsid w:val="0098096D"/>
    <w:rsid w:val="00982438"/>
    <w:rsid w:val="00982CAB"/>
    <w:rsid w:val="00983307"/>
    <w:rsid w:val="0098353E"/>
    <w:rsid w:val="0098404C"/>
    <w:rsid w:val="00985283"/>
    <w:rsid w:val="00985AD0"/>
    <w:rsid w:val="00986DD9"/>
    <w:rsid w:val="00986F37"/>
    <w:rsid w:val="009900D0"/>
    <w:rsid w:val="00995992"/>
    <w:rsid w:val="009A03E5"/>
    <w:rsid w:val="009A0DCE"/>
    <w:rsid w:val="009A0F3B"/>
    <w:rsid w:val="009A1BB4"/>
    <w:rsid w:val="009A1C73"/>
    <w:rsid w:val="009A2628"/>
    <w:rsid w:val="009A3200"/>
    <w:rsid w:val="009A4392"/>
    <w:rsid w:val="009A48C3"/>
    <w:rsid w:val="009A5220"/>
    <w:rsid w:val="009A6428"/>
    <w:rsid w:val="009A6D9B"/>
    <w:rsid w:val="009B04A2"/>
    <w:rsid w:val="009B04AC"/>
    <w:rsid w:val="009B0897"/>
    <w:rsid w:val="009B21E9"/>
    <w:rsid w:val="009B260F"/>
    <w:rsid w:val="009B282E"/>
    <w:rsid w:val="009B2CF1"/>
    <w:rsid w:val="009B761B"/>
    <w:rsid w:val="009B7BD9"/>
    <w:rsid w:val="009C01C1"/>
    <w:rsid w:val="009C298B"/>
    <w:rsid w:val="009C2E9A"/>
    <w:rsid w:val="009C34D5"/>
    <w:rsid w:val="009C4BC1"/>
    <w:rsid w:val="009C7DD5"/>
    <w:rsid w:val="009D052E"/>
    <w:rsid w:val="009D283A"/>
    <w:rsid w:val="009D3F34"/>
    <w:rsid w:val="009D564A"/>
    <w:rsid w:val="009E227D"/>
    <w:rsid w:val="009E3F5B"/>
    <w:rsid w:val="009E49BE"/>
    <w:rsid w:val="009E5019"/>
    <w:rsid w:val="009E6E57"/>
    <w:rsid w:val="009E72EA"/>
    <w:rsid w:val="009E7F47"/>
    <w:rsid w:val="009F1DCA"/>
    <w:rsid w:val="009F211F"/>
    <w:rsid w:val="009F26D3"/>
    <w:rsid w:val="009F2B50"/>
    <w:rsid w:val="009F39EC"/>
    <w:rsid w:val="009F4ADF"/>
    <w:rsid w:val="009F54DC"/>
    <w:rsid w:val="009F70F4"/>
    <w:rsid w:val="009F7214"/>
    <w:rsid w:val="00A01143"/>
    <w:rsid w:val="00A034A3"/>
    <w:rsid w:val="00A04F1B"/>
    <w:rsid w:val="00A0501B"/>
    <w:rsid w:val="00A06FE5"/>
    <w:rsid w:val="00A10F52"/>
    <w:rsid w:val="00A11119"/>
    <w:rsid w:val="00A11544"/>
    <w:rsid w:val="00A138C7"/>
    <w:rsid w:val="00A14947"/>
    <w:rsid w:val="00A1529D"/>
    <w:rsid w:val="00A1544B"/>
    <w:rsid w:val="00A17016"/>
    <w:rsid w:val="00A2246A"/>
    <w:rsid w:val="00A25CA3"/>
    <w:rsid w:val="00A2616C"/>
    <w:rsid w:val="00A26547"/>
    <w:rsid w:val="00A267DB"/>
    <w:rsid w:val="00A26814"/>
    <w:rsid w:val="00A26AD3"/>
    <w:rsid w:val="00A329F8"/>
    <w:rsid w:val="00A32A83"/>
    <w:rsid w:val="00A34C71"/>
    <w:rsid w:val="00A368DB"/>
    <w:rsid w:val="00A372B3"/>
    <w:rsid w:val="00A3772A"/>
    <w:rsid w:val="00A37BCD"/>
    <w:rsid w:val="00A37D38"/>
    <w:rsid w:val="00A40523"/>
    <w:rsid w:val="00A423AA"/>
    <w:rsid w:val="00A4414B"/>
    <w:rsid w:val="00A44662"/>
    <w:rsid w:val="00A45DC4"/>
    <w:rsid w:val="00A522D9"/>
    <w:rsid w:val="00A53EC6"/>
    <w:rsid w:val="00A54D23"/>
    <w:rsid w:val="00A55C0F"/>
    <w:rsid w:val="00A57676"/>
    <w:rsid w:val="00A60073"/>
    <w:rsid w:val="00A614D9"/>
    <w:rsid w:val="00A63498"/>
    <w:rsid w:val="00A636FD"/>
    <w:rsid w:val="00A63FE9"/>
    <w:rsid w:val="00A6579C"/>
    <w:rsid w:val="00A66A0D"/>
    <w:rsid w:val="00A679B3"/>
    <w:rsid w:val="00A7161D"/>
    <w:rsid w:val="00A736F7"/>
    <w:rsid w:val="00A7384F"/>
    <w:rsid w:val="00A82767"/>
    <w:rsid w:val="00A835FE"/>
    <w:rsid w:val="00A83E0F"/>
    <w:rsid w:val="00A840BA"/>
    <w:rsid w:val="00A8713F"/>
    <w:rsid w:val="00A90BA1"/>
    <w:rsid w:val="00A90F93"/>
    <w:rsid w:val="00A91264"/>
    <w:rsid w:val="00A922A8"/>
    <w:rsid w:val="00A926D1"/>
    <w:rsid w:val="00A929C6"/>
    <w:rsid w:val="00A934E3"/>
    <w:rsid w:val="00A95C47"/>
    <w:rsid w:val="00A97A9A"/>
    <w:rsid w:val="00AA05E9"/>
    <w:rsid w:val="00AA0671"/>
    <w:rsid w:val="00AA0C77"/>
    <w:rsid w:val="00AA2531"/>
    <w:rsid w:val="00AA2B19"/>
    <w:rsid w:val="00AA4E13"/>
    <w:rsid w:val="00AA5496"/>
    <w:rsid w:val="00AB19F7"/>
    <w:rsid w:val="00AB1E09"/>
    <w:rsid w:val="00AB23DE"/>
    <w:rsid w:val="00AB5330"/>
    <w:rsid w:val="00AB630F"/>
    <w:rsid w:val="00AB69D1"/>
    <w:rsid w:val="00AB7747"/>
    <w:rsid w:val="00AC14CE"/>
    <w:rsid w:val="00AC2A56"/>
    <w:rsid w:val="00AC429E"/>
    <w:rsid w:val="00AC749C"/>
    <w:rsid w:val="00AC77C1"/>
    <w:rsid w:val="00AD055E"/>
    <w:rsid w:val="00AD0D8E"/>
    <w:rsid w:val="00AD0DEC"/>
    <w:rsid w:val="00AD3AF9"/>
    <w:rsid w:val="00AD47A7"/>
    <w:rsid w:val="00AD6091"/>
    <w:rsid w:val="00AE08B5"/>
    <w:rsid w:val="00AE0E3B"/>
    <w:rsid w:val="00AE1B38"/>
    <w:rsid w:val="00AE3E98"/>
    <w:rsid w:val="00AE46ED"/>
    <w:rsid w:val="00AF0099"/>
    <w:rsid w:val="00AF065B"/>
    <w:rsid w:val="00AF0CBF"/>
    <w:rsid w:val="00AF1D5D"/>
    <w:rsid w:val="00AF257F"/>
    <w:rsid w:val="00AF33CF"/>
    <w:rsid w:val="00AF34B3"/>
    <w:rsid w:val="00AF486F"/>
    <w:rsid w:val="00AF4D50"/>
    <w:rsid w:val="00AF6179"/>
    <w:rsid w:val="00AF7CCC"/>
    <w:rsid w:val="00B005D2"/>
    <w:rsid w:val="00B007DB"/>
    <w:rsid w:val="00B012EB"/>
    <w:rsid w:val="00B0169E"/>
    <w:rsid w:val="00B019DD"/>
    <w:rsid w:val="00B01E32"/>
    <w:rsid w:val="00B020ED"/>
    <w:rsid w:val="00B03331"/>
    <w:rsid w:val="00B0648B"/>
    <w:rsid w:val="00B11487"/>
    <w:rsid w:val="00B121D7"/>
    <w:rsid w:val="00B1295A"/>
    <w:rsid w:val="00B12F22"/>
    <w:rsid w:val="00B15210"/>
    <w:rsid w:val="00B2020B"/>
    <w:rsid w:val="00B2046A"/>
    <w:rsid w:val="00B20506"/>
    <w:rsid w:val="00B2052E"/>
    <w:rsid w:val="00B20A45"/>
    <w:rsid w:val="00B22C5C"/>
    <w:rsid w:val="00B24C36"/>
    <w:rsid w:val="00B24F30"/>
    <w:rsid w:val="00B26D9A"/>
    <w:rsid w:val="00B31191"/>
    <w:rsid w:val="00B31ABF"/>
    <w:rsid w:val="00B31BCA"/>
    <w:rsid w:val="00B31CD1"/>
    <w:rsid w:val="00B33BE3"/>
    <w:rsid w:val="00B33C55"/>
    <w:rsid w:val="00B34CA8"/>
    <w:rsid w:val="00B35632"/>
    <w:rsid w:val="00B37064"/>
    <w:rsid w:val="00B43698"/>
    <w:rsid w:val="00B44A92"/>
    <w:rsid w:val="00B45CC7"/>
    <w:rsid w:val="00B4605E"/>
    <w:rsid w:val="00B46C0A"/>
    <w:rsid w:val="00B47CFF"/>
    <w:rsid w:val="00B53B5D"/>
    <w:rsid w:val="00B541DE"/>
    <w:rsid w:val="00B566D0"/>
    <w:rsid w:val="00B6055E"/>
    <w:rsid w:val="00B60B33"/>
    <w:rsid w:val="00B62D53"/>
    <w:rsid w:val="00B6317D"/>
    <w:rsid w:val="00B64339"/>
    <w:rsid w:val="00B65F04"/>
    <w:rsid w:val="00B6651E"/>
    <w:rsid w:val="00B67FA1"/>
    <w:rsid w:val="00B71063"/>
    <w:rsid w:val="00B71F87"/>
    <w:rsid w:val="00B720B6"/>
    <w:rsid w:val="00B720F0"/>
    <w:rsid w:val="00B73D89"/>
    <w:rsid w:val="00B750BE"/>
    <w:rsid w:val="00B7546E"/>
    <w:rsid w:val="00B760C8"/>
    <w:rsid w:val="00B7723F"/>
    <w:rsid w:val="00B80534"/>
    <w:rsid w:val="00B808CC"/>
    <w:rsid w:val="00B8433C"/>
    <w:rsid w:val="00B8471A"/>
    <w:rsid w:val="00B86BCC"/>
    <w:rsid w:val="00B87491"/>
    <w:rsid w:val="00B87A46"/>
    <w:rsid w:val="00B911B2"/>
    <w:rsid w:val="00B92179"/>
    <w:rsid w:val="00B92B55"/>
    <w:rsid w:val="00B94C99"/>
    <w:rsid w:val="00B957DC"/>
    <w:rsid w:val="00B97412"/>
    <w:rsid w:val="00BA0E88"/>
    <w:rsid w:val="00BA0F7D"/>
    <w:rsid w:val="00BA17D4"/>
    <w:rsid w:val="00BA29E9"/>
    <w:rsid w:val="00BA2D69"/>
    <w:rsid w:val="00BA30F8"/>
    <w:rsid w:val="00BA37E5"/>
    <w:rsid w:val="00BA4225"/>
    <w:rsid w:val="00BA5147"/>
    <w:rsid w:val="00BA5C34"/>
    <w:rsid w:val="00BA5CC5"/>
    <w:rsid w:val="00BA6995"/>
    <w:rsid w:val="00BA6BAA"/>
    <w:rsid w:val="00BA7142"/>
    <w:rsid w:val="00BB1735"/>
    <w:rsid w:val="00BB2022"/>
    <w:rsid w:val="00BB237C"/>
    <w:rsid w:val="00BB41A3"/>
    <w:rsid w:val="00BB479A"/>
    <w:rsid w:val="00BB73D1"/>
    <w:rsid w:val="00BB7E92"/>
    <w:rsid w:val="00BC052F"/>
    <w:rsid w:val="00BC201D"/>
    <w:rsid w:val="00BC20D8"/>
    <w:rsid w:val="00BC21BD"/>
    <w:rsid w:val="00BC32DC"/>
    <w:rsid w:val="00BC35B6"/>
    <w:rsid w:val="00BC46D7"/>
    <w:rsid w:val="00BC503D"/>
    <w:rsid w:val="00BC6130"/>
    <w:rsid w:val="00BC6578"/>
    <w:rsid w:val="00BC6D9A"/>
    <w:rsid w:val="00BC78E4"/>
    <w:rsid w:val="00BD04C1"/>
    <w:rsid w:val="00BD1B4C"/>
    <w:rsid w:val="00BD1B51"/>
    <w:rsid w:val="00BD1CA5"/>
    <w:rsid w:val="00BD1CDD"/>
    <w:rsid w:val="00BD4596"/>
    <w:rsid w:val="00BD4BD0"/>
    <w:rsid w:val="00BD7C12"/>
    <w:rsid w:val="00BE1405"/>
    <w:rsid w:val="00BE1F71"/>
    <w:rsid w:val="00BE2251"/>
    <w:rsid w:val="00BE312D"/>
    <w:rsid w:val="00BE68D0"/>
    <w:rsid w:val="00BE701F"/>
    <w:rsid w:val="00BF0CF4"/>
    <w:rsid w:val="00BF1927"/>
    <w:rsid w:val="00BF194B"/>
    <w:rsid w:val="00BF1C20"/>
    <w:rsid w:val="00BF4CED"/>
    <w:rsid w:val="00BF4E4E"/>
    <w:rsid w:val="00BF6340"/>
    <w:rsid w:val="00BF72EC"/>
    <w:rsid w:val="00BF7D15"/>
    <w:rsid w:val="00C006F6"/>
    <w:rsid w:val="00C066E6"/>
    <w:rsid w:val="00C07A9B"/>
    <w:rsid w:val="00C10578"/>
    <w:rsid w:val="00C11612"/>
    <w:rsid w:val="00C117AC"/>
    <w:rsid w:val="00C11D56"/>
    <w:rsid w:val="00C12CF4"/>
    <w:rsid w:val="00C13571"/>
    <w:rsid w:val="00C135BC"/>
    <w:rsid w:val="00C14938"/>
    <w:rsid w:val="00C14D91"/>
    <w:rsid w:val="00C15C95"/>
    <w:rsid w:val="00C165E5"/>
    <w:rsid w:val="00C20791"/>
    <w:rsid w:val="00C211BD"/>
    <w:rsid w:val="00C2596A"/>
    <w:rsid w:val="00C26558"/>
    <w:rsid w:val="00C27537"/>
    <w:rsid w:val="00C27E1B"/>
    <w:rsid w:val="00C30CE0"/>
    <w:rsid w:val="00C328FE"/>
    <w:rsid w:val="00C33507"/>
    <w:rsid w:val="00C3666B"/>
    <w:rsid w:val="00C40DC1"/>
    <w:rsid w:val="00C4225E"/>
    <w:rsid w:val="00C422ED"/>
    <w:rsid w:val="00C4409D"/>
    <w:rsid w:val="00C44E72"/>
    <w:rsid w:val="00C4594C"/>
    <w:rsid w:val="00C45A06"/>
    <w:rsid w:val="00C45B3F"/>
    <w:rsid w:val="00C45D81"/>
    <w:rsid w:val="00C46824"/>
    <w:rsid w:val="00C47E5B"/>
    <w:rsid w:val="00C5026F"/>
    <w:rsid w:val="00C52A55"/>
    <w:rsid w:val="00C53FA7"/>
    <w:rsid w:val="00C61E37"/>
    <w:rsid w:val="00C61E4B"/>
    <w:rsid w:val="00C63B81"/>
    <w:rsid w:val="00C64BFF"/>
    <w:rsid w:val="00C64E64"/>
    <w:rsid w:val="00C65B9B"/>
    <w:rsid w:val="00C704E9"/>
    <w:rsid w:val="00C70F05"/>
    <w:rsid w:val="00C71E04"/>
    <w:rsid w:val="00C72EC4"/>
    <w:rsid w:val="00C746C8"/>
    <w:rsid w:val="00C75CA2"/>
    <w:rsid w:val="00C761DF"/>
    <w:rsid w:val="00C76347"/>
    <w:rsid w:val="00C763C9"/>
    <w:rsid w:val="00C80057"/>
    <w:rsid w:val="00C80493"/>
    <w:rsid w:val="00C82232"/>
    <w:rsid w:val="00C82913"/>
    <w:rsid w:val="00C8526B"/>
    <w:rsid w:val="00C85CDE"/>
    <w:rsid w:val="00C8631A"/>
    <w:rsid w:val="00C8670F"/>
    <w:rsid w:val="00C86C74"/>
    <w:rsid w:val="00C871E4"/>
    <w:rsid w:val="00C872D5"/>
    <w:rsid w:val="00C8748F"/>
    <w:rsid w:val="00C87858"/>
    <w:rsid w:val="00C94E13"/>
    <w:rsid w:val="00C95044"/>
    <w:rsid w:val="00C96000"/>
    <w:rsid w:val="00C972B1"/>
    <w:rsid w:val="00C97AED"/>
    <w:rsid w:val="00CA0700"/>
    <w:rsid w:val="00CA2CCE"/>
    <w:rsid w:val="00CA2E3C"/>
    <w:rsid w:val="00CA2EB9"/>
    <w:rsid w:val="00CA43FD"/>
    <w:rsid w:val="00CA5152"/>
    <w:rsid w:val="00CA520F"/>
    <w:rsid w:val="00CA6E49"/>
    <w:rsid w:val="00CA7EF8"/>
    <w:rsid w:val="00CB1676"/>
    <w:rsid w:val="00CB18FC"/>
    <w:rsid w:val="00CB1C14"/>
    <w:rsid w:val="00CB2960"/>
    <w:rsid w:val="00CB3028"/>
    <w:rsid w:val="00CB3299"/>
    <w:rsid w:val="00CB58D5"/>
    <w:rsid w:val="00CB616B"/>
    <w:rsid w:val="00CB7951"/>
    <w:rsid w:val="00CC489B"/>
    <w:rsid w:val="00CC7ED9"/>
    <w:rsid w:val="00CD254A"/>
    <w:rsid w:val="00CD2BCD"/>
    <w:rsid w:val="00CD3A4C"/>
    <w:rsid w:val="00CD468D"/>
    <w:rsid w:val="00CD571F"/>
    <w:rsid w:val="00CD5860"/>
    <w:rsid w:val="00CD661A"/>
    <w:rsid w:val="00CD7540"/>
    <w:rsid w:val="00CE0F30"/>
    <w:rsid w:val="00CE10E9"/>
    <w:rsid w:val="00CE15E9"/>
    <w:rsid w:val="00CE22D1"/>
    <w:rsid w:val="00CE2910"/>
    <w:rsid w:val="00CE52D8"/>
    <w:rsid w:val="00CE5393"/>
    <w:rsid w:val="00CE6CF9"/>
    <w:rsid w:val="00CE7E2E"/>
    <w:rsid w:val="00CF0DD7"/>
    <w:rsid w:val="00CF1388"/>
    <w:rsid w:val="00CF36BE"/>
    <w:rsid w:val="00CF4706"/>
    <w:rsid w:val="00CF5C81"/>
    <w:rsid w:val="00CF5EDE"/>
    <w:rsid w:val="00CF6000"/>
    <w:rsid w:val="00CF720F"/>
    <w:rsid w:val="00CF7778"/>
    <w:rsid w:val="00CF77D2"/>
    <w:rsid w:val="00D003F3"/>
    <w:rsid w:val="00D00557"/>
    <w:rsid w:val="00D034D9"/>
    <w:rsid w:val="00D0364F"/>
    <w:rsid w:val="00D037DE"/>
    <w:rsid w:val="00D06834"/>
    <w:rsid w:val="00D1119F"/>
    <w:rsid w:val="00D1169C"/>
    <w:rsid w:val="00D14821"/>
    <w:rsid w:val="00D1659B"/>
    <w:rsid w:val="00D1667C"/>
    <w:rsid w:val="00D167B4"/>
    <w:rsid w:val="00D22151"/>
    <w:rsid w:val="00D22C16"/>
    <w:rsid w:val="00D30262"/>
    <w:rsid w:val="00D308ED"/>
    <w:rsid w:val="00D311E9"/>
    <w:rsid w:val="00D3127D"/>
    <w:rsid w:val="00D3278B"/>
    <w:rsid w:val="00D36D86"/>
    <w:rsid w:val="00D408A6"/>
    <w:rsid w:val="00D428AA"/>
    <w:rsid w:val="00D42FE4"/>
    <w:rsid w:val="00D50A34"/>
    <w:rsid w:val="00D514E6"/>
    <w:rsid w:val="00D51C7B"/>
    <w:rsid w:val="00D52051"/>
    <w:rsid w:val="00D53EFA"/>
    <w:rsid w:val="00D544A5"/>
    <w:rsid w:val="00D561EC"/>
    <w:rsid w:val="00D56EB8"/>
    <w:rsid w:val="00D57055"/>
    <w:rsid w:val="00D57115"/>
    <w:rsid w:val="00D57425"/>
    <w:rsid w:val="00D61704"/>
    <w:rsid w:val="00D6338D"/>
    <w:rsid w:val="00D64C2A"/>
    <w:rsid w:val="00D657F2"/>
    <w:rsid w:val="00D664F2"/>
    <w:rsid w:val="00D72476"/>
    <w:rsid w:val="00D731B4"/>
    <w:rsid w:val="00D73D3D"/>
    <w:rsid w:val="00D7795F"/>
    <w:rsid w:val="00D817B1"/>
    <w:rsid w:val="00D81A73"/>
    <w:rsid w:val="00D83D64"/>
    <w:rsid w:val="00D840BA"/>
    <w:rsid w:val="00D8471A"/>
    <w:rsid w:val="00D87271"/>
    <w:rsid w:val="00D91B2F"/>
    <w:rsid w:val="00D94A7C"/>
    <w:rsid w:val="00D95896"/>
    <w:rsid w:val="00D960AC"/>
    <w:rsid w:val="00D971FF"/>
    <w:rsid w:val="00D977F3"/>
    <w:rsid w:val="00D979F1"/>
    <w:rsid w:val="00D97F4F"/>
    <w:rsid w:val="00DA3A63"/>
    <w:rsid w:val="00DA47DB"/>
    <w:rsid w:val="00DA4920"/>
    <w:rsid w:val="00DA6B3A"/>
    <w:rsid w:val="00DB2983"/>
    <w:rsid w:val="00DB5F8B"/>
    <w:rsid w:val="00DB6657"/>
    <w:rsid w:val="00DB6AAD"/>
    <w:rsid w:val="00DC1257"/>
    <w:rsid w:val="00DC197B"/>
    <w:rsid w:val="00DC28CD"/>
    <w:rsid w:val="00DC38A9"/>
    <w:rsid w:val="00DC3DC0"/>
    <w:rsid w:val="00DC46F2"/>
    <w:rsid w:val="00DC5B2B"/>
    <w:rsid w:val="00DD00E9"/>
    <w:rsid w:val="00DD073A"/>
    <w:rsid w:val="00DD0FF1"/>
    <w:rsid w:val="00DD10DB"/>
    <w:rsid w:val="00DD1C8E"/>
    <w:rsid w:val="00DD22B5"/>
    <w:rsid w:val="00DD318D"/>
    <w:rsid w:val="00DD33FE"/>
    <w:rsid w:val="00DD5E93"/>
    <w:rsid w:val="00DE2208"/>
    <w:rsid w:val="00DE4122"/>
    <w:rsid w:val="00DE524A"/>
    <w:rsid w:val="00DF0034"/>
    <w:rsid w:val="00DF064A"/>
    <w:rsid w:val="00DF1314"/>
    <w:rsid w:val="00DF25E9"/>
    <w:rsid w:val="00DF2E12"/>
    <w:rsid w:val="00DF44CC"/>
    <w:rsid w:val="00DF514A"/>
    <w:rsid w:val="00DF5AD3"/>
    <w:rsid w:val="00DF5D25"/>
    <w:rsid w:val="00DF6690"/>
    <w:rsid w:val="00DF6804"/>
    <w:rsid w:val="00DF7C9B"/>
    <w:rsid w:val="00E01B5E"/>
    <w:rsid w:val="00E0358D"/>
    <w:rsid w:val="00E04323"/>
    <w:rsid w:val="00E04C36"/>
    <w:rsid w:val="00E05569"/>
    <w:rsid w:val="00E05AB3"/>
    <w:rsid w:val="00E070A2"/>
    <w:rsid w:val="00E10594"/>
    <w:rsid w:val="00E11B36"/>
    <w:rsid w:val="00E13D2C"/>
    <w:rsid w:val="00E154D4"/>
    <w:rsid w:val="00E15611"/>
    <w:rsid w:val="00E15E43"/>
    <w:rsid w:val="00E178F0"/>
    <w:rsid w:val="00E2031E"/>
    <w:rsid w:val="00E204A3"/>
    <w:rsid w:val="00E20D16"/>
    <w:rsid w:val="00E20EC6"/>
    <w:rsid w:val="00E2656A"/>
    <w:rsid w:val="00E26ECF"/>
    <w:rsid w:val="00E31979"/>
    <w:rsid w:val="00E32842"/>
    <w:rsid w:val="00E32B40"/>
    <w:rsid w:val="00E344D3"/>
    <w:rsid w:val="00E35BF4"/>
    <w:rsid w:val="00E372D8"/>
    <w:rsid w:val="00E3795C"/>
    <w:rsid w:val="00E412D0"/>
    <w:rsid w:val="00E43339"/>
    <w:rsid w:val="00E478BC"/>
    <w:rsid w:val="00E526FB"/>
    <w:rsid w:val="00E5336E"/>
    <w:rsid w:val="00E53C3F"/>
    <w:rsid w:val="00E53DDE"/>
    <w:rsid w:val="00E540D3"/>
    <w:rsid w:val="00E55377"/>
    <w:rsid w:val="00E55556"/>
    <w:rsid w:val="00E56322"/>
    <w:rsid w:val="00E577AC"/>
    <w:rsid w:val="00E60982"/>
    <w:rsid w:val="00E62C62"/>
    <w:rsid w:val="00E654C1"/>
    <w:rsid w:val="00E65D97"/>
    <w:rsid w:val="00E66863"/>
    <w:rsid w:val="00E66BB9"/>
    <w:rsid w:val="00E66D63"/>
    <w:rsid w:val="00E6749C"/>
    <w:rsid w:val="00E67591"/>
    <w:rsid w:val="00E72A5A"/>
    <w:rsid w:val="00E72F76"/>
    <w:rsid w:val="00E73354"/>
    <w:rsid w:val="00E73E59"/>
    <w:rsid w:val="00E81DC5"/>
    <w:rsid w:val="00E81FC1"/>
    <w:rsid w:val="00E85489"/>
    <w:rsid w:val="00E86CEA"/>
    <w:rsid w:val="00E86F4E"/>
    <w:rsid w:val="00E91BB9"/>
    <w:rsid w:val="00E91F59"/>
    <w:rsid w:val="00E9242D"/>
    <w:rsid w:val="00E92C50"/>
    <w:rsid w:val="00E93B66"/>
    <w:rsid w:val="00E943E4"/>
    <w:rsid w:val="00E95B43"/>
    <w:rsid w:val="00E96134"/>
    <w:rsid w:val="00E979EB"/>
    <w:rsid w:val="00E97FB4"/>
    <w:rsid w:val="00EA1179"/>
    <w:rsid w:val="00EA1793"/>
    <w:rsid w:val="00EA28BB"/>
    <w:rsid w:val="00EA37DB"/>
    <w:rsid w:val="00EA403B"/>
    <w:rsid w:val="00EA58C6"/>
    <w:rsid w:val="00EA5C0D"/>
    <w:rsid w:val="00EA77E8"/>
    <w:rsid w:val="00EB2578"/>
    <w:rsid w:val="00EB2E97"/>
    <w:rsid w:val="00EB2F63"/>
    <w:rsid w:val="00EB3D94"/>
    <w:rsid w:val="00EB5255"/>
    <w:rsid w:val="00EB5291"/>
    <w:rsid w:val="00EB5548"/>
    <w:rsid w:val="00EB5695"/>
    <w:rsid w:val="00EB5C47"/>
    <w:rsid w:val="00EB751E"/>
    <w:rsid w:val="00EB7782"/>
    <w:rsid w:val="00EC29AF"/>
    <w:rsid w:val="00EC48B0"/>
    <w:rsid w:val="00EC4B13"/>
    <w:rsid w:val="00EC6716"/>
    <w:rsid w:val="00EC69E9"/>
    <w:rsid w:val="00EC71DA"/>
    <w:rsid w:val="00EC78A5"/>
    <w:rsid w:val="00ED0639"/>
    <w:rsid w:val="00ED0C39"/>
    <w:rsid w:val="00ED0DC9"/>
    <w:rsid w:val="00ED346B"/>
    <w:rsid w:val="00EE04BC"/>
    <w:rsid w:val="00EE2ED8"/>
    <w:rsid w:val="00EE3486"/>
    <w:rsid w:val="00EE3776"/>
    <w:rsid w:val="00EE3DBB"/>
    <w:rsid w:val="00EE52C2"/>
    <w:rsid w:val="00EE5EF1"/>
    <w:rsid w:val="00EF1C4A"/>
    <w:rsid w:val="00EF380A"/>
    <w:rsid w:val="00EF39BE"/>
    <w:rsid w:val="00EF3C39"/>
    <w:rsid w:val="00EF4755"/>
    <w:rsid w:val="00EF54C2"/>
    <w:rsid w:val="00EF7135"/>
    <w:rsid w:val="00EF7A08"/>
    <w:rsid w:val="00F027DB"/>
    <w:rsid w:val="00F03ABE"/>
    <w:rsid w:val="00F041D4"/>
    <w:rsid w:val="00F0534C"/>
    <w:rsid w:val="00F05A44"/>
    <w:rsid w:val="00F0717E"/>
    <w:rsid w:val="00F07E72"/>
    <w:rsid w:val="00F13DD2"/>
    <w:rsid w:val="00F14A7A"/>
    <w:rsid w:val="00F14B5F"/>
    <w:rsid w:val="00F16FCB"/>
    <w:rsid w:val="00F2056C"/>
    <w:rsid w:val="00F22384"/>
    <w:rsid w:val="00F22985"/>
    <w:rsid w:val="00F23A3E"/>
    <w:rsid w:val="00F241A9"/>
    <w:rsid w:val="00F265C5"/>
    <w:rsid w:val="00F26B4A"/>
    <w:rsid w:val="00F30EB0"/>
    <w:rsid w:val="00F310E5"/>
    <w:rsid w:val="00F32AA2"/>
    <w:rsid w:val="00F3383E"/>
    <w:rsid w:val="00F34454"/>
    <w:rsid w:val="00F34F66"/>
    <w:rsid w:val="00F43774"/>
    <w:rsid w:val="00F44083"/>
    <w:rsid w:val="00F44B8A"/>
    <w:rsid w:val="00F44DCD"/>
    <w:rsid w:val="00F45890"/>
    <w:rsid w:val="00F458BC"/>
    <w:rsid w:val="00F45CDB"/>
    <w:rsid w:val="00F465A7"/>
    <w:rsid w:val="00F47742"/>
    <w:rsid w:val="00F50023"/>
    <w:rsid w:val="00F50713"/>
    <w:rsid w:val="00F50B7C"/>
    <w:rsid w:val="00F5238F"/>
    <w:rsid w:val="00F52E89"/>
    <w:rsid w:val="00F53016"/>
    <w:rsid w:val="00F54E78"/>
    <w:rsid w:val="00F550E6"/>
    <w:rsid w:val="00F5533A"/>
    <w:rsid w:val="00F55548"/>
    <w:rsid w:val="00F56F4A"/>
    <w:rsid w:val="00F62B1E"/>
    <w:rsid w:val="00F659FD"/>
    <w:rsid w:val="00F66DAB"/>
    <w:rsid w:val="00F70573"/>
    <w:rsid w:val="00F727B5"/>
    <w:rsid w:val="00F74082"/>
    <w:rsid w:val="00F74345"/>
    <w:rsid w:val="00F75F8C"/>
    <w:rsid w:val="00F76664"/>
    <w:rsid w:val="00F772B2"/>
    <w:rsid w:val="00F77A4F"/>
    <w:rsid w:val="00F80A0A"/>
    <w:rsid w:val="00F82B19"/>
    <w:rsid w:val="00F85DFC"/>
    <w:rsid w:val="00F86215"/>
    <w:rsid w:val="00F871D2"/>
    <w:rsid w:val="00F87921"/>
    <w:rsid w:val="00F91016"/>
    <w:rsid w:val="00F9212D"/>
    <w:rsid w:val="00F93183"/>
    <w:rsid w:val="00F93C13"/>
    <w:rsid w:val="00F959C5"/>
    <w:rsid w:val="00F95F86"/>
    <w:rsid w:val="00F965DA"/>
    <w:rsid w:val="00FA12D9"/>
    <w:rsid w:val="00FA1555"/>
    <w:rsid w:val="00FA406A"/>
    <w:rsid w:val="00FA5AA4"/>
    <w:rsid w:val="00FA5CBE"/>
    <w:rsid w:val="00FA6358"/>
    <w:rsid w:val="00FA6BB0"/>
    <w:rsid w:val="00FA7F1F"/>
    <w:rsid w:val="00FB083A"/>
    <w:rsid w:val="00FB24A4"/>
    <w:rsid w:val="00FB2620"/>
    <w:rsid w:val="00FB29CA"/>
    <w:rsid w:val="00FB2C99"/>
    <w:rsid w:val="00FB385F"/>
    <w:rsid w:val="00FB3F35"/>
    <w:rsid w:val="00FB475D"/>
    <w:rsid w:val="00FB503A"/>
    <w:rsid w:val="00FB516C"/>
    <w:rsid w:val="00FC0608"/>
    <w:rsid w:val="00FC0E2A"/>
    <w:rsid w:val="00FC14F1"/>
    <w:rsid w:val="00FC1901"/>
    <w:rsid w:val="00FC4C09"/>
    <w:rsid w:val="00FC5E6F"/>
    <w:rsid w:val="00FD0236"/>
    <w:rsid w:val="00FD18F4"/>
    <w:rsid w:val="00FD2716"/>
    <w:rsid w:val="00FD36CD"/>
    <w:rsid w:val="00FD3C76"/>
    <w:rsid w:val="00FD4827"/>
    <w:rsid w:val="00FD516D"/>
    <w:rsid w:val="00FD54DB"/>
    <w:rsid w:val="00FD55F0"/>
    <w:rsid w:val="00FD5A16"/>
    <w:rsid w:val="00FD5AB3"/>
    <w:rsid w:val="00FD619F"/>
    <w:rsid w:val="00FD79CD"/>
    <w:rsid w:val="00FD7C4E"/>
    <w:rsid w:val="00FD7C59"/>
    <w:rsid w:val="00FE0768"/>
    <w:rsid w:val="00FE346D"/>
    <w:rsid w:val="00FE63D0"/>
    <w:rsid w:val="00FE7592"/>
    <w:rsid w:val="00FF2649"/>
    <w:rsid w:val="00FF32CF"/>
    <w:rsid w:val="00FF34D9"/>
    <w:rsid w:val="00FF38D2"/>
    <w:rsid w:val="00FF445D"/>
    <w:rsid w:val="00FF5C8F"/>
    <w:rsid w:val="00FF5D9C"/>
    <w:rsid w:val="00FF64DD"/>
    <w:rsid w:val="00FF6C33"/>
    <w:rsid w:val="01290F7E"/>
    <w:rsid w:val="015D1E09"/>
    <w:rsid w:val="0195155A"/>
    <w:rsid w:val="01964270"/>
    <w:rsid w:val="01A7428B"/>
    <w:rsid w:val="01E84B14"/>
    <w:rsid w:val="01EE5E5A"/>
    <w:rsid w:val="0204110C"/>
    <w:rsid w:val="020F7B7E"/>
    <w:rsid w:val="02697903"/>
    <w:rsid w:val="026E2AF7"/>
    <w:rsid w:val="028161A8"/>
    <w:rsid w:val="02CB5403"/>
    <w:rsid w:val="02F96569"/>
    <w:rsid w:val="03012FC8"/>
    <w:rsid w:val="031C78A2"/>
    <w:rsid w:val="031E451D"/>
    <w:rsid w:val="031F5996"/>
    <w:rsid w:val="034F3337"/>
    <w:rsid w:val="03863E70"/>
    <w:rsid w:val="03B94246"/>
    <w:rsid w:val="03EA7B21"/>
    <w:rsid w:val="03EF2612"/>
    <w:rsid w:val="043A366E"/>
    <w:rsid w:val="04510922"/>
    <w:rsid w:val="04FA5F8A"/>
    <w:rsid w:val="05842AE6"/>
    <w:rsid w:val="05F83EAE"/>
    <w:rsid w:val="062A31D9"/>
    <w:rsid w:val="06316315"/>
    <w:rsid w:val="063E7D85"/>
    <w:rsid w:val="06640AB2"/>
    <w:rsid w:val="069468A4"/>
    <w:rsid w:val="06BD6EEE"/>
    <w:rsid w:val="06DC7CCA"/>
    <w:rsid w:val="070E58EA"/>
    <w:rsid w:val="07293586"/>
    <w:rsid w:val="07295285"/>
    <w:rsid w:val="073A4021"/>
    <w:rsid w:val="07465DF0"/>
    <w:rsid w:val="07636392"/>
    <w:rsid w:val="07755DD6"/>
    <w:rsid w:val="07770C56"/>
    <w:rsid w:val="077D4B7D"/>
    <w:rsid w:val="07CC14DF"/>
    <w:rsid w:val="07D93108"/>
    <w:rsid w:val="08185F71"/>
    <w:rsid w:val="08670714"/>
    <w:rsid w:val="089B216C"/>
    <w:rsid w:val="08A234FA"/>
    <w:rsid w:val="08D972FA"/>
    <w:rsid w:val="08E96F77"/>
    <w:rsid w:val="08F85810"/>
    <w:rsid w:val="092217DD"/>
    <w:rsid w:val="093A7294"/>
    <w:rsid w:val="0975755B"/>
    <w:rsid w:val="09E0378A"/>
    <w:rsid w:val="0A053BDA"/>
    <w:rsid w:val="0A263993"/>
    <w:rsid w:val="0A2D3AC2"/>
    <w:rsid w:val="0A584B19"/>
    <w:rsid w:val="0A99092D"/>
    <w:rsid w:val="0AA755DF"/>
    <w:rsid w:val="0ACD234E"/>
    <w:rsid w:val="0B120D44"/>
    <w:rsid w:val="0B3D575C"/>
    <w:rsid w:val="0B416FFB"/>
    <w:rsid w:val="0B7826A6"/>
    <w:rsid w:val="0BD27BF6"/>
    <w:rsid w:val="0BE35643"/>
    <w:rsid w:val="0C2671FD"/>
    <w:rsid w:val="0C3B3C7D"/>
    <w:rsid w:val="0C917B0E"/>
    <w:rsid w:val="0C94647F"/>
    <w:rsid w:val="0C9A254D"/>
    <w:rsid w:val="0CAB2EAE"/>
    <w:rsid w:val="0CAE2657"/>
    <w:rsid w:val="0CB8153E"/>
    <w:rsid w:val="0D163381"/>
    <w:rsid w:val="0D200BFF"/>
    <w:rsid w:val="0D621C7D"/>
    <w:rsid w:val="0D7D62E4"/>
    <w:rsid w:val="0DB8731C"/>
    <w:rsid w:val="0DF50570"/>
    <w:rsid w:val="0E1573EE"/>
    <w:rsid w:val="0E6458A6"/>
    <w:rsid w:val="0E73034D"/>
    <w:rsid w:val="0E7D3948"/>
    <w:rsid w:val="0EB75826"/>
    <w:rsid w:val="0ED605C5"/>
    <w:rsid w:val="0EFB1BB6"/>
    <w:rsid w:val="0F13775A"/>
    <w:rsid w:val="0F4C3969"/>
    <w:rsid w:val="0F5F45FE"/>
    <w:rsid w:val="0F9A112B"/>
    <w:rsid w:val="0F9D767B"/>
    <w:rsid w:val="0FB00BF3"/>
    <w:rsid w:val="0FB87AA7"/>
    <w:rsid w:val="0FEE160C"/>
    <w:rsid w:val="10142F30"/>
    <w:rsid w:val="106D2F64"/>
    <w:rsid w:val="10840AFB"/>
    <w:rsid w:val="10B63710"/>
    <w:rsid w:val="10F10820"/>
    <w:rsid w:val="111C2F7A"/>
    <w:rsid w:val="115374B5"/>
    <w:rsid w:val="11651569"/>
    <w:rsid w:val="116577BB"/>
    <w:rsid w:val="11665CA1"/>
    <w:rsid w:val="116F5A66"/>
    <w:rsid w:val="11DA1F57"/>
    <w:rsid w:val="12227EB8"/>
    <w:rsid w:val="124B4C03"/>
    <w:rsid w:val="12AE5F38"/>
    <w:rsid w:val="12E017EF"/>
    <w:rsid w:val="1357641D"/>
    <w:rsid w:val="138645DA"/>
    <w:rsid w:val="13951726"/>
    <w:rsid w:val="13A5520C"/>
    <w:rsid w:val="13D95EA8"/>
    <w:rsid w:val="14396509"/>
    <w:rsid w:val="14776BD4"/>
    <w:rsid w:val="147A17CF"/>
    <w:rsid w:val="14887A48"/>
    <w:rsid w:val="14D94748"/>
    <w:rsid w:val="14DD2C3C"/>
    <w:rsid w:val="15442C48"/>
    <w:rsid w:val="15BF393E"/>
    <w:rsid w:val="16087E1D"/>
    <w:rsid w:val="16842491"/>
    <w:rsid w:val="16D61635"/>
    <w:rsid w:val="16DA0303"/>
    <w:rsid w:val="16F413C5"/>
    <w:rsid w:val="17701D14"/>
    <w:rsid w:val="17735226"/>
    <w:rsid w:val="1775646C"/>
    <w:rsid w:val="188B7B07"/>
    <w:rsid w:val="189F624C"/>
    <w:rsid w:val="18C33745"/>
    <w:rsid w:val="18D67040"/>
    <w:rsid w:val="19C82B28"/>
    <w:rsid w:val="19F54BFA"/>
    <w:rsid w:val="19F618F8"/>
    <w:rsid w:val="19FB0972"/>
    <w:rsid w:val="1A147FD0"/>
    <w:rsid w:val="1A1C66C0"/>
    <w:rsid w:val="1A42393B"/>
    <w:rsid w:val="1A635CED"/>
    <w:rsid w:val="1A67790B"/>
    <w:rsid w:val="1A7F2098"/>
    <w:rsid w:val="1AAD45DE"/>
    <w:rsid w:val="1ADF4B42"/>
    <w:rsid w:val="1B046F80"/>
    <w:rsid w:val="1B167D23"/>
    <w:rsid w:val="1B3267B5"/>
    <w:rsid w:val="1B40161D"/>
    <w:rsid w:val="1B441859"/>
    <w:rsid w:val="1B4A1EFB"/>
    <w:rsid w:val="1B6606B1"/>
    <w:rsid w:val="1C220782"/>
    <w:rsid w:val="1C5E7925"/>
    <w:rsid w:val="1CB17D58"/>
    <w:rsid w:val="1CDC4DD5"/>
    <w:rsid w:val="1CFD070F"/>
    <w:rsid w:val="1CFD5543"/>
    <w:rsid w:val="1D2F75FB"/>
    <w:rsid w:val="1D5F6196"/>
    <w:rsid w:val="1D6132A5"/>
    <w:rsid w:val="1D725739"/>
    <w:rsid w:val="1D8E56D5"/>
    <w:rsid w:val="1DC31AF1"/>
    <w:rsid w:val="1E0755E3"/>
    <w:rsid w:val="1E1E766F"/>
    <w:rsid w:val="1E2F7187"/>
    <w:rsid w:val="1E6A69C7"/>
    <w:rsid w:val="1E721E34"/>
    <w:rsid w:val="1E7A43DA"/>
    <w:rsid w:val="1EAE454F"/>
    <w:rsid w:val="1EBF49AE"/>
    <w:rsid w:val="1EEA12FF"/>
    <w:rsid w:val="1F3031B6"/>
    <w:rsid w:val="1F38596D"/>
    <w:rsid w:val="1F46080D"/>
    <w:rsid w:val="1FAA5CEB"/>
    <w:rsid w:val="1FE7539E"/>
    <w:rsid w:val="201C7BDE"/>
    <w:rsid w:val="20671BE0"/>
    <w:rsid w:val="20963CB8"/>
    <w:rsid w:val="20A81A1B"/>
    <w:rsid w:val="20B07FB6"/>
    <w:rsid w:val="20B646FB"/>
    <w:rsid w:val="20D64231"/>
    <w:rsid w:val="20F468B4"/>
    <w:rsid w:val="21231052"/>
    <w:rsid w:val="21354AB4"/>
    <w:rsid w:val="213B74B1"/>
    <w:rsid w:val="215A2310"/>
    <w:rsid w:val="21627873"/>
    <w:rsid w:val="219D54B1"/>
    <w:rsid w:val="21B55BF5"/>
    <w:rsid w:val="21DE318A"/>
    <w:rsid w:val="21EF5B80"/>
    <w:rsid w:val="220E5658"/>
    <w:rsid w:val="222B5EB7"/>
    <w:rsid w:val="22511DC1"/>
    <w:rsid w:val="22576990"/>
    <w:rsid w:val="22835CF3"/>
    <w:rsid w:val="22837F41"/>
    <w:rsid w:val="22864680"/>
    <w:rsid w:val="22CA56D0"/>
    <w:rsid w:val="22CE3772"/>
    <w:rsid w:val="22D60519"/>
    <w:rsid w:val="22EE5862"/>
    <w:rsid w:val="22F47480"/>
    <w:rsid w:val="22FB706B"/>
    <w:rsid w:val="22FD3F18"/>
    <w:rsid w:val="232A616E"/>
    <w:rsid w:val="23660887"/>
    <w:rsid w:val="23847F75"/>
    <w:rsid w:val="23DE1C48"/>
    <w:rsid w:val="240210CD"/>
    <w:rsid w:val="24062738"/>
    <w:rsid w:val="244E02F8"/>
    <w:rsid w:val="245142FB"/>
    <w:rsid w:val="2466378E"/>
    <w:rsid w:val="246F58E2"/>
    <w:rsid w:val="2483647E"/>
    <w:rsid w:val="248D6697"/>
    <w:rsid w:val="249B37C8"/>
    <w:rsid w:val="24BF09F7"/>
    <w:rsid w:val="24D0209C"/>
    <w:rsid w:val="25034EC9"/>
    <w:rsid w:val="252D53FE"/>
    <w:rsid w:val="25311A36"/>
    <w:rsid w:val="254C7191"/>
    <w:rsid w:val="25716032"/>
    <w:rsid w:val="257D0FA1"/>
    <w:rsid w:val="259C77F7"/>
    <w:rsid w:val="25EC2D81"/>
    <w:rsid w:val="26094761"/>
    <w:rsid w:val="26404627"/>
    <w:rsid w:val="266A2DF1"/>
    <w:rsid w:val="26914E82"/>
    <w:rsid w:val="26C140BF"/>
    <w:rsid w:val="26C203C4"/>
    <w:rsid w:val="26C50688"/>
    <w:rsid w:val="26EB71C2"/>
    <w:rsid w:val="270A5049"/>
    <w:rsid w:val="27234E43"/>
    <w:rsid w:val="277057A2"/>
    <w:rsid w:val="27C6290A"/>
    <w:rsid w:val="2805610E"/>
    <w:rsid w:val="28094EEC"/>
    <w:rsid w:val="28153891"/>
    <w:rsid w:val="285E515F"/>
    <w:rsid w:val="28642123"/>
    <w:rsid w:val="28D21782"/>
    <w:rsid w:val="29206EB8"/>
    <w:rsid w:val="293F7127"/>
    <w:rsid w:val="294206B6"/>
    <w:rsid w:val="29595666"/>
    <w:rsid w:val="29702E89"/>
    <w:rsid w:val="29874881"/>
    <w:rsid w:val="29A0718A"/>
    <w:rsid w:val="29B36EBE"/>
    <w:rsid w:val="29E325E0"/>
    <w:rsid w:val="2A2E29E8"/>
    <w:rsid w:val="2A452503"/>
    <w:rsid w:val="2AA80E89"/>
    <w:rsid w:val="2AAA7C7E"/>
    <w:rsid w:val="2B495EA6"/>
    <w:rsid w:val="2B54503F"/>
    <w:rsid w:val="2BA936A8"/>
    <w:rsid w:val="2BB1651D"/>
    <w:rsid w:val="2BB84FAD"/>
    <w:rsid w:val="2BCC070B"/>
    <w:rsid w:val="2BF10171"/>
    <w:rsid w:val="2C18524B"/>
    <w:rsid w:val="2C252D39"/>
    <w:rsid w:val="2C315A5A"/>
    <w:rsid w:val="2C3813A3"/>
    <w:rsid w:val="2C4B1C25"/>
    <w:rsid w:val="2C820DC9"/>
    <w:rsid w:val="2CB705C5"/>
    <w:rsid w:val="2CB73169"/>
    <w:rsid w:val="2CC413E2"/>
    <w:rsid w:val="2D346567"/>
    <w:rsid w:val="2D4A2336"/>
    <w:rsid w:val="2D546C0A"/>
    <w:rsid w:val="2D591C3E"/>
    <w:rsid w:val="2D9E56F5"/>
    <w:rsid w:val="2DB254C7"/>
    <w:rsid w:val="2E667F96"/>
    <w:rsid w:val="2E8226AB"/>
    <w:rsid w:val="2E9B73FD"/>
    <w:rsid w:val="2EBF2043"/>
    <w:rsid w:val="2ED9406F"/>
    <w:rsid w:val="2EFA10EB"/>
    <w:rsid w:val="2F104DB2"/>
    <w:rsid w:val="2F1C3757"/>
    <w:rsid w:val="2F4A3E20"/>
    <w:rsid w:val="2FD065E6"/>
    <w:rsid w:val="2FD96870"/>
    <w:rsid w:val="30191A45"/>
    <w:rsid w:val="303B19BB"/>
    <w:rsid w:val="30580BC9"/>
    <w:rsid w:val="306208DC"/>
    <w:rsid w:val="3080086A"/>
    <w:rsid w:val="30B446AD"/>
    <w:rsid w:val="30D84F33"/>
    <w:rsid w:val="30E67B79"/>
    <w:rsid w:val="30FC51A3"/>
    <w:rsid w:val="31061FC9"/>
    <w:rsid w:val="311E2ED7"/>
    <w:rsid w:val="311F12DD"/>
    <w:rsid w:val="315619EE"/>
    <w:rsid w:val="315C449C"/>
    <w:rsid w:val="317B3538"/>
    <w:rsid w:val="31B82709"/>
    <w:rsid w:val="31B9528D"/>
    <w:rsid w:val="31D05482"/>
    <w:rsid w:val="31DE76CD"/>
    <w:rsid w:val="321E3342"/>
    <w:rsid w:val="32400B34"/>
    <w:rsid w:val="329E6876"/>
    <w:rsid w:val="331D6C55"/>
    <w:rsid w:val="333015F2"/>
    <w:rsid w:val="334B6320"/>
    <w:rsid w:val="33A31D51"/>
    <w:rsid w:val="33BD67D5"/>
    <w:rsid w:val="33C04E63"/>
    <w:rsid w:val="33D42F84"/>
    <w:rsid w:val="33D47F17"/>
    <w:rsid w:val="33D934D4"/>
    <w:rsid w:val="33E365F1"/>
    <w:rsid w:val="33FE2F6A"/>
    <w:rsid w:val="340E07E5"/>
    <w:rsid w:val="34235BF7"/>
    <w:rsid w:val="346B5466"/>
    <w:rsid w:val="34C250A4"/>
    <w:rsid w:val="34CE2DFE"/>
    <w:rsid w:val="34F52A80"/>
    <w:rsid w:val="35362BE0"/>
    <w:rsid w:val="353B5251"/>
    <w:rsid w:val="35725E7F"/>
    <w:rsid w:val="35777575"/>
    <w:rsid w:val="35835B39"/>
    <w:rsid w:val="35891C0A"/>
    <w:rsid w:val="358C5FA8"/>
    <w:rsid w:val="359A7558"/>
    <w:rsid w:val="35C15DF1"/>
    <w:rsid w:val="35FD0245"/>
    <w:rsid w:val="36074A7F"/>
    <w:rsid w:val="36237179"/>
    <w:rsid w:val="3624758D"/>
    <w:rsid w:val="36875285"/>
    <w:rsid w:val="36923549"/>
    <w:rsid w:val="36B75FBF"/>
    <w:rsid w:val="36BD0C45"/>
    <w:rsid w:val="36F9612C"/>
    <w:rsid w:val="371371EE"/>
    <w:rsid w:val="37824B95"/>
    <w:rsid w:val="379B4044"/>
    <w:rsid w:val="37E00298"/>
    <w:rsid w:val="37E63CC3"/>
    <w:rsid w:val="37E7377E"/>
    <w:rsid w:val="37F65462"/>
    <w:rsid w:val="38241E1F"/>
    <w:rsid w:val="387568C9"/>
    <w:rsid w:val="38B302F9"/>
    <w:rsid w:val="38F12CD3"/>
    <w:rsid w:val="38F94775"/>
    <w:rsid w:val="39033292"/>
    <w:rsid w:val="39044569"/>
    <w:rsid w:val="390908A8"/>
    <w:rsid w:val="39151729"/>
    <w:rsid w:val="392971ED"/>
    <w:rsid w:val="39325651"/>
    <w:rsid w:val="398B750F"/>
    <w:rsid w:val="399D7242"/>
    <w:rsid w:val="39A04924"/>
    <w:rsid w:val="39E901BA"/>
    <w:rsid w:val="39EF4699"/>
    <w:rsid w:val="3A325BDD"/>
    <w:rsid w:val="3A4D2A17"/>
    <w:rsid w:val="3A5333D6"/>
    <w:rsid w:val="3A872856"/>
    <w:rsid w:val="3A874A98"/>
    <w:rsid w:val="3AF17846"/>
    <w:rsid w:val="3AF276B5"/>
    <w:rsid w:val="3B3763D1"/>
    <w:rsid w:val="3B563B4D"/>
    <w:rsid w:val="3BBD5411"/>
    <w:rsid w:val="3BD056AD"/>
    <w:rsid w:val="3C2F6E1E"/>
    <w:rsid w:val="3C4D6CFE"/>
    <w:rsid w:val="3C4F64BA"/>
    <w:rsid w:val="3C942B7F"/>
    <w:rsid w:val="3CD00A8B"/>
    <w:rsid w:val="3CD60F2D"/>
    <w:rsid w:val="3CDA245A"/>
    <w:rsid w:val="3D1C4922"/>
    <w:rsid w:val="3D1E06B7"/>
    <w:rsid w:val="3D231DE6"/>
    <w:rsid w:val="3D451DFC"/>
    <w:rsid w:val="3D566086"/>
    <w:rsid w:val="3DE74F30"/>
    <w:rsid w:val="3DF53AF1"/>
    <w:rsid w:val="3E286049"/>
    <w:rsid w:val="3E30739D"/>
    <w:rsid w:val="3E3143FD"/>
    <w:rsid w:val="3E66679D"/>
    <w:rsid w:val="3E796470"/>
    <w:rsid w:val="3E9F3270"/>
    <w:rsid w:val="3EC644D5"/>
    <w:rsid w:val="3EDA0523"/>
    <w:rsid w:val="3F0264C5"/>
    <w:rsid w:val="3F0F441E"/>
    <w:rsid w:val="3F2006FA"/>
    <w:rsid w:val="3F5E765C"/>
    <w:rsid w:val="3F625F50"/>
    <w:rsid w:val="3FB90C44"/>
    <w:rsid w:val="3FE931E1"/>
    <w:rsid w:val="401401B0"/>
    <w:rsid w:val="40672358"/>
    <w:rsid w:val="406D3E12"/>
    <w:rsid w:val="407A6407"/>
    <w:rsid w:val="40AF4295"/>
    <w:rsid w:val="41001608"/>
    <w:rsid w:val="410F0A26"/>
    <w:rsid w:val="41831F3B"/>
    <w:rsid w:val="41BD66D4"/>
    <w:rsid w:val="41BF069E"/>
    <w:rsid w:val="4200449D"/>
    <w:rsid w:val="423A3BCC"/>
    <w:rsid w:val="424B1F31"/>
    <w:rsid w:val="424D408D"/>
    <w:rsid w:val="424E57D2"/>
    <w:rsid w:val="428C42F8"/>
    <w:rsid w:val="429A4BCE"/>
    <w:rsid w:val="42B26C49"/>
    <w:rsid w:val="42BA2C13"/>
    <w:rsid w:val="42E3660E"/>
    <w:rsid w:val="433A6FE6"/>
    <w:rsid w:val="43480868"/>
    <w:rsid w:val="434F15AD"/>
    <w:rsid w:val="4350713C"/>
    <w:rsid w:val="43657023"/>
    <w:rsid w:val="436653E0"/>
    <w:rsid w:val="436E06C2"/>
    <w:rsid w:val="43A9308C"/>
    <w:rsid w:val="43C4431A"/>
    <w:rsid w:val="43D83C99"/>
    <w:rsid w:val="44412959"/>
    <w:rsid w:val="445A645C"/>
    <w:rsid w:val="44956F8A"/>
    <w:rsid w:val="4496573F"/>
    <w:rsid w:val="44B951CC"/>
    <w:rsid w:val="44C67F95"/>
    <w:rsid w:val="44CD14E0"/>
    <w:rsid w:val="44E16B7D"/>
    <w:rsid w:val="44E47346"/>
    <w:rsid w:val="44F20B0B"/>
    <w:rsid w:val="452E5F4C"/>
    <w:rsid w:val="453B44DF"/>
    <w:rsid w:val="45441F29"/>
    <w:rsid w:val="45612018"/>
    <w:rsid w:val="458946E9"/>
    <w:rsid w:val="45A47C0E"/>
    <w:rsid w:val="45BA3D53"/>
    <w:rsid w:val="4616429A"/>
    <w:rsid w:val="463B22BD"/>
    <w:rsid w:val="464843AC"/>
    <w:rsid w:val="46577FD6"/>
    <w:rsid w:val="4669324D"/>
    <w:rsid w:val="469B101D"/>
    <w:rsid w:val="469F52A4"/>
    <w:rsid w:val="46A00372"/>
    <w:rsid w:val="46A2058E"/>
    <w:rsid w:val="46BF4C9C"/>
    <w:rsid w:val="46D955A7"/>
    <w:rsid w:val="46E90D9C"/>
    <w:rsid w:val="46F459F4"/>
    <w:rsid w:val="47133957"/>
    <w:rsid w:val="47505D4D"/>
    <w:rsid w:val="478832E0"/>
    <w:rsid w:val="47A07E0C"/>
    <w:rsid w:val="47C26735"/>
    <w:rsid w:val="47C6205A"/>
    <w:rsid w:val="47F44E19"/>
    <w:rsid w:val="480E0AC5"/>
    <w:rsid w:val="482B34DA"/>
    <w:rsid w:val="48552C82"/>
    <w:rsid w:val="4870272E"/>
    <w:rsid w:val="489E3054"/>
    <w:rsid w:val="48E306E9"/>
    <w:rsid w:val="49583186"/>
    <w:rsid w:val="496C4368"/>
    <w:rsid w:val="498E0956"/>
    <w:rsid w:val="49DC7715"/>
    <w:rsid w:val="49E14F29"/>
    <w:rsid w:val="49EA2030"/>
    <w:rsid w:val="4A023139"/>
    <w:rsid w:val="4A2273C7"/>
    <w:rsid w:val="4A6D4A0F"/>
    <w:rsid w:val="4A7102C6"/>
    <w:rsid w:val="4A7B576F"/>
    <w:rsid w:val="4AB10D81"/>
    <w:rsid w:val="4AF561A9"/>
    <w:rsid w:val="4B1530DD"/>
    <w:rsid w:val="4B215F25"/>
    <w:rsid w:val="4B4F7ECA"/>
    <w:rsid w:val="4B892CD3"/>
    <w:rsid w:val="4C0118B3"/>
    <w:rsid w:val="4C0F4D8B"/>
    <w:rsid w:val="4C227E11"/>
    <w:rsid w:val="4C4A0649"/>
    <w:rsid w:val="4C6C372B"/>
    <w:rsid w:val="4C7E5ECA"/>
    <w:rsid w:val="4C876AA5"/>
    <w:rsid w:val="4CBB47D8"/>
    <w:rsid w:val="4CD62D3F"/>
    <w:rsid w:val="4CE0596C"/>
    <w:rsid w:val="4D0E00FB"/>
    <w:rsid w:val="4D176606"/>
    <w:rsid w:val="4DCE3A17"/>
    <w:rsid w:val="4DDC25D7"/>
    <w:rsid w:val="4DDF5C24"/>
    <w:rsid w:val="4DEC4FB0"/>
    <w:rsid w:val="4DFE42FC"/>
    <w:rsid w:val="4E016E73"/>
    <w:rsid w:val="4E075D8A"/>
    <w:rsid w:val="4E395876"/>
    <w:rsid w:val="4E4837C9"/>
    <w:rsid w:val="4E601BC4"/>
    <w:rsid w:val="4E922C96"/>
    <w:rsid w:val="4EC00FAD"/>
    <w:rsid w:val="4EC54B5C"/>
    <w:rsid w:val="4ED17C62"/>
    <w:rsid w:val="4EE251B9"/>
    <w:rsid w:val="4F356E58"/>
    <w:rsid w:val="4F363D2B"/>
    <w:rsid w:val="4F3B332E"/>
    <w:rsid w:val="4F9843DC"/>
    <w:rsid w:val="4FC62A8C"/>
    <w:rsid w:val="4FE20F0D"/>
    <w:rsid w:val="4FE34DE9"/>
    <w:rsid w:val="4FE51552"/>
    <w:rsid w:val="4FE85264"/>
    <w:rsid w:val="501C6CBB"/>
    <w:rsid w:val="50504C4B"/>
    <w:rsid w:val="505A4961"/>
    <w:rsid w:val="509C6E7C"/>
    <w:rsid w:val="50AF18DD"/>
    <w:rsid w:val="50C8299F"/>
    <w:rsid w:val="50E33C7D"/>
    <w:rsid w:val="50E4680A"/>
    <w:rsid w:val="5162104E"/>
    <w:rsid w:val="5241116C"/>
    <w:rsid w:val="524424F9"/>
    <w:rsid w:val="52501D09"/>
    <w:rsid w:val="529421F0"/>
    <w:rsid w:val="52A336C4"/>
    <w:rsid w:val="52B14033"/>
    <w:rsid w:val="52E53CDC"/>
    <w:rsid w:val="533E4E87"/>
    <w:rsid w:val="53A039CC"/>
    <w:rsid w:val="53A1505A"/>
    <w:rsid w:val="53AC0356"/>
    <w:rsid w:val="53AE7B63"/>
    <w:rsid w:val="53C25DCC"/>
    <w:rsid w:val="54063E08"/>
    <w:rsid w:val="542D12B2"/>
    <w:rsid w:val="543437E8"/>
    <w:rsid w:val="54352A41"/>
    <w:rsid w:val="544F3B03"/>
    <w:rsid w:val="545225F2"/>
    <w:rsid w:val="54754356"/>
    <w:rsid w:val="54B97299"/>
    <w:rsid w:val="54D77655"/>
    <w:rsid w:val="54F73313"/>
    <w:rsid w:val="54F80955"/>
    <w:rsid w:val="551B1C37"/>
    <w:rsid w:val="55243733"/>
    <w:rsid w:val="555170A7"/>
    <w:rsid w:val="5560764A"/>
    <w:rsid w:val="5587536D"/>
    <w:rsid w:val="559B174B"/>
    <w:rsid w:val="55CE0CF4"/>
    <w:rsid w:val="55F272CA"/>
    <w:rsid w:val="55FA3344"/>
    <w:rsid w:val="55FF2E68"/>
    <w:rsid w:val="5688382D"/>
    <w:rsid w:val="56A56E69"/>
    <w:rsid w:val="56AB7ED8"/>
    <w:rsid w:val="56AD2D63"/>
    <w:rsid w:val="56B22A9C"/>
    <w:rsid w:val="56E12A0D"/>
    <w:rsid w:val="57046DDA"/>
    <w:rsid w:val="572052E3"/>
    <w:rsid w:val="57523437"/>
    <w:rsid w:val="576B22D6"/>
    <w:rsid w:val="57B72A76"/>
    <w:rsid w:val="57C3426C"/>
    <w:rsid w:val="57CE1F93"/>
    <w:rsid w:val="57D165DD"/>
    <w:rsid w:val="57EE496C"/>
    <w:rsid w:val="57FB47D1"/>
    <w:rsid w:val="58024764"/>
    <w:rsid w:val="58070251"/>
    <w:rsid w:val="583C45BA"/>
    <w:rsid w:val="585C7348"/>
    <w:rsid w:val="588743D1"/>
    <w:rsid w:val="5887701A"/>
    <w:rsid w:val="588E0972"/>
    <w:rsid w:val="594C0571"/>
    <w:rsid w:val="59AF6DF6"/>
    <w:rsid w:val="59C0439F"/>
    <w:rsid w:val="59C97EB4"/>
    <w:rsid w:val="59CE54CA"/>
    <w:rsid w:val="59D625D1"/>
    <w:rsid w:val="59EA1BD8"/>
    <w:rsid w:val="5A0F6902"/>
    <w:rsid w:val="5A4237C2"/>
    <w:rsid w:val="5A616451"/>
    <w:rsid w:val="5A8D5BD7"/>
    <w:rsid w:val="5AAE70AA"/>
    <w:rsid w:val="5ABE2233"/>
    <w:rsid w:val="5B650A73"/>
    <w:rsid w:val="5B710640"/>
    <w:rsid w:val="5B7D3110"/>
    <w:rsid w:val="5B8816A9"/>
    <w:rsid w:val="5B9D340D"/>
    <w:rsid w:val="5BDF5D95"/>
    <w:rsid w:val="5BE34B31"/>
    <w:rsid w:val="5BFE7528"/>
    <w:rsid w:val="5C3D64FF"/>
    <w:rsid w:val="5C4D5F59"/>
    <w:rsid w:val="5CA00C74"/>
    <w:rsid w:val="5CEA7A44"/>
    <w:rsid w:val="5D4C25DF"/>
    <w:rsid w:val="5D8452F1"/>
    <w:rsid w:val="5DBF512A"/>
    <w:rsid w:val="5DD07337"/>
    <w:rsid w:val="5DE13F50"/>
    <w:rsid w:val="5E1E4546"/>
    <w:rsid w:val="5E2467F1"/>
    <w:rsid w:val="5E2751A9"/>
    <w:rsid w:val="5E3510CB"/>
    <w:rsid w:val="5E35680D"/>
    <w:rsid w:val="5E5F04DE"/>
    <w:rsid w:val="5E745F14"/>
    <w:rsid w:val="5E930A90"/>
    <w:rsid w:val="5ECE7D1A"/>
    <w:rsid w:val="5EDB5F93"/>
    <w:rsid w:val="5EF01A3F"/>
    <w:rsid w:val="5F1A2B43"/>
    <w:rsid w:val="5F322057"/>
    <w:rsid w:val="5F5226F9"/>
    <w:rsid w:val="5FB837BB"/>
    <w:rsid w:val="5FD81EFC"/>
    <w:rsid w:val="5FDC6467"/>
    <w:rsid w:val="5FE46563"/>
    <w:rsid w:val="6005776C"/>
    <w:rsid w:val="60151A13"/>
    <w:rsid w:val="601A2A8B"/>
    <w:rsid w:val="60346E6A"/>
    <w:rsid w:val="606F4BE5"/>
    <w:rsid w:val="60C211B9"/>
    <w:rsid w:val="60CC405A"/>
    <w:rsid w:val="60E46E53"/>
    <w:rsid w:val="60EF1432"/>
    <w:rsid w:val="60F25FBE"/>
    <w:rsid w:val="612D73EF"/>
    <w:rsid w:val="614C4F26"/>
    <w:rsid w:val="61643348"/>
    <w:rsid w:val="617260AF"/>
    <w:rsid w:val="617A7464"/>
    <w:rsid w:val="61903065"/>
    <w:rsid w:val="6192502F"/>
    <w:rsid w:val="61E215D8"/>
    <w:rsid w:val="621B3775"/>
    <w:rsid w:val="62266CB9"/>
    <w:rsid w:val="62364782"/>
    <w:rsid w:val="624B51DE"/>
    <w:rsid w:val="625E717E"/>
    <w:rsid w:val="62A3077E"/>
    <w:rsid w:val="62AE078F"/>
    <w:rsid w:val="62FA57FB"/>
    <w:rsid w:val="630D6BFB"/>
    <w:rsid w:val="633C75B2"/>
    <w:rsid w:val="635A25F2"/>
    <w:rsid w:val="6394356A"/>
    <w:rsid w:val="639F487C"/>
    <w:rsid w:val="63A22D76"/>
    <w:rsid w:val="63B03E93"/>
    <w:rsid w:val="63C1117E"/>
    <w:rsid w:val="63C61B2C"/>
    <w:rsid w:val="63D40BE9"/>
    <w:rsid w:val="63E55D34"/>
    <w:rsid w:val="63EA73A4"/>
    <w:rsid w:val="63FD6D10"/>
    <w:rsid w:val="64102431"/>
    <w:rsid w:val="64A5243A"/>
    <w:rsid w:val="64A55079"/>
    <w:rsid w:val="64CF0348"/>
    <w:rsid w:val="64F531DE"/>
    <w:rsid w:val="65373578"/>
    <w:rsid w:val="65387C9C"/>
    <w:rsid w:val="65956E9C"/>
    <w:rsid w:val="659B4731"/>
    <w:rsid w:val="65C15EE3"/>
    <w:rsid w:val="65D11E9E"/>
    <w:rsid w:val="65DD267B"/>
    <w:rsid w:val="65E47E23"/>
    <w:rsid w:val="6662655E"/>
    <w:rsid w:val="66815CF8"/>
    <w:rsid w:val="66AB26EF"/>
    <w:rsid w:val="66B90878"/>
    <w:rsid w:val="66FE4F15"/>
    <w:rsid w:val="66FE6CC3"/>
    <w:rsid w:val="670342D9"/>
    <w:rsid w:val="671F124A"/>
    <w:rsid w:val="67277FC8"/>
    <w:rsid w:val="6728216A"/>
    <w:rsid w:val="67283D40"/>
    <w:rsid w:val="6730089D"/>
    <w:rsid w:val="67396302"/>
    <w:rsid w:val="673B1CC5"/>
    <w:rsid w:val="674A1F08"/>
    <w:rsid w:val="677A33C6"/>
    <w:rsid w:val="67862925"/>
    <w:rsid w:val="67982854"/>
    <w:rsid w:val="67A41618"/>
    <w:rsid w:val="67DD4B2A"/>
    <w:rsid w:val="68051EF3"/>
    <w:rsid w:val="681D13CB"/>
    <w:rsid w:val="681F6961"/>
    <w:rsid w:val="6833299C"/>
    <w:rsid w:val="68336E40"/>
    <w:rsid w:val="68610A2F"/>
    <w:rsid w:val="68805514"/>
    <w:rsid w:val="68923049"/>
    <w:rsid w:val="69316E2F"/>
    <w:rsid w:val="69450AFE"/>
    <w:rsid w:val="694E2071"/>
    <w:rsid w:val="69766163"/>
    <w:rsid w:val="69794D27"/>
    <w:rsid w:val="697A3B33"/>
    <w:rsid w:val="699D27C3"/>
    <w:rsid w:val="69A43B52"/>
    <w:rsid w:val="69D44760"/>
    <w:rsid w:val="69FF4569"/>
    <w:rsid w:val="6A1A02B8"/>
    <w:rsid w:val="6A242EE4"/>
    <w:rsid w:val="6A31115D"/>
    <w:rsid w:val="6A3A7157"/>
    <w:rsid w:val="6A431587"/>
    <w:rsid w:val="6A463F7B"/>
    <w:rsid w:val="6A495F59"/>
    <w:rsid w:val="6A520EC7"/>
    <w:rsid w:val="6A525EDD"/>
    <w:rsid w:val="6A5E63F6"/>
    <w:rsid w:val="6A6257BB"/>
    <w:rsid w:val="6A6D758A"/>
    <w:rsid w:val="6A75283F"/>
    <w:rsid w:val="6A9549C2"/>
    <w:rsid w:val="6AE52674"/>
    <w:rsid w:val="6AF87E20"/>
    <w:rsid w:val="6B2C02A3"/>
    <w:rsid w:val="6B322639"/>
    <w:rsid w:val="6B543355"/>
    <w:rsid w:val="6BA047ED"/>
    <w:rsid w:val="6BD85D34"/>
    <w:rsid w:val="6C04758B"/>
    <w:rsid w:val="6C1256EA"/>
    <w:rsid w:val="6C615D2A"/>
    <w:rsid w:val="6C635F46"/>
    <w:rsid w:val="6C636C38"/>
    <w:rsid w:val="6C6D0B73"/>
    <w:rsid w:val="6C7C2B64"/>
    <w:rsid w:val="6CD36677"/>
    <w:rsid w:val="6D9A4506"/>
    <w:rsid w:val="6DA265FA"/>
    <w:rsid w:val="6DA5433C"/>
    <w:rsid w:val="6DB34098"/>
    <w:rsid w:val="6DB545B6"/>
    <w:rsid w:val="6DB63E53"/>
    <w:rsid w:val="6DDC2CF8"/>
    <w:rsid w:val="6DE02FB4"/>
    <w:rsid w:val="6DFE5590"/>
    <w:rsid w:val="6E027099"/>
    <w:rsid w:val="6E514CED"/>
    <w:rsid w:val="6E576B2A"/>
    <w:rsid w:val="6EB563D5"/>
    <w:rsid w:val="6ED92677"/>
    <w:rsid w:val="6F225983"/>
    <w:rsid w:val="6FB40867"/>
    <w:rsid w:val="6FB72056"/>
    <w:rsid w:val="6FE63C91"/>
    <w:rsid w:val="6FFC5590"/>
    <w:rsid w:val="702E23C7"/>
    <w:rsid w:val="703F47CD"/>
    <w:rsid w:val="706417EB"/>
    <w:rsid w:val="706D1DD0"/>
    <w:rsid w:val="70856B87"/>
    <w:rsid w:val="70D43718"/>
    <w:rsid w:val="70D527EE"/>
    <w:rsid w:val="70F133F4"/>
    <w:rsid w:val="70F25AEA"/>
    <w:rsid w:val="713D1CD9"/>
    <w:rsid w:val="715B5300"/>
    <w:rsid w:val="718F6E95"/>
    <w:rsid w:val="71C741D0"/>
    <w:rsid w:val="71D27F8A"/>
    <w:rsid w:val="72261D5C"/>
    <w:rsid w:val="7242215A"/>
    <w:rsid w:val="72553024"/>
    <w:rsid w:val="72C51B45"/>
    <w:rsid w:val="73122968"/>
    <w:rsid w:val="731F5D5E"/>
    <w:rsid w:val="7321111E"/>
    <w:rsid w:val="734463A5"/>
    <w:rsid w:val="734737A0"/>
    <w:rsid w:val="736D3206"/>
    <w:rsid w:val="73C179F6"/>
    <w:rsid w:val="73C51AD5"/>
    <w:rsid w:val="741E793C"/>
    <w:rsid w:val="745E3944"/>
    <w:rsid w:val="746740F9"/>
    <w:rsid w:val="746E36DA"/>
    <w:rsid w:val="74AD4F78"/>
    <w:rsid w:val="74C0380A"/>
    <w:rsid w:val="75306BE1"/>
    <w:rsid w:val="75410DEE"/>
    <w:rsid w:val="75514989"/>
    <w:rsid w:val="757D09E4"/>
    <w:rsid w:val="75874327"/>
    <w:rsid w:val="75C945C8"/>
    <w:rsid w:val="75D02172"/>
    <w:rsid w:val="75E31EA6"/>
    <w:rsid w:val="760B7D93"/>
    <w:rsid w:val="7635099D"/>
    <w:rsid w:val="76500BBD"/>
    <w:rsid w:val="76516E0F"/>
    <w:rsid w:val="769D02A6"/>
    <w:rsid w:val="769F3D7B"/>
    <w:rsid w:val="76D4359C"/>
    <w:rsid w:val="77762421"/>
    <w:rsid w:val="77963D63"/>
    <w:rsid w:val="77A15B74"/>
    <w:rsid w:val="77A75D95"/>
    <w:rsid w:val="77B56B1F"/>
    <w:rsid w:val="77E15F71"/>
    <w:rsid w:val="77F077CD"/>
    <w:rsid w:val="780F09F4"/>
    <w:rsid w:val="78100D7A"/>
    <w:rsid w:val="78250553"/>
    <w:rsid w:val="78462278"/>
    <w:rsid w:val="78972AD3"/>
    <w:rsid w:val="789D0487"/>
    <w:rsid w:val="78A90480"/>
    <w:rsid w:val="78BA42FE"/>
    <w:rsid w:val="78ED2E59"/>
    <w:rsid w:val="793E47BF"/>
    <w:rsid w:val="79494343"/>
    <w:rsid w:val="79C01B81"/>
    <w:rsid w:val="79EB23E6"/>
    <w:rsid w:val="7A364017"/>
    <w:rsid w:val="7A795AFD"/>
    <w:rsid w:val="7A7C650E"/>
    <w:rsid w:val="7A8265E1"/>
    <w:rsid w:val="7AC14010"/>
    <w:rsid w:val="7ACF00EF"/>
    <w:rsid w:val="7AE479FD"/>
    <w:rsid w:val="7B1E1B58"/>
    <w:rsid w:val="7B686D42"/>
    <w:rsid w:val="7B6A44CF"/>
    <w:rsid w:val="7B6E0463"/>
    <w:rsid w:val="7B841746"/>
    <w:rsid w:val="7BB17C68"/>
    <w:rsid w:val="7C042B76"/>
    <w:rsid w:val="7C0473F0"/>
    <w:rsid w:val="7C2A25DC"/>
    <w:rsid w:val="7C413482"/>
    <w:rsid w:val="7C6C5AC7"/>
    <w:rsid w:val="7C6E3CBD"/>
    <w:rsid w:val="7CC6544B"/>
    <w:rsid w:val="7CE867CF"/>
    <w:rsid w:val="7D0239FF"/>
    <w:rsid w:val="7D20578D"/>
    <w:rsid w:val="7D33726F"/>
    <w:rsid w:val="7D5E40CD"/>
    <w:rsid w:val="7D871368"/>
    <w:rsid w:val="7D8E6B9B"/>
    <w:rsid w:val="7DA326B1"/>
    <w:rsid w:val="7DCD56F2"/>
    <w:rsid w:val="7DEA4049"/>
    <w:rsid w:val="7E0E1A8A"/>
    <w:rsid w:val="7E4548B9"/>
    <w:rsid w:val="7E8A7362"/>
    <w:rsid w:val="7E953F59"/>
    <w:rsid w:val="7EA53149"/>
    <w:rsid w:val="7EA93464"/>
    <w:rsid w:val="7EC917AB"/>
    <w:rsid w:val="7EE221F2"/>
    <w:rsid w:val="7F001CE7"/>
    <w:rsid w:val="7F075543"/>
    <w:rsid w:val="7F166E48"/>
    <w:rsid w:val="7F201A75"/>
    <w:rsid w:val="7F2E7D8E"/>
    <w:rsid w:val="7F3E61E6"/>
    <w:rsid w:val="7F4465F1"/>
    <w:rsid w:val="7F881228"/>
    <w:rsid w:val="7F8A16CD"/>
    <w:rsid w:val="7F995593"/>
    <w:rsid w:val="7FA36806"/>
    <w:rsid w:val="7FC05006"/>
    <w:rsid w:val="7FC91566"/>
    <w:rsid w:val="7FE47E50"/>
    <w:rsid w:val="7FE900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1" w:semiHidden="0" w:name="heading 2" w:locked="1"/>
    <w:lsdException w:qFormat="1" w:unhideWhenUsed="0" w:uiPriority="0" w:semiHidden="0" w:name="heading 3" w:locked="1"/>
    <w:lsdException w:qFormat="1" w:unhideWhenUsed="0" w:uiPriority="0" w:semiHidden="0" w:name="heading 4" w:locked="1"/>
    <w:lsdException w:qFormat="1" w:uiPriority="0" w:semiHidden="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qFormat="1"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0" w:semiHidden="0" w:name="toc 2" w:locked="1"/>
    <w:lsdException w:unhideWhenUsed="0" w:uiPriority="0" w:semiHidden="0" w:name="toc 3" w:locked="1"/>
    <w:lsdException w:qFormat="1" w:unhideWhenUsed="0" w:uiPriority="39" w:semiHidden="0" w:name="toc 4" w:locked="1"/>
    <w:lsdException w:unhideWhenUsed="0" w:uiPriority="0" w:semiHidden="0" w:name="toc 5" w:locked="1"/>
    <w:lsdException w:unhideWhenUsed="0" w:uiPriority="0" w:semiHidden="0" w:name="toc 6" w:locked="1"/>
    <w:lsdException w:qFormat="1"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qFormat="1" w:unhideWhenUsed="0" w:uiPriority="0" w:name="table of figures" w:locked="1"/>
    <w:lsdException w:unhideWhenUsed="0" w:uiPriority="0" w:semiHidden="0" w:name="envelope address" w:locked="1"/>
    <w:lsdException w:qFormat="1"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iPriority="99"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qFormat="1" w:unhideWhenUsed="0" w:uiPriority="0" w:semiHidden="0" w:name="Note Heading" w:locked="1"/>
    <w:lsdException w:qFormat="1" w:unhideWhenUsed="0" w:uiPriority="0" w:semiHidden="0" w:name="Body Text 2" w:locked="1"/>
    <w:lsdException w:unhideWhenUsed="0" w:uiPriority="0" w:semiHidden="0" w:name="Body Text 3" w:locked="1"/>
    <w:lsdException w:qFormat="1" w:uiPriority="0" w:semiHidden="0" w:name="Body Text Indent 2" w:locked="1"/>
    <w:lsdException w:qFormat="1"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20" w:semiHidden="0" w:name="Emphasis" w:locked="1"/>
    <w:lsdException w:unhideWhenUsed="0" w:uiPriority="0" w:semiHidden="0" w:name="Document Map" w:locked="1"/>
    <w:lsdException w:qFormat="1" w:unhideWhenUsed="0" w:uiPriority="0" w:semiHidden="0" w:name="Plain Text" w:locked="1"/>
    <w:lsdException w:qFormat="1" w:uiPriority="99"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qFormat="1" w:uiPriority="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autoRedefine/>
    <w:qFormat/>
    <w:locked/>
    <w:uiPriority w:val="1"/>
    <w:pPr>
      <w:ind w:left="1243" w:hanging="214"/>
      <w:outlineLvl w:val="1"/>
    </w:pPr>
    <w:rPr>
      <w:rFonts w:ascii="黑体" w:hAnsi="黑体" w:eastAsia="黑体" w:cs="黑体"/>
      <w:b/>
      <w:bCs/>
      <w:sz w:val="28"/>
      <w:szCs w:val="28"/>
      <w:lang w:val="zh-CN" w:bidi="zh-CN"/>
    </w:rPr>
  </w:style>
  <w:style w:type="paragraph" w:styleId="5">
    <w:name w:val="heading 3"/>
    <w:basedOn w:val="1"/>
    <w:next w:val="1"/>
    <w:link w:val="51"/>
    <w:qFormat/>
    <w:locked/>
    <w:uiPriority w:val="0"/>
    <w:pPr>
      <w:keepNext/>
      <w:keepLines/>
      <w:spacing w:before="260" w:after="260" w:line="416" w:lineRule="auto"/>
      <w:outlineLvl w:val="2"/>
    </w:pPr>
    <w:rPr>
      <w:b/>
      <w:bCs/>
      <w:sz w:val="32"/>
      <w:szCs w:val="32"/>
    </w:rPr>
  </w:style>
  <w:style w:type="paragraph" w:styleId="6">
    <w:name w:val="heading 4"/>
    <w:basedOn w:val="1"/>
    <w:next w:val="1"/>
    <w:qFormat/>
    <w:locked/>
    <w:uiPriority w:val="0"/>
    <w:pPr>
      <w:keepNext/>
      <w:keepLines/>
      <w:widowControl/>
      <w:jc w:val="left"/>
      <w:outlineLvl w:val="3"/>
    </w:pPr>
    <w:rPr>
      <w:b/>
      <w:bCs/>
      <w:kern w:val="0"/>
      <w:sz w:val="28"/>
      <w:szCs w:val="28"/>
    </w:rPr>
  </w:style>
  <w:style w:type="paragraph" w:styleId="7">
    <w:name w:val="heading 5"/>
    <w:basedOn w:val="1"/>
    <w:next w:val="1"/>
    <w:unhideWhenUsed/>
    <w:qFormat/>
    <w:locked/>
    <w:uiPriority w:val="0"/>
    <w:pPr>
      <w:keepNext/>
      <w:keepLines/>
      <w:numPr>
        <w:ilvl w:val="4"/>
        <w:numId w:val="1"/>
      </w:numPr>
      <w:spacing w:before="280" w:after="290" w:line="372" w:lineRule="auto"/>
      <w:outlineLvl w:val="4"/>
    </w:pPr>
    <w:rPr>
      <w:b/>
      <w:sz w:val="28"/>
    </w:rPr>
  </w:style>
  <w:style w:type="character" w:default="1" w:styleId="39">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2">
    <w:name w:val="toc 1"/>
    <w:basedOn w:val="1"/>
    <w:next w:val="1"/>
    <w:autoRedefine/>
    <w:qFormat/>
    <w:locked/>
    <w:uiPriority w:val="39"/>
    <w:pPr>
      <w:tabs>
        <w:tab w:val="right" w:leader="dot" w:pos="9344"/>
      </w:tabs>
      <w:spacing w:before="62" w:beforeLines="20" w:after="100" w:afterAutospacing="1"/>
    </w:pPr>
    <w:rPr>
      <w:rFonts w:ascii="楷体_GB2312" w:hAnsi="宋体" w:eastAsia="楷体_GB2312"/>
      <w:b/>
      <w:bCs/>
    </w:rPr>
  </w:style>
  <w:style w:type="paragraph" w:styleId="8">
    <w:name w:val="toc 7"/>
    <w:basedOn w:val="1"/>
    <w:next w:val="1"/>
    <w:qFormat/>
    <w:locked/>
    <w:uiPriority w:val="0"/>
    <w:pPr>
      <w:spacing w:line="360" w:lineRule="auto"/>
      <w:ind w:left="2520" w:firstLine="200" w:firstLineChars="200"/>
    </w:pPr>
    <w:rPr>
      <w:sz w:val="24"/>
      <w:szCs w:val="20"/>
    </w:rPr>
  </w:style>
  <w:style w:type="paragraph" w:styleId="9">
    <w:name w:val="Note Heading"/>
    <w:basedOn w:val="1"/>
    <w:next w:val="1"/>
    <w:qFormat/>
    <w:locked/>
    <w:uiPriority w:val="0"/>
    <w:pPr>
      <w:spacing w:line="360" w:lineRule="auto"/>
      <w:ind w:firstLine="200" w:firstLineChars="200"/>
      <w:jc w:val="center"/>
    </w:pPr>
    <w:rPr>
      <w:sz w:val="24"/>
      <w:szCs w:val="20"/>
    </w:rPr>
  </w:style>
  <w:style w:type="paragraph" w:styleId="10">
    <w:name w:val="E-mail Signature"/>
    <w:basedOn w:val="1"/>
    <w:next w:val="11"/>
    <w:unhideWhenUsed/>
    <w:qFormat/>
    <w:locked/>
    <w:uiPriority w:val="99"/>
    <w:pPr>
      <w:spacing w:line="460" w:lineRule="exact"/>
      <w:ind w:firstLine="200"/>
    </w:pPr>
    <w:rPr>
      <w:szCs w:val="144"/>
    </w:rPr>
  </w:style>
  <w:style w:type="paragraph" w:customStyle="1" w:styleId="11">
    <w:name w:val="文章"/>
    <w:next w:val="12"/>
    <w:autoRedefine/>
    <w:qFormat/>
    <w:uiPriority w:val="0"/>
    <w:pPr>
      <w:ind w:firstLine="480"/>
      <w:jc w:val="center"/>
    </w:pPr>
    <w:rPr>
      <w:rFonts w:ascii="Times New Roman" w:hAnsi="Times New Roman" w:eastAsia="宋体" w:cs="Times New Roman"/>
      <w:kern w:val="2"/>
      <w:sz w:val="26"/>
      <w:szCs w:val="22"/>
      <w:lang w:val="en-US" w:eastAsia="zh-CN" w:bidi="ar-SA"/>
    </w:rPr>
  </w:style>
  <w:style w:type="paragraph" w:styleId="12">
    <w:name w:val="List"/>
    <w:basedOn w:val="1"/>
    <w:next w:val="1"/>
    <w:autoRedefine/>
    <w:qFormat/>
    <w:locked/>
    <w:uiPriority w:val="0"/>
    <w:pPr>
      <w:ind w:left="200" w:hanging="200" w:hangingChars="200"/>
    </w:pPr>
    <w:rPr>
      <w:rFonts w:ascii="Calibri" w:hAnsi="Calibri"/>
      <w:sz w:val="24"/>
      <w:szCs w:val="144"/>
    </w:rPr>
  </w:style>
  <w:style w:type="paragraph" w:styleId="13">
    <w:name w:val="Normal Indent"/>
    <w:basedOn w:val="1"/>
    <w:next w:val="1"/>
    <w:link w:val="52"/>
    <w:autoRedefine/>
    <w:qFormat/>
    <w:locked/>
    <w:uiPriority w:val="0"/>
    <w:pPr>
      <w:spacing w:line="480" w:lineRule="atLeast"/>
      <w:ind w:firstLine="420"/>
    </w:pPr>
    <w:rPr>
      <w:rFonts w:eastAsia="仿宋_GB2312"/>
      <w:sz w:val="28"/>
      <w:szCs w:val="20"/>
    </w:rPr>
  </w:style>
  <w:style w:type="paragraph" w:styleId="14">
    <w:name w:val="annotation text"/>
    <w:basedOn w:val="1"/>
    <w:link w:val="53"/>
    <w:autoRedefine/>
    <w:semiHidden/>
    <w:qFormat/>
    <w:uiPriority w:val="0"/>
    <w:pPr>
      <w:jc w:val="left"/>
    </w:pPr>
    <w:rPr>
      <w:kern w:val="0"/>
      <w:sz w:val="24"/>
      <w:szCs w:val="20"/>
    </w:rPr>
  </w:style>
  <w:style w:type="paragraph" w:styleId="15">
    <w:name w:val="index 6"/>
    <w:basedOn w:val="1"/>
    <w:next w:val="1"/>
    <w:autoRedefine/>
    <w:qFormat/>
    <w:locked/>
    <w:uiPriority w:val="0"/>
    <w:pPr>
      <w:ind w:left="1000" w:leftChars="1000"/>
    </w:pPr>
  </w:style>
  <w:style w:type="paragraph" w:styleId="16">
    <w:name w:val="Salutation"/>
    <w:basedOn w:val="1"/>
    <w:next w:val="1"/>
    <w:autoRedefine/>
    <w:unhideWhenUsed/>
    <w:qFormat/>
    <w:locked/>
    <w:uiPriority w:val="99"/>
    <w:pPr>
      <w:spacing w:line="307" w:lineRule="auto"/>
    </w:pPr>
  </w:style>
  <w:style w:type="paragraph" w:styleId="17">
    <w:name w:val="Body Text"/>
    <w:basedOn w:val="1"/>
    <w:next w:val="9"/>
    <w:link w:val="54"/>
    <w:autoRedefine/>
    <w:qFormat/>
    <w:uiPriority w:val="0"/>
    <w:pPr>
      <w:widowControl/>
      <w:snapToGrid w:val="0"/>
      <w:spacing w:before="60" w:after="160" w:line="259" w:lineRule="auto"/>
      <w:ind w:right="113"/>
    </w:pPr>
    <w:rPr>
      <w:kern w:val="0"/>
      <w:sz w:val="18"/>
      <w:szCs w:val="20"/>
    </w:rPr>
  </w:style>
  <w:style w:type="paragraph" w:styleId="18">
    <w:name w:val="Body Text Indent"/>
    <w:basedOn w:val="1"/>
    <w:next w:val="19"/>
    <w:link w:val="55"/>
    <w:autoRedefine/>
    <w:qFormat/>
    <w:uiPriority w:val="0"/>
    <w:pPr>
      <w:spacing w:after="120"/>
      <w:ind w:left="420" w:leftChars="200"/>
    </w:pPr>
    <w:rPr>
      <w:kern w:val="0"/>
      <w:sz w:val="24"/>
      <w:szCs w:val="20"/>
    </w:rPr>
  </w:style>
  <w:style w:type="paragraph" w:styleId="19">
    <w:name w:val="header"/>
    <w:basedOn w:val="1"/>
    <w:next w:val="20"/>
    <w:link w:val="192"/>
    <w:autoRedefine/>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20">
    <w:name w:val="样式5"/>
    <w:qFormat/>
    <w:uiPriority w:val="0"/>
    <w:pPr>
      <w:spacing w:line="360" w:lineRule="auto"/>
    </w:pPr>
    <w:rPr>
      <w:rFonts w:ascii="Times New Roman" w:hAnsi="Times New Roman" w:eastAsia="宋体" w:cs="Times New Roman"/>
      <w:b/>
      <w:bCs/>
      <w:sz w:val="28"/>
      <w:lang w:val="en-US" w:eastAsia="zh-CN" w:bidi="ar-SA"/>
    </w:rPr>
  </w:style>
  <w:style w:type="paragraph" w:styleId="21">
    <w:name w:val="Plain Text"/>
    <w:basedOn w:val="1"/>
    <w:link w:val="56"/>
    <w:autoRedefine/>
    <w:qFormat/>
    <w:locked/>
    <w:uiPriority w:val="0"/>
    <w:rPr>
      <w:rFonts w:ascii="宋体" w:hAnsi="Courier New" w:cs="Courier New"/>
      <w:szCs w:val="21"/>
    </w:rPr>
  </w:style>
  <w:style w:type="paragraph" w:styleId="22">
    <w:name w:val="Date"/>
    <w:basedOn w:val="1"/>
    <w:next w:val="1"/>
    <w:link w:val="57"/>
    <w:autoRedefine/>
    <w:qFormat/>
    <w:uiPriority w:val="0"/>
    <w:pPr>
      <w:ind w:left="100" w:leftChars="2500"/>
    </w:pPr>
    <w:rPr>
      <w:kern w:val="0"/>
      <w:sz w:val="24"/>
      <w:szCs w:val="20"/>
    </w:rPr>
  </w:style>
  <w:style w:type="paragraph" w:styleId="23">
    <w:name w:val="Body Text Indent 2"/>
    <w:basedOn w:val="1"/>
    <w:next w:val="24"/>
    <w:autoRedefine/>
    <w:unhideWhenUsed/>
    <w:qFormat/>
    <w:locked/>
    <w:uiPriority w:val="0"/>
    <w:pPr>
      <w:spacing w:after="120" w:line="480" w:lineRule="auto"/>
      <w:ind w:left="420" w:leftChars="200"/>
    </w:pPr>
  </w:style>
  <w:style w:type="paragraph" w:styleId="24">
    <w:name w:val="Body Text First Indent 2"/>
    <w:basedOn w:val="18"/>
    <w:next w:val="1"/>
    <w:autoRedefine/>
    <w:qFormat/>
    <w:locked/>
    <w:uiPriority w:val="0"/>
    <w:pPr>
      <w:ind w:firstLine="420" w:firstLineChars="200"/>
    </w:pPr>
  </w:style>
  <w:style w:type="paragraph" w:styleId="25">
    <w:name w:val="Balloon Text"/>
    <w:basedOn w:val="1"/>
    <w:link w:val="58"/>
    <w:autoRedefine/>
    <w:semiHidden/>
    <w:qFormat/>
    <w:uiPriority w:val="0"/>
    <w:rPr>
      <w:kern w:val="0"/>
      <w:sz w:val="18"/>
      <w:szCs w:val="20"/>
    </w:rPr>
  </w:style>
  <w:style w:type="paragraph" w:styleId="26">
    <w:name w:val="footer"/>
    <w:basedOn w:val="1"/>
    <w:link w:val="85"/>
    <w:autoRedefine/>
    <w:qFormat/>
    <w:uiPriority w:val="99"/>
    <w:pPr>
      <w:tabs>
        <w:tab w:val="center" w:pos="4153"/>
        <w:tab w:val="right" w:pos="8306"/>
      </w:tabs>
      <w:snapToGrid w:val="0"/>
      <w:jc w:val="left"/>
    </w:pPr>
    <w:rPr>
      <w:kern w:val="0"/>
      <w:sz w:val="18"/>
      <w:szCs w:val="20"/>
    </w:rPr>
  </w:style>
  <w:style w:type="paragraph" w:styleId="27">
    <w:name w:val="envelope return"/>
    <w:basedOn w:val="1"/>
    <w:qFormat/>
    <w:locked/>
    <w:uiPriority w:val="0"/>
    <w:pPr>
      <w:snapToGrid w:val="0"/>
    </w:pPr>
    <w:rPr>
      <w:rFonts w:ascii="Arial" w:hAnsi="Arial" w:cs="Arial"/>
    </w:rPr>
  </w:style>
  <w:style w:type="paragraph" w:styleId="28">
    <w:name w:val="toc 4"/>
    <w:basedOn w:val="1"/>
    <w:next w:val="1"/>
    <w:autoRedefine/>
    <w:qFormat/>
    <w:locked/>
    <w:uiPriority w:val="39"/>
    <w:pPr>
      <w:ind w:left="1260" w:leftChars="600"/>
    </w:pPr>
  </w:style>
  <w:style w:type="paragraph" w:styleId="29">
    <w:name w:val="Body Text Indent 3"/>
    <w:basedOn w:val="1"/>
    <w:link w:val="61"/>
    <w:autoRedefine/>
    <w:qFormat/>
    <w:locked/>
    <w:uiPriority w:val="0"/>
    <w:pPr>
      <w:spacing w:line="360" w:lineRule="auto"/>
      <w:ind w:firstLine="493"/>
    </w:pPr>
    <w:rPr>
      <w:sz w:val="24"/>
    </w:rPr>
  </w:style>
  <w:style w:type="paragraph" w:styleId="30">
    <w:name w:val="table of figures"/>
    <w:basedOn w:val="1"/>
    <w:next w:val="1"/>
    <w:autoRedefine/>
    <w:semiHidden/>
    <w:qFormat/>
    <w:locked/>
    <w:uiPriority w:val="0"/>
    <w:pPr>
      <w:ind w:left="200" w:leftChars="200" w:hanging="200" w:hangingChars="200"/>
    </w:pPr>
  </w:style>
  <w:style w:type="paragraph" w:styleId="31">
    <w:name w:val="toc 2"/>
    <w:basedOn w:val="1"/>
    <w:next w:val="10"/>
    <w:autoRedefine/>
    <w:qFormat/>
    <w:locked/>
    <w:uiPriority w:val="0"/>
    <w:pPr>
      <w:tabs>
        <w:tab w:val="right" w:leader="dot" w:pos="9060"/>
      </w:tabs>
      <w:spacing w:line="360" w:lineRule="auto"/>
      <w:ind w:left="420" w:leftChars="200"/>
    </w:pPr>
    <w:rPr>
      <w:rFonts w:ascii="Calibri" w:hAnsi="Calibri"/>
      <w:szCs w:val="144"/>
    </w:rPr>
  </w:style>
  <w:style w:type="paragraph" w:styleId="32">
    <w:name w:val="Body Text 2"/>
    <w:basedOn w:val="1"/>
    <w:link w:val="62"/>
    <w:autoRedefine/>
    <w:qFormat/>
    <w:locked/>
    <w:uiPriority w:val="0"/>
    <w:pPr>
      <w:spacing w:after="120" w:line="480" w:lineRule="auto"/>
    </w:pPr>
  </w:style>
  <w:style w:type="paragraph" w:styleId="33">
    <w:name w:val="Normal (Web)"/>
    <w:basedOn w:val="1"/>
    <w:link w:val="63"/>
    <w:autoRedefine/>
    <w:qFormat/>
    <w:uiPriority w:val="0"/>
    <w:pPr>
      <w:widowControl/>
      <w:spacing w:before="100" w:beforeAutospacing="1" w:after="100" w:afterAutospacing="1"/>
      <w:jc w:val="left"/>
    </w:pPr>
    <w:rPr>
      <w:rFonts w:ascii="宋体" w:hAnsi="宋体"/>
      <w:kern w:val="0"/>
      <w:sz w:val="24"/>
      <w:szCs w:val="20"/>
    </w:rPr>
  </w:style>
  <w:style w:type="paragraph" w:styleId="34">
    <w:name w:val="annotation subject"/>
    <w:basedOn w:val="14"/>
    <w:next w:val="14"/>
    <w:link w:val="64"/>
    <w:autoRedefine/>
    <w:semiHidden/>
    <w:qFormat/>
    <w:uiPriority w:val="0"/>
    <w:rPr>
      <w:b/>
    </w:rPr>
  </w:style>
  <w:style w:type="paragraph" w:styleId="35">
    <w:name w:val="Body Text First Indent"/>
    <w:basedOn w:val="17"/>
    <w:autoRedefine/>
    <w:qFormat/>
    <w:locked/>
    <w:uiPriority w:val="0"/>
    <w:pPr>
      <w:ind w:firstLine="420" w:firstLineChars="100"/>
    </w:pPr>
  </w:style>
  <w:style w:type="table" w:styleId="37">
    <w:name w:val="Table Grid"/>
    <w:basedOn w:val="36"/>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8">
    <w:name w:val="Table Theme"/>
    <w:basedOn w:val="36"/>
    <w:autoRedefine/>
    <w:semiHidden/>
    <w:unhideWhenUsed/>
    <w:qFormat/>
    <w:locked/>
    <w:uiPriority w:val="0"/>
    <w:pPr>
      <w:widowControl w:val="0"/>
      <w:spacing w:line="360" w:lineRule="auto"/>
      <w:ind w:firstLine="200" w:firstLineChars="200"/>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character" w:styleId="40">
    <w:name w:val="Strong"/>
    <w:basedOn w:val="39"/>
    <w:autoRedefine/>
    <w:qFormat/>
    <w:locked/>
    <w:uiPriority w:val="0"/>
    <w:rPr>
      <w:b/>
    </w:rPr>
  </w:style>
  <w:style w:type="character" w:styleId="41">
    <w:name w:val="page number"/>
    <w:autoRedefine/>
    <w:qFormat/>
    <w:locked/>
    <w:uiPriority w:val="0"/>
  </w:style>
  <w:style w:type="character" w:styleId="42">
    <w:name w:val="Emphasis"/>
    <w:autoRedefine/>
    <w:qFormat/>
    <w:locked/>
    <w:uiPriority w:val="20"/>
    <w:rPr>
      <w:i/>
      <w:iCs/>
    </w:rPr>
  </w:style>
  <w:style w:type="character" w:styleId="43">
    <w:name w:val="Hyperlink"/>
    <w:autoRedefine/>
    <w:unhideWhenUsed/>
    <w:qFormat/>
    <w:locked/>
    <w:uiPriority w:val="99"/>
    <w:rPr>
      <w:color w:val="0000FF"/>
      <w:u w:val="single"/>
    </w:rPr>
  </w:style>
  <w:style w:type="character" w:styleId="44">
    <w:name w:val="annotation reference"/>
    <w:autoRedefine/>
    <w:semiHidden/>
    <w:qFormat/>
    <w:uiPriority w:val="0"/>
    <w:rPr>
      <w:sz w:val="21"/>
    </w:rPr>
  </w:style>
  <w:style w:type="paragraph" w:customStyle="1" w:styleId="45">
    <w:name w:val="表格标题"/>
    <w:basedOn w:val="1"/>
    <w:next w:val="46"/>
    <w:link w:val="117"/>
    <w:autoRedefine/>
    <w:qFormat/>
    <w:uiPriority w:val="0"/>
    <w:pPr>
      <w:widowControl/>
      <w:numPr>
        <w:ilvl w:val="0"/>
        <w:numId w:val="2"/>
      </w:numPr>
      <w:spacing w:line="360" w:lineRule="auto"/>
      <w:jc w:val="center"/>
      <w:outlineLvl w:val="4"/>
    </w:pPr>
    <w:rPr>
      <w:b/>
      <w:kern w:val="0"/>
      <w:sz w:val="24"/>
    </w:rPr>
  </w:style>
  <w:style w:type="paragraph" w:customStyle="1" w:styleId="46">
    <w:name w:val="表格内容"/>
    <w:basedOn w:val="1"/>
    <w:next w:val="1"/>
    <w:link w:val="81"/>
    <w:autoRedefine/>
    <w:qFormat/>
    <w:uiPriority w:val="0"/>
    <w:pPr>
      <w:widowControl/>
      <w:jc w:val="center"/>
    </w:pPr>
    <w:rPr>
      <w:szCs w:val="22"/>
    </w:rPr>
  </w:style>
  <w:style w:type="paragraph" w:customStyle="1" w:styleId="47">
    <w:name w:val="111表头"/>
    <w:basedOn w:val="48"/>
    <w:link w:val="112"/>
    <w:autoRedefine/>
    <w:qFormat/>
    <w:uiPriority w:val="0"/>
    <w:pPr>
      <w:spacing w:line="240" w:lineRule="auto"/>
      <w:ind w:firstLine="0" w:firstLineChars="0"/>
      <w:jc w:val="center"/>
    </w:pPr>
    <w:rPr>
      <w:b/>
      <w:color w:val="000000" w:themeColor="text1"/>
      <w14:textFill>
        <w14:solidFill>
          <w14:schemeClr w14:val="tx1"/>
        </w14:solidFill>
      </w14:textFill>
    </w:rPr>
  </w:style>
  <w:style w:type="paragraph" w:customStyle="1" w:styleId="48">
    <w:name w:val="表正文"/>
    <w:basedOn w:val="1"/>
    <w:link w:val="76"/>
    <w:autoRedefine/>
    <w:qFormat/>
    <w:uiPriority w:val="0"/>
    <w:pPr>
      <w:widowControl/>
      <w:spacing w:line="360" w:lineRule="auto"/>
      <w:ind w:firstLine="200" w:firstLineChars="200"/>
      <w:jc w:val="left"/>
    </w:pPr>
    <w:rPr>
      <w:sz w:val="24"/>
    </w:rPr>
  </w:style>
  <w:style w:type="paragraph" w:customStyle="1" w:styleId="49">
    <w:name w:val="11111表土"/>
    <w:basedOn w:val="1"/>
    <w:link w:val="50"/>
    <w:autoRedefine/>
    <w:qFormat/>
    <w:uiPriority w:val="0"/>
    <w:pPr>
      <w:widowControl/>
      <w:adjustRightInd w:val="0"/>
      <w:snapToGrid w:val="0"/>
      <w:jc w:val="center"/>
    </w:pPr>
    <w:rPr>
      <w:b/>
      <w:kern w:val="0"/>
      <w:sz w:val="24"/>
    </w:rPr>
  </w:style>
  <w:style w:type="character" w:customStyle="1" w:styleId="50">
    <w:name w:val="11111表土 Char"/>
    <w:link w:val="49"/>
    <w:autoRedefine/>
    <w:qFormat/>
    <w:uiPriority w:val="0"/>
    <w:rPr>
      <w:rFonts w:ascii="Times New Roman" w:hAnsi="Times New Roman" w:eastAsia="宋体"/>
      <w:b/>
      <w:kern w:val="0"/>
      <w:sz w:val="24"/>
    </w:rPr>
  </w:style>
  <w:style w:type="character" w:customStyle="1" w:styleId="51">
    <w:name w:val="标题 3 字符"/>
    <w:link w:val="5"/>
    <w:autoRedefine/>
    <w:semiHidden/>
    <w:qFormat/>
    <w:uiPriority w:val="0"/>
    <w:rPr>
      <w:b/>
      <w:bCs/>
      <w:sz w:val="32"/>
      <w:szCs w:val="32"/>
    </w:rPr>
  </w:style>
  <w:style w:type="character" w:customStyle="1" w:styleId="52">
    <w:name w:val="正文缩进 字符"/>
    <w:link w:val="13"/>
    <w:autoRedefine/>
    <w:qFormat/>
    <w:uiPriority w:val="0"/>
    <w:rPr>
      <w:rFonts w:eastAsia="仿宋_GB2312"/>
      <w:sz w:val="28"/>
      <w:szCs w:val="20"/>
    </w:rPr>
  </w:style>
  <w:style w:type="character" w:customStyle="1" w:styleId="53">
    <w:name w:val="批注文字 字符"/>
    <w:link w:val="14"/>
    <w:autoRedefine/>
    <w:qFormat/>
    <w:locked/>
    <w:uiPriority w:val="0"/>
    <w:rPr>
      <w:kern w:val="0"/>
      <w:sz w:val="24"/>
      <w:szCs w:val="20"/>
    </w:rPr>
  </w:style>
  <w:style w:type="character" w:customStyle="1" w:styleId="54">
    <w:name w:val="正文文本 字符"/>
    <w:link w:val="17"/>
    <w:autoRedefine/>
    <w:qFormat/>
    <w:locked/>
    <w:uiPriority w:val="0"/>
    <w:rPr>
      <w:kern w:val="0"/>
      <w:sz w:val="18"/>
      <w:szCs w:val="20"/>
    </w:rPr>
  </w:style>
  <w:style w:type="character" w:customStyle="1" w:styleId="55">
    <w:name w:val="正文文本缩进 字符"/>
    <w:link w:val="18"/>
    <w:autoRedefine/>
    <w:semiHidden/>
    <w:qFormat/>
    <w:locked/>
    <w:uiPriority w:val="0"/>
    <w:rPr>
      <w:kern w:val="0"/>
      <w:sz w:val="24"/>
      <w:szCs w:val="20"/>
    </w:rPr>
  </w:style>
  <w:style w:type="character" w:customStyle="1" w:styleId="56">
    <w:name w:val="纯文本 字符"/>
    <w:link w:val="21"/>
    <w:autoRedefine/>
    <w:qFormat/>
    <w:uiPriority w:val="0"/>
    <w:rPr>
      <w:rFonts w:ascii="宋体" w:hAnsi="Courier New" w:cs="Courier New"/>
      <w:szCs w:val="21"/>
    </w:rPr>
  </w:style>
  <w:style w:type="character" w:customStyle="1" w:styleId="57">
    <w:name w:val="日期 字符1"/>
    <w:link w:val="22"/>
    <w:autoRedefine/>
    <w:qFormat/>
    <w:locked/>
    <w:uiPriority w:val="0"/>
    <w:rPr>
      <w:kern w:val="0"/>
      <w:sz w:val="24"/>
      <w:szCs w:val="20"/>
    </w:rPr>
  </w:style>
  <w:style w:type="character" w:customStyle="1" w:styleId="58">
    <w:name w:val="批注框文本 字符"/>
    <w:link w:val="25"/>
    <w:autoRedefine/>
    <w:semiHidden/>
    <w:qFormat/>
    <w:locked/>
    <w:uiPriority w:val="0"/>
    <w:rPr>
      <w:kern w:val="0"/>
      <w:sz w:val="18"/>
      <w:szCs w:val="20"/>
    </w:rPr>
  </w:style>
  <w:style w:type="character" w:customStyle="1" w:styleId="59">
    <w:name w:val="页脚 Char"/>
    <w:autoRedefine/>
    <w:qFormat/>
    <w:locked/>
    <w:uiPriority w:val="99"/>
    <w:rPr>
      <w:kern w:val="0"/>
      <w:sz w:val="18"/>
      <w:szCs w:val="20"/>
    </w:rPr>
  </w:style>
  <w:style w:type="character" w:customStyle="1" w:styleId="60">
    <w:name w:val="页眉 Char"/>
    <w:autoRedefine/>
    <w:qFormat/>
    <w:locked/>
    <w:uiPriority w:val="0"/>
    <w:rPr>
      <w:kern w:val="0"/>
      <w:sz w:val="18"/>
      <w:szCs w:val="20"/>
    </w:rPr>
  </w:style>
  <w:style w:type="character" w:customStyle="1" w:styleId="61">
    <w:name w:val="正文文本缩进 3 字符"/>
    <w:link w:val="29"/>
    <w:autoRedefine/>
    <w:qFormat/>
    <w:uiPriority w:val="0"/>
    <w:rPr>
      <w:sz w:val="24"/>
    </w:rPr>
  </w:style>
  <w:style w:type="character" w:customStyle="1" w:styleId="62">
    <w:name w:val="正文文本 2 字符"/>
    <w:link w:val="32"/>
    <w:autoRedefine/>
    <w:qFormat/>
    <w:uiPriority w:val="0"/>
  </w:style>
  <w:style w:type="character" w:customStyle="1" w:styleId="63">
    <w:name w:val="普通(网站) 字符"/>
    <w:link w:val="33"/>
    <w:autoRedefine/>
    <w:qFormat/>
    <w:locked/>
    <w:uiPriority w:val="0"/>
    <w:rPr>
      <w:rFonts w:ascii="宋体" w:hAnsi="宋体"/>
      <w:kern w:val="0"/>
      <w:sz w:val="24"/>
      <w:szCs w:val="20"/>
    </w:rPr>
  </w:style>
  <w:style w:type="character" w:customStyle="1" w:styleId="64">
    <w:name w:val="批注主题 字符"/>
    <w:link w:val="34"/>
    <w:autoRedefine/>
    <w:semiHidden/>
    <w:qFormat/>
    <w:locked/>
    <w:uiPriority w:val="0"/>
    <w:rPr>
      <w:b/>
      <w:sz w:val="24"/>
      <w:szCs w:val="20"/>
    </w:rPr>
  </w:style>
  <w:style w:type="character" w:customStyle="1" w:styleId="65">
    <w:name w:val="表表表表 Char"/>
    <w:link w:val="66"/>
    <w:autoRedefine/>
    <w:qFormat/>
    <w:uiPriority w:val="0"/>
    <w:rPr>
      <w:rFonts w:eastAsia="方正楷体简体"/>
      <w:kern w:val="2"/>
      <w:sz w:val="21"/>
      <w:szCs w:val="21"/>
    </w:rPr>
  </w:style>
  <w:style w:type="paragraph" w:customStyle="1" w:styleId="66">
    <w:name w:val="表表表表"/>
    <w:basedOn w:val="1"/>
    <w:link w:val="65"/>
    <w:autoRedefine/>
    <w:qFormat/>
    <w:uiPriority w:val="0"/>
    <w:pPr>
      <w:widowControl/>
      <w:jc w:val="center"/>
    </w:pPr>
    <w:rPr>
      <w:rFonts w:eastAsia="方正楷体简体"/>
      <w:szCs w:val="21"/>
    </w:rPr>
  </w:style>
  <w:style w:type="character" w:customStyle="1" w:styleId="67">
    <w:name w:val="111表格的格式 Char"/>
    <w:link w:val="68"/>
    <w:autoRedefine/>
    <w:qFormat/>
    <w:uiPriority w:val="0"/>
    <w:rPr>
      <w:kern w:val="2"/>
      <w:sz w:val="21"/>
      <w:szCs w:val="24"/>
    </w:rPr>
  </w:style>
  <w:style w:type="paragraph" w:customStyle="1" w:styleId="68">
    <w:name w:val="111表格的格式"/>
    <w:basedOn w:val="69"/>
    <w:link w:val="67"/>
    <w:autoRedefine/>
    <w:qFormat/>
    <w:uiPriority w:val="0"/>
    <w:pPr>
      <w:adjustRightInd w:val="0"/>
    </w:pPr>
    <w:rPr>
      <w:kern w:val="2"/>
      <w:sz w:val="21"/>
      <w:szCs w:val="24"/>
    </w:rPr>
  </w:style>
  <w:style w:type="paragraph" w:customStyle="1" w:styleId="69">
    <w:name w:val="规范表格文"/>
    <w:basedOn w:val="17"/>
    <w:autoRedefine/>
    <w:qFormat/>
    <w:uiPriority w:val="0"/>
    <w:pPr>
      <w:spacing w:after="0"/>
      <w:jc w:val="center"/>
    </w:pPr>
  </w:style>
  <w:style w:type="character" w:customStyle="1" w:styleId="70">
    <w:name w:val="表哥的格式 Char"/>
    <w:link w:val="71"/>
    <w:autoRedefine/>
    <w:qFormat/>
    <w:uiPriority w:val="0"/>
    <w:rPr>
      <w:sz w:val="21"/>
      <w:szCs w:val="21"/>
    </w:rPr>
  </w:style>
  <w:style w:type="paragraph" w:customStyle="1" w:styleId="71">
    <w:name w:val="表哥的格式"/>
    <w:basedOn w:val="1"/>
    <w:link w:val="70"/>
    <w:autoRedefine/>
    <w:qFormat/>
    <w:uiPriority w:val="0"/>
    <w:pPr>
      <w:widowControl/>
      <w:autoSpaceDE w:val="0"/>
      <w:autoSpaceDN w:val="0"/>
      <w:adjustRightInd w:val="0"/>
      <w:snapToGrid w:val="0"/>
      <w:spacing w:line="360" w:lineRule="auto"/>
      <w:ind w:firstLine="200" w:firstLineChars="200"/>
      <w:jc w:val="center"/>
    </w:pPr>
    <w:rPr>
      <w:szCs w:val="21"/>
    </w:rPr>
  </w:style>
  <w:style w:type="character" w:customStyle="1" w:styleId="72">
    <w:name w:val="22标题2 Char"/>
    <w:link w:val="73"/>
    <w:autoRedefine/>
    <w:qFormat/>
    <w:uiPriority w:val="0"/>
    <w:rPr>
      <w:rFonts w:ascii="Times New Roman" w:hAnsi="Times New Roman" w:eastAsia="宋体" w:cs="宋体"/>
      <w:b/>
      <w:bCs/>
      <w:color w:val="000000" w:themeColor="text1"/>
      <w:kern w:val="2"/>
      <w:sz w:val="30"/>
      <w:szCs w:val="30"/>
      <w:lang w:val="en-US" w:eastAsia="zh-CN" w:bidi="ar-SA"/>
      <w14:textFill>
        <w14:solidFill>
          <w14:schemeClr w14:val="tx1"/>
        </w14:solidFill>
      </w14:textFill>
    </w:rPr>
  </w:style>
  <w:style w:type="paragraph" w:customStyle="1" w:styleId="73">
    <w:name w:val="22标题2"/>
    <w:basedOn w:val="74"/>
    <w:link w:val="72"/>
    <w:autoRedefine/>
    <w:qFormat/>
    <w:uiPriority w:val="0"/>
    <w:pPr>
      <w:adjustRightInd w:val="0"/>
      <w:snapToGrid w:val="0"/>
    </w:pPr>
    <w:rPr>
      <w:rFonts w:eastAsia="宋体" w:cs="宋体"/>
      <w:b/>
      <w:bCs/>
      <w:color w:val="000000" w:themeColor="text1"/>
      <w14:textFill>
        <w14:solidFill>
          <w14:schemeClr w14:val="tx1"/>
        </w14:solidFill>
      </w14:textFill>
    </w:rPr>
  </w:style>
  <w:style w:type="paragraph" w:customStyle="1" w:styleId="74">
    <w:name w:val="标题2"/>
    <w:basedOn w:val="21"/>
    <w:link w:val="75"/>
    <w:autoRedefine/>
    <w:qFormat/>
    <w:uiPriority w:val="0"/>
    <w:pPr>
      <w:spacing w:line="360" w:lineRule="auto"/>
      <w:outlineLvl w:val="1"/>
    </w:pPr>
    <w:rPr>
      <w:rFonts w:ascii="Times New Roman" w:hAnsi="Times New Roman" w:eastAsia="黑体" w:cs="Times New Roman"/>
      <w:sz w:val="30"/>
      <w:szCs w:val="30"/>
    </w:rPr>
  </w:style>
  <w:style w:type="character" w:customStyle="1" w:styleId="75">
    <w:name w:val="标题2 Char"/>
    <w:link w:val="74"/>
    <w:autoRedefine/>
    <w:qFormat/>
    <w:locked/>
    <w:uiPriority w:val="0"/>
    <w:rPr>
      <w:rFonts w:ascii="Times New Roman" w:hAnsi="Times New Roman" w:eastAsia="黑体" w:cs="Times New Roman"/>
      <w:sz w:val="30"/>
      <w:szCs w:val="30"/>
    </w:rPr>
  </w:style>
  <w:style w:type="character" w:customStyle="1" w:styleId="76">
    <w:name w:val="表正文 Char"/>
    <w:link w:val="48"/>
    <w:autoRedefine/>
    <w:qFormat/>
    <w:uiPriority w:val="0"/>
    <w:rPr>
      <w:sz w:val="24"/>
    </w:rPr>
  </w:style>
  <w:style w:type="character" w:customStyle="1" w:styleId="77">
    <w:name w:val="正文111 Char"/>
    <w:link w:val="78"/>
    <w:autoRedefine/>
    <w:qFormat/>
    <w:uiPriority w:val="0"/>
  </w:style>
  <w:style w:type="paragraph" w:customStyle="1" w:styleId="78">
    <w:name w:val="正文111"/>
    <w:basedOn w:val="79"/>
    <w:link w:val="77"/>
    <w:autoRedefine/>
    <w:qFormat/>
    <w:uiPriority w:val="0"/>
    <w:pPr>
      <w:ind w:firstLine="480"/>
    </w:pPr>
  </w:style>
  <w:style w:type="paragraph" w:customStyle="1" w:styleId="79">
    <w:name w:val="正文的格式52"/>
    <w:basedOn w:val="1"/>
    <w:link w:val="80"/>
    <w:autoRedefine/>
    <w:qFormat/>
    <w:uiPriority w:val="0"/>
    <w:pPr>
      <w:spacing w:line="360" w:lineRule="auto"/>
      <w:ind w:firstLine="200" w:firstLineChars="200"/>
    </w:pPr>
    <w:rPr>
      <w:kern w:val="0"/>
      <w:sz w:val="24"/>
      <w:szCs w:val="20"/>
    </w:rPr>
  </w:style>
  <w:style w:type="character" w:customStyle="1" w:styleId="80">
    <w:name w:val="正文的格式52 Char"/>
    <w:link w:val="79"/>
    <w:autoRedefine/>
    <w:qFormat/>
    <w:locked/>
    <w:uiPriority w:val="0"/>
    <w:rPr>
      <w:kern w:val="0"/>
      <w:sz w:val="24"/>
      <w:szCs w:val="20"/>
    </w:rPr>
  </w:style>
  <w:style w:type="character" w:customStyle="1" w:styleId="81">
    <w:name w:val="表格内容 Char"/>
    <w:link w:val="46"/>
    <w:autoRedefine/>
    <w:qFormat/>
    <w:uiPriority w:val="0"/>
    <w:rPr>
      <w:szCs w:val="22"/>
    </w:rPr>
  </w:style>
  <w:style w:type="character" w:customStyle="1" w:styleId="82">
    <w:name w:val="日期 字符"/>
    <w:autoRedefine/>
    <w:semiHidden/>
    <w:qFormat/>
    <w:uiPriority w:val="0"/>
    <w:rPr>
      <w:rFonts w:ascii="Times New Roman" w:hAnsi="Times New Roman" w:eastAsia="宋体"/>
      <w:sz w:val="24"/>
    </w:rPr>
  </w:style>
  <w:style w:type="character" w:customStyle="1" w:styleId="83">
    <w:name w:val="表头111 Char"/>
    <w:link w:val="84"/>
    <w:autoRedefine/>
    <w:qFormat/>
    <w:uiPriority w:val="0"/>
    <w:rPr>
      <w:rFonts w:eastAsia="黑体"/>
      <w:color w:val="000000"/>
      <w:kern w:val="2"/>
      <w:sz w:val="24"/>
      <w:szCs w:val="24"/>
    </w:rPr>
  </w:style>
  <w:style w:type="paragraph" w:customStyle="1" w:styleId="84">
    <w:name w:val="表头111"/>
    <w:basedOn w:val="1"/>
    <w:link w:val="83"/>
    <w:autoRedefine/>
    <w:qFormat/>
    <w:uiPriority w:val="0"/>
    <w:pPr>
      <w:jc w:val="center"/>
    </w:pPr>
    <w:rPr>
      <w:rFonts w:eastAsia="黑体"/>
      <w:color w:val="000000"/>
      <w:sz w:val="24"/>
    </w:rPr>
  </w:style>
  <w:style w:type="character" w:customStyle="1" w:styleId="85">
    <w:name w:val="页脚 字符"/>
    <w:link w:val="26"/>
    <w:autoRedefine/>
    <w:qFormat/>
    <w:uiPriority w:val="99"/>
    <w:rPr>
      <w:kern w:val="0"/>
      <w:sz w:val="18"/>
      <w:szCs w:val="20"/>
    </w:rPr>
  </w:style>
  <w:style w:type="character" w:customStyle="1" w:styleId="86">
    <w:name w:val="正文11111111111 Char Char"/>
    <w:link w:val="87"/>
    <w:autoRedefine/>
    <w:qFormat/>
    <w:uiPriority w:val="0"/>
    <w:rPr>
      <w:rFonts w:ascii="宋体" w:hAnsi="宋体"/>
      <w:kern w:val="2"/>
      <w:sz w:val="24"/>
      <w:szCs w:val="24"/>
    </w:rPr>
  </w:style>
  <w:style w:type="paragraph" w:customStyle="1" w:styleId="87">
    <w:name w:val="正文11111111111"/>
    <w:basedOn w:val="1"/>
    <w:link w:val="86"/>
    <w:autoRedefine/>
    <w:qFormat/>
    <w:uiPriority w:val="0"/>
    <w:pPr>
      <w:widowControl/>
      <w:spacing w:line="360" w:lineRule="auto"/>
      <w:ind w:firstLine="480" w:firstLineChars="200"/>
      <w:jc w:val="left"/>
    </w:pPr>
    <w:rPr>
      <w:rFonts w:ascii="宋体" w:hAnsi="宋体"/>
      <w:sz w:val="24"/>
    </w:rPr>
  </w:style>
  <w:style w:type="character" w:customStyle="1" w:styleId="88">
    <w:name w:val="333标题3 Char"/>
    <w:link w:val="89"/>
    <w:autoRedefine/>
    <w:qFormat/>
    <w:uiPriority w:val="0"/>
    <w:rPr>
      <w:rFonts w:eastAsia="黑体" w:cs="宋体"/>
      <w:bCs/>
      <w:spacing w:val="-10"/>
      <w:kern w:val="2"/>
      <w:sz w:val="28"/>
      <w:szCs w:val="21"/>
    </w:rPr>
  </w:style>
  <w:style w:type="paragraph" w:customStyle="1" w:styleId="89">
    <w:name w:val="333标题3"/>
    <w:basedOn w:val="1"/>
    <w:link w:val="88"/>
    <w:autoRedefine/>
    <w:qFormat/>
    <w:uiPriority w:val="0"/>
    <w:pPr>
      <w:adjustRightInd w:val="0"/>
      <w:snapToGrid w:val="0"/>
      <w:spacing w:line="360" w:lineRule="auto"/>
      <w:outlineLvl w:val="2"/>
    </w:pPr>
    <w:rPr>
      <w:rFonts w:eastAsia="黑体" w:cs="宋体"/>
      <w:bCs/>
      <w:spacing w:val="-10"/>
      <w:sz w:val="28"/>
      <w:szCs w:val="21"/>
    </w:rPr>
  </w:style>
  <w:style w:type="character" w:customStyle="1" w:styleId="90">
    <w:name w:val="11正文 Char"/>
    <w:link w:val="91"/>
    <w:autoRedefine/>
    <w:qFormat/>
    <w:uiPriority w:val="0"/>
  </w:style>
  <w:style w:type="paragraph" w:customStyle="1" w:styleId="91">
    <w:name w:val="11正文"/>
    <w:basedOn w:val="78"/>
    <w:link w:val="90"/>
    <w:autoRedefine/>
    <w:qFormat/>
    <w:uiPriority w:val="0"/>
  </w:style>
  <w:style w:type="character" w:customStyle="1" w:styleId="92">
    <w:name w:val="111表格 Char"/>
    <w:link w:val="93"/>
    <w:autoRedefine/>
    <w:qFormat/>
    <w:uiPriority w:val="0"/>
    <w:rPr>
      <w:rFonts w:cs="宋体"/>
      <w:sz w:val="21"/>
      <w:szCs w:val="21"/>
    </w:rPr>
  </w:style>
  <w:style w:type="paragraph" w:customStyle="1" w:styleId="93">
    <w:name w:val="111表格"/>
    <w:basedOn w:val="1"/>
    <w:link w:val="92"/>
    <w:autoRedefine/>
    <w:qFormat/>
    <w:uiPriority w:val="0"/>
    <w:pPr>
      <w:autoSpaceDE w:val="0"/>
      <w:autoSpaceDN w:val="0"/>
      <w:adjustRightInd w:val="0"/>
      <w:snapToGrid w:val="0"/>
      <w:spacing w:line="360" w:lineRule="auto"/>
      <w:ind w:firstLine="200" w:firstLineChars="200"/>
    </w:pPr>
    <w:rPr>
      <w:rFonts w:cs="宋体"/>
      <w:szCs w:val="21"/>
    </w:rPr>
  </w:style>
  <w:style w:type="character" w:customStyle="1" w:styleId="94">
    <w:name w:val="111正文 Char"/>
    <w:link w:val="95"/>
    <w:autoRedefine/>
    <w:qFormat/>
    <w:uiPriority w:val="0"/>
    <w:rPr>
      <w:color w:val="C00000"/>
      <w:sz w:val="24"/>
      <w:szCs w:val="32"/>
    </w:rPr>
  </w:style>
  <w:style w:type="paragraph" w:customStyle="1" w:styleId="95">
    <w:name w:val="111正文"/>
    <w:basedOn w:val="1"/>
    <w:link w:val="94"/>
    <w:autoRedefine/>
    <w:qFormat/>
    <w:uiPriority w:val="0"/>
    <w:pPr>
      <w:widowControl/>
      <w:tabs>
        <w:tab w:val="left" w:pos="7276"/>
      </w:tabs>
      <w:adjustRightInd w:val="0"/>
      <w:snapToGrid w:val="0"/>
      <w:spacing w:line="360" w:lineRule="auto"/>
      <w:ind w:firstLine="480" w:firstLineChars="200"/>
      <w:jc w:val="left"/>
    </w:pPr>
    <w:rPr>
      <w:color w:val="C00000"/>
      <w:sz w:val="24"/>
      <w:szCs w:val="32"/>
    </w:rPr>
  </w:style>
  <w:style w:type="character" w:customStyle="1" w:styleId="96">
    <w:name w:val="111正文的格式 Char"/>
    <w:link w:val="97"/>
    <w:autoRedefine/>
    <w:qFormat/>
    <w:uiPriority w:val="0"/>
    <w:rPr>
      <w:color w:val="0000FF"/>
      <w:kern w:val="2"/>
      <w:sz w:val="24"/>
      <w:szCs w:val="24"/>
    </w:rPr>
  </w:style>
  <w:style w:type="paragraph" w:customStyle="1" w:styleId="97">
    <w:name w:val="111正文的格式"/>
    <w:basedOn w:val="1"/>
    <w:link w:val="96"/>
    <w:autoRedefine/>
    <w:qFormat/>
    <w:uiPriority w:val="0"/>
    <w:pPr>
      <w:adjustRightInd w:val="0"/>
      <w:snapToGrid w:val="0"/>
      <w:spacing w:line="360" w:lineRule="auto"/>
      <w:ind w:firstLine="200" w:firstLineChars="200"/>
    </w:pPr>
    <w:rPr>
      <w:color w:val="0000FF"/>
      <w:sz w:val="24"/>
    </w:rPr>
  </w:style>
  <w:style w:type="character" w:customStyle="1" w:styleId="98">
    <w:name w:val="标题111 Char"/>
    <w:link w:val="99"/>
    <w:autoRedefine/>
    <w:qFormat/>
    <w:uiPriority w:val="0"/>
    <w:rPr>
      <w:rFonts w:ascii="宋体" w:hAnsi="宋体" w:eastAsia="黑体"/>
      <w:snapToGrid/>
      <w:sz w:val="32"/>
      <w:szCs w:val="30"/>
    </w:rPr>
  </w:style>
  <w:style w:type="paragraph" w:customStyle="1" w:styleId="99">
    <w:name w:val="标题111"/>
    <w:basedOn w:val="33"/>
    <w:link w:val="98"/>
    <w:autoRedefine/>
    <w:qFormat/>
    <w:uiPriority w:val="0"/>
    <w:pPr>
      <w:adjustRightInd w:val="0"/>
      <w:snapToGrid w:val="0"/>
      <w:spacing w:before="0" w:beforeAutospacing="0" w:after="0" w:afterAutospacing="0" w:line="360" w:lineRule="auto"/>
      <w:jc w:val="center"/>
      <w:outlineLvl w:val="0"/>
    </w:pPr>
    <w:rPr>
      <w:rFonts w:eastAsia="黑体"/>
      <w:sz w:val="32"/>
      <w:szCs w:val="30"/>
    </w:rPr>
  </w:style>
  <w:style w:type="character" w:customStyle="1" w:styleId="100">
    <w:name w:val="表格 Char"/>
    <w:link w:val="101"/>
    <w:autoRedefine/>
    <w:qFormat/>
    <w:locked/>
    <w:uiPriority w:val="0"/>
    <w:rPr>
      <w:rFonts w:ascii="宋体"/>
      <w:sz w:val="21"/>
    </w:rPr>
  </w:style>
  <w:style w:type="paragraph" w:customStyle="1" w:styleId="101">
    <w:name w:val="表格"/>
    <w:basedOn w:val="1"/>
    <w:next w:val="1"/>
    <w:link w:val="100"/>
    <w:autoRedefine/>
    <w:qFormat/>
    <w:uiPriority w:val="0"/>
    <w:pPr>
      <w:adjustRightInd w:val="0"/>
      <w:snapToGrid w:val="0"/>
      <w:spacing w:beforeLines="10" w:afterLines="10" w:line="259" w:lineRule="auto"/>
      <w:jc w:val="center"/>
    </w:pPr>
    <w:rPr>
      <w:rFonts w:ascii="宋体"/>
    </w:rPr>
  </w:style>
  <w:style w:type="character" w:customStyle="1" w:styleId="102">
    <w:name w:val="0正文 Char"/>
    <w:link w:val="103"/>
    <w:autoRedefine/>
    <w:qFormat/>
    <w:uiPriority w:val="0"/>
    <w:rPr>
      <w:sz w:val="24"/>
      <w:szCs w:val="22"/>
    </w:rPr>
  </w:style>
  <w:style w:type="paragraph" w:customStyle="1" w:styleId="103">
    <w:name w:val="0正文"/>
    <w:basedOn w:val="18"/>
    <w:link w:val="102"/>
    <w:autoRedefine/>
    <w:unhideWhenUsed/>
    <w:qFormat/>
    <w:uiPriority w:val="0"/>
    <w:pPr>
      <w:spacing w:line="360" w:lineRule="auto"/>
      <w:ind w:firstLine="720" w:firstLineChars="200"/>
    </w:pPr>
    <w:rPr>
      <w:szCs w:val="22"/>
    </w:rPr>
  </w:style>
  <w:style w:type="character" w:customStyle="1" w:styleId="104">
    <w:name w:val="22表格 Char"/>
    <w:link w:val="105"/>
    <w:autoRedefine/>
    <w:qFormat/>
    <w:uiPriority w:val="0"/>
    <w:rPr>
      <w:rFonts w:eastAsia="方正楷体简体"/>
      <w:color w:val="000000"/>
      <w:kern w:val="2"/>
      <w:sz w:val="21"/>
      <w:szCs w:val="21"/>
    </w:rPr>
  </w:style>
  <w:style w:type="paragraph" w:customStyle="1" w:styleId="105">
    <w:name w:val="22表格"/>
    <w:basedOn w:val="66"/>
    <w:link w:val="104"/>
    <w:autoRedefine/>
    <w:qFormat/>
    <w:uiPriority w:val="0"/>
    <w:pPr>
      <w:adjustRightInd w:val="0"/>
      <w:snapToGrid w:val="0"/>
      <w:textAlignment w:val="center"/>
    </w:pPr>
    <w:rPr>
      <w:color w:val="000000"/>
    </w:rPr>
  </w:style>
  <w:style w:type="character" w:customStyle="1" w:styleId="106">
    <w:name w:val="批注文字 字符1"/>
    <w:autoRedefine/>
    <w:semiHidden/>
    <w:qFormat/>
    <w:uiPriority w:val="0"/>
    <w:rPr>
      <w:rFonts w:ascii="Times New Roman" w:hAnsi="Times New Roman" w:eastAsia="宋体"/>
      <w:sz w:val="24"/>
    </w:rPr>
  </w:style>
  <w:style w:type="character" w:customStyle="1" w:styleId="107">
    <w:name w:val="正文格式111 Char"/>
    <w:link w:val="108"/>
    <w:autoRedefine/>
    <w:qFormat/>
    <w:locked/>
    <w:uiPriority w:val="0"/>
    <w:rPr>
      <w:bCs/>
      <w:sz w:val="24"/>
      <w:szCs w:val="24"/>
    </w:rPr>
  </w:style>
  <w:style w:type="paragraph" w:customStyle="1" w:styleId="108">
    <w:name w:val="正文格式111"/>
    <w:basedOn w:val="1"/>
    <w:link w:val="107"/>
    <w:autoRedefine/>
    <w:qFormat/>
    <w:uiPriority w:val="0"/>
    <w:pPr>
      <w:widowControl/>
      <w:spacing w:line="420" w:lineRule="auto"/>
      <w:ind w:firstLine="480" w:firstLineChars="200"/>
      <w:jc w:val="left"/>
    </w:pPr>
    <w:rPr>
      <w:bCs/>
      <w:sz w:val="24"/>
    </w:rPr>
  </w:style>
  <w:style w:type="character" w:customStyle="1" w:styleId="109">
    <w:name w:val="图文标题 Char"/>
    <w:link w:val="110"/>
    <w:autoRedefine/>
    <w:qFormat/>
    <w:uiPriority w:val="0"/>
    <w:rPr>
      <w:rFonts w:ascii="Arial" w:hAnsi="Arial"/>
      <w:b/>
      <w:kern w:val="2"/>
      <w:sz w:val="24"/>
      <w:szCs w:val="22"/>
    </w:rPr>
  </w:style>
  <w:style w:type="paragraph" w:customStyle="1" w:styleId="110">
    <w:name w:val="图文标题"/>
    <w:basedOn w:val="1"/>
    <w:next w:val="1"/>
    <w:link w:val="109"/>
    <w:autoRedefine/>
    <w:qFormat/>
    <w:uiPriority w:val="0"/>
    <w:pPr>
      <w:widowControl/>
      <w:spacing w:line="360" w:lineRule="auto"/>
      <w:jc w:val="center"/>
    </w:pPr>
    <w:rPr>
      <w:rFonts w:ascii="Arial" w:hAnsi="Arial"/>
      <w:b/>
      <w:sz w:val="24"/>
      <w:szCs w:val="22"/>
    </w:rPr>
  </w:style>
  <w:style w:type="character" w:customStyle="1" w:styleId="111">
    <w:name w:val="正文文本 字符1"/>
    <w:autoRedefine/>
    <w:semiHidden/>
    <w:qFormat/>
    <w:uiPriority w:val="0"/>
    <w:rPr>
      <w:rFonts w:ascii="Times New Roman" w:hAnsi="Times New Roman" w:eastAsia="宋体"/>
      <w:sz w:val="24"/>
    </w:rPr>
  </w:style>
  <w:style w:type="character" w:customStyle="1" w:styleId="112">
    <w:name w:val="111表头 Char"/>
    <w:link w:val="47"/>
    <w:autoRedefine/>
    <w:qFormat/>
    <w:uiPriority w:val="0"/>
    <w:rPr>
      <w:rFonts w:ascii="Times New Roman" w:hAnsi="Times New Roman" w:eastAsia="宋体"/>
      <w:b/>
      <w:color w:val="000000" w:themeColor="text1"/>
      <w14:textFill>
        <w14:solidFill>
          <w14:schemeClr w14:val="tx1"/>
        </w14:solidFill>
      </w14:textFill>
    </w:rPr>
  </w:style>
  <w:style w:type="character" w:customStyle="1" w:styleId="113">
    <w:name w:val="表格的格式 Char"/>
    <w:link w:val="114"/>
    <w:autoRedefine/>
    <w:qFormat/>
    <w:locked/>
    <w:uiPriority w:val="0"/>
    <w:rPr>
      <w:szCs w:val="21"/>
    </w:rPr>
  </w:style>
  <w:style w:type="paragraph" w:customStyle="1" w:styleId="114">
    <w:name w:val="表格的格式"/>
    <w:basedOn w:val="1"/>
    <w:link w:val="113"/>
    <w:autoRedefine/>
    <w:qFormat/>
    <w:uiPriority w:val="0"/>
    <w:pPr>
      <w:jc w:val="center"/>
    </w:pPr>
    <w:rPr>
      <w:szCs w:val="21"/>
    </w:rPr>
  </w:style>
  <w:style w:type="character" w:customStyle="1" w:styleId="115">
    <w:name w:val="44标题444 Char"/>
    <w:link w:val="116"/>
    <w:autoRedefine/>
    <w:qFormat/>
    <w:uiPriority w:val="0"/>
    <w:rPr>
      <w:rFonts w:eastAsia="黑体" w:cs="宋体"/>
      <w:bCs/>
      <w:spacing w:val="-10"/>
      <w:kern w:val="2"/>
      <w:sz w:val="24"/>
      <w:szCs w:val="21"/>
    </w:rPr>
  </w:style>
  <w:style w:type="paragraph" w:customStyle="1" w:styleId="116">
    <w:name w:val="44标题444"/>
    <w:basedOn w:val="1"/>
    <w:link w:val="115"/>
    <w:autoRedefine/>
    <w:qFormat/>
    <w:uiPriority w:val="0"/>
    <w:pPr>
      <w:adjustRightInd w:val="0"/>
      <w:snapToGrid w:val="0"/>
      <w:spacing w:line="360" w:lineRule="auto"/>
      <w:outlineLvl w:val="3"/>
    </w:pPr>
    <w:rPr>
      <w:rFonts w:eastAsia="黑体" w:cs="宋体"/>
      <w:bCs/>
      <w:spacing w:val="-10"/>
      <w:sz w:val="24"/>
      <w:szCs w:val="21"/>
    </w:rPr>
  </w:style>
  <w:style w:type="character" w:customStyle="1" w:styleId="117">
    <w:name w:val="表格标题 Char1"/>
    <w:link w:val="45"/>
    <w:autoRedefine/>
    <w:qFormat/>
    <w:uiPriority w:val="0"/>
    <w:rPr>
      <w:b/>
      <w:kern w:val="0"/>
      <w:sz w:val="24"/>
    </w:rPr>
  </w:style>
  <w:style w:type="character" w:customStyle="1" w:styleId="118">
    <w:name w:val="curpage"/>
    <w:autoRedefine/>
    <w:qFormat/>
    <w:uiPriority w:val="0"/>
    <w:rPr>
      <w:rFonts w:ascii="Times New Roman" w:hAnsi="Times New Roman" w:eastAsia="宋体" w:cs="Times New Roman"/>
      <w:color w:val="D03425"/>
      <w:sz w:val="21"/>
      <w:szCs w:val="24"/>
    </w:rPr>
  </w:style>
  <w:style w:type="character" w:customStyle="1" w:styleId="119">
    <w:name w:val="111 Char"/>
    <w:link w:val="120"/>
    <w:autoRedefine/>
    <w:qFormat/>
    <w:uiPriority w:val="0"/>
    <w:rPr>
      <w:iCs/>
      <w:kern w:val="2"/>
      <w:sz w:val="24"/>
      <w:szCs w:val="22"/>
    </w:rPr>
  </w:style>
  <w:style w:type="paragraph" w:customStyle="1" w:styleId="120">
    <w:name w:val="111"/>
    <w:basedOn w:val="1"/>
    <w:link w:val="119"/>
    <w:autoRedefine/>
    <w:qFormat/>
    <w:uiPriority w:val="0"/>
    <w:pPr>
      <w:adjustRightInd w:val="0"/>
      <w:snapToGrid w:val="0"/>
      <w:ind w:right="862"/>
      <w:jc w:val="left"/>
    </w:pPr>
    <w:rPr>
      <w:iCs/>
      <w:sz w:val="24"/>
      <w:szCs w:val="22"/>
    </w:rPr>
  </w:style>
  <w:style w:type="character" w:customStyle="1" w:styleId="121">
    <w:name w:val="111正文格式111 Char"/>
    <w:link w:val="122"/>
    <w:autoRedefine/>
    <w:qFormat/>
    <w:uiPriority w:val="0"/>
    <w:rPr>
      <w:rFonts w:ascii="Times New Roman" w:hAnsi="Times New Roman" w:eastAsia="宋体"/>
      <w:bCs/>
      <w:kern w:val="2"/>
      <w:sz w:val="24"/>
      <w:szCs w:val="24"/>
    </w:rPr>
  </w:style>
  <w:style w:type="paragraph" w:customStyle="1" w:styleId="122">
    <w:name w:val="111正文格式111"/>
    <w:basedOn w:val="1"/>
    <w:link w:val="121"/>
    <w:autoRedefine/>
    <w:qFormat/>
    <w:uiPriority w:val="0"/>
    <w:pPr>
      <w:adjustRightInd w:val="0"/>
      <w:snapToGrid w:val="0"/>
      <w:spacing w:line="360" w:lineRule="auto"/>
      <w:ind w:firstLine="200" w:firstLineChars="200"/>
    </w:pPr>
    <w:rPr>
      <w:bCs/>
      <w:sz w:val="24"/>
    </w:rPr>
  </w:style>
  <w:style w:type="character" w:customStyle="1" w:styleId="123">
    <w:name w:val="正文 ylp Char Char"/>
    <w:link w:val="124"/>
    <w:autoRedefine/>
    <w:qFormat/>
    <w:uiPriority w:val="0"/>
    <w:rPr>
      <w:color w:val="0000FF"/>
      <w:kern w:val="2"/>
      <w:sz w:val="24"/>
      <w:szCs w:val="22"/>
    </w:rPr>
  </w:style>
  <w:style w:type="paragraph" w:customStyle="1" w:styleId="124">
    <w:name w:val="正文 ylp"/>
    <w:basedOn w:val="1"/>
    <w:link w:val="123"/>
    <w:autoRedefine/>
    <w:qFormat/>
    <w:uiPriority w:val="0"/>
    <w:pPr>
      <w:spacing w:line="360" w:lineRule="auto"/>
      <w:ind w:firstLine="200" w:firstLineChars="200"/>
      <w:jc w:val="left"/>
    </w:pPr>
    <w:rPr>
      <w:color w:val="0000FF"/>
      <w:sz w:val="24"/>
      <w:szCs w:val="22"/>
    </w:rPr>
  </w:style>
  <w:style w:type="character" w:customStyle="1" w:styleId="125">
    <w:name w:val="表哥哥哥哥哥哥哥哥 Char"/>
    <w:link w:val="126"/>
    <w:autoRedefine/>
    <w:qFormat/>
    <w:uiPriority w:val="0"/>
    <w:rPr>
      <w:szCs w:val="21"/>
    </w:rPr>
  </w:style>
  <w:style w:type="paragraph" w:customStyle="1" w:styleId="126">
    <w:name w:val="表哥哥哥哥哥哥哥哥"/>
    <w:basedOn w:val="1"/>
    <w:link w:val="125"/>
    <w:autoRedefine/>
    <w:qFormat/>
    <w:uiPriority w:val="0"/>
    <w:pPr>
      <w:jc w:val="center"/>
    </w:pPr>
    <w:rPr>
      <w:szCs w:val="21"/>
    </w:rPr>
  </w:style>
  <w:style w:type="character" w:customStyle="1" w:styleId="127">
    <w:name w:val="表头 ylp Char Char"/>
    <w:link w:val="128"/>
    <w:autoRedefine/>
    <w:qFormat/>
    <w:uiPriority w:val="0"/>
    <w:rPr>
      <w:rFonts w:eastAsia="黑体"/>
      <w:color w:val="0000FF"/>
      <w:sz w:val="24"/>
      <w:szCs w:val="24"/>
      <w:lang w:bidi="he-IL"/>
    </w:rPr>
  </w:style>
  <w:style w:type="paragraph" w:customStyle="1" w:styleId="128">
    <w:name w:val="表头 ylp"/>
    <w:basedOn w:val="1"/>
    <w:link w:val="127"/>
    <w:autoRedefine/>
    <w:qFormat/>
    <w:uiPriority w:val="0"/>
    <w:pPr>
      <w:jc w:val="center"/>
    </w:pPr>
    <w:rPr>
      <w:rFonts w:eastAsia="黑体"/>
      <w:color w:val="0000FF"/>
      <w:sz w:val="24"/>
      <w:lang w:bidi="he-IL"/>
    </w:rPr>
  </w:style>
  <w:style w:type="character" w:customStyle="1" w:styleId="129">
    <w:name w:val="标题33 Char"/>
    <w:link w:val="130"/>
    <w:autoRedefine/>
    <w:qFormat/>
    <w:uiPriority w:val="0"/>
    <w:rPr>
      <w:rFonts w:eastAsia="黑体"/>
      <w:kern w:val="2"/>
      <w:sz w:val="28"/>
      <w:szCs w:val="30"/>
    </w:rPr>
  </w:style>
  <w:style w:type="paragraph" w:customStyle="1" w:styleId="130">
    <w:name w:val="标题33"/>
    <w:basedOn w:val="1"/>
    <w:link w:val="129"/>
    <w:autoRedefine/>
    <w:qFormat/>
    <w:uiPriority w:val="0"/>
    <w:pPr>
      <w:tabs>
        <w:tab w:val="left" w:pos="3840"/>
      </w:tabs>
      <w:adjustRightInd w:val="0"/>
      <w:snapToGrid w:val="0"/>
      <w:spacing w:line="360" w:lineRule="auto"/>
      <w:outlineLvl w:val="2"/>
    </w:pPr>
    <w:rPr>
      <w:rFonts w:eastAsia="黑体"/>
      <w:sz w:val="28"/>
      <w:szCs w:val="30"/>
    </w:rPr>
  </w:style>
  <w:style w:type="character" w:customStyle="1" w:styleId="131">
    <w:name w:val="zhang正文 Char1"/>
    <w:link w:val="132"/>
    <w:autoRedefine/>
    <w:qFormat/>
    <w:uiPriority w:val="0"/>
    <w:rPr>
      <w:rFonts w:eastAsia="楷体_GB2312"/>
      <w:sz w:val="28"/>
    </w:rPr>
  </w:style>
  <w:style w:type="paragraph" w:customStyle="1" w:styleId="132">
    <w:name w:val="zhang正文"/>
    <w:basedOn w:val="18"/>
    <w:link w:val="131"/>
    <w:autoRedefine/>
    <w:qFormat/>
    <w:uiPriority w:val="0"/>
    <w:pPr>
      <w:autoSpaceDE w:val="0"/>
      <w:autoSpaceDN w:val="0"/>
      <w:adjustRightInd w:val="0"/>
      <w:snapToGrid w:val="0"/>
      <w:spacing w:after="0" w:line="500" w:lineRule="exact"/>
      <w:ind w:left="0" w:leftChars="0" w:firstLine="539"/>
      <w:textAlignment w:val="baseline"/>
    </w:pPr>
    <w:rPr>
      <w:rFonts w:eastAsia="楷体_GB2312"/>
      <w:sz w:val="28"/>
    </w:rPr>
  </w:style>
  <w:style w:type="character" w:customStyle="1" w:styleId="133">
    <w:name w:val="头 Char"/>
    <w:link w:val="134"/>
    <w:autoRedefine/>
    <w:qFormat/>
    <w:uiPriority w:val="0"/>
    <w:rPr>
      <w:rFonts w:eastAsia="黑体"/>
      <w:sz w:val="24"/>
      <w:szCs w:val="24"/>
    </w:rPr>
  </w:style>
  <w:style w:type="paragraph" w:customStyle="1" w:styleId="134">
    <w:name w:val="头"/>
    <w:basedOn w:val="1"/>
    <w:link w:val="133"/>
    <w:autoRedefine/>
    <w:qFormat/>
    <w:uiPriority w:val="0"/>
    <w:pPr>
      <w:widowControl/>
      <w:spacing w:line="365" w:lineRule="atLeast"/>
      <w:ind w:left="1"/>
      <w:jc w:val="center"/>
      <w:textAlignment w:val="bottom"/>
    </w:pPr>
    <w:rPr>
      <w:rFonts w:eastAsia="黑体"/>
      <w:sz w:val="24"/>
    </w:rPr>
  </w:style>
  <w:style w:type="character" w:customStyle="1" w:styleId="135">
    <w:name w:val="表格标题（） Char"/>
    <w:link w:val="136"/>
    <w:autoRedefine/>
    <w:qFormat/>
    <w:uiPriority w:val="0"/>
    <w:rPr>
      <w:rFonts w:eastAsia="黑体"/>
      <w:color w:val="00B0F0"/>
      <w:kern w:val="2"/>
      <w:sz w:val="24"/>
      <w:szCs w:val="24"/>
      <w:lang w:val="zh-CN" w:bidi="he-IL"/>
    </w:rPr>
  </w:style>
  <w:style w:type="paragraph" w:customStyle="1" w:styleId="136">
    <w:name w:val="表格标题（）"/>
    <w:basedOn w:val="1"/>
    <w:link w:val="135"/>
    <w:autoRedefine/>
    <w:qFormat/>
    <w:uiPriority w:val="0"/>
    <w:pPr>
      <w:widowControl/>
      <w:jc w:val="center"/>
    </w:pPr>
    <w:rPr>
      <w:rFonts w:eastAsia="黑体"/>
      <w:color w:val="00B0F0"/>
      <w:sz w:val="24"/>
      <w:lang w:val="zh-CN" w:bidi="he-IL"/>
    </w:rPr>
  </w:style>
  <w:style w:type="character" w:customStyle="1" w:styleId="137">
    <w:name w:val="表格标题 Char"/>
    <w:autoRedefine/>
    <w:qFormat/>
    <w:uiPriority w:val="0"/>
    <w:rPr>
      <w:b/>
      <w:color w:val="222222"/>
      <w:sz w:val="24"/>
    </w:rPr>
  </w:style>
  <w:style w:type="character" w:customStyle="1" w:styleId="138">
    <w:name w:val="文本样式 Char"/>
    <w:link w:val="139"/>
    <w:autoRedefine/>
    <w:qFormat/>
    <w:uiPriority w:val="0"/>
    <w:rPr>
      <w:rFonts w:cs="宋体"/>
      <w:kern w:val="2"/>
      <w:sz w:val="24"/>
    </w:rPr>
  </w:style>
  <w:style w:type="paragraph" w:customStyle="1" w:styleId="139">
    <w:name w:val="文本样式"/>
    <w:basedOn w:val="1"/>
    <w:link w:val="138"/>
    <w:autoRedefine/>
    <w:qFormat/>
    <w:uiPriority w:val="0"/>
    <w:pPr>
      <w:spacing w:line="360" w:lineRule="auto"/>
      <w:ind w:firstLine="200" w:firstLineChars="200"/>
    </w:pPr>
    <w:rPr>
      <w:rFonts w:cs="宋体"/>
      <w:sz w:val="24"/>
    </w:rPr>
  </w:style>
  <w:style w:type="paragraph" w:customStyle="1" w:styleId="140">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141">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styleId="142">
    <w:name w:val="No Spacing"/>
    <w:autoRedefine/>
    <w:qFormat/>
    <w:uiPriority w:val="1"/>
    <w:pPr>
      <w:widowControl w:val="0"/>
      <w:jc w:val="both"/>
    </w:pPr>
    <w:rPr>
      <w:rFonts w:ascii="Times New Roman" w:hAnsi="Times New Roman" w:eastAsia="宋体" w:cs="Times New Roman"/>
      <w:kern w:val="2"/>
      <w:sz w:val="21"/>
      <w:szCs w:val="24"/>
      <w:lang w:val="en-US" w:eastAsia="zh-CN" w:bidi="ar-SA"/>
    </w:rPr>
  </w:style>
  <w:style w:type="paragraph" w:customStyle="1" w:styleId="143">
    <w:name w:val="表内容"/>
    <w:basedOn w:val="1"/>
    <w:autoRedefine/>
    <w:qFormat/>
    <w:uiPriority w:val="0"/>
    <w:pPr>
      <w:widowControl/>
      <w:jc w:val="center"/>
    </w:pPr>
    <w:rPr>
      <w:kern w:val="0"/>
      <w:lang w:val="en-GB"/>
    </w:rPr>
  </w:style>
  <w:style w:type="paragraph" w:customStyle="1" w:styleId="144">
    <w:name w:val="标题3"/>
    <w:basedOn w:val="1"/>
    <w:autoRedefine/>
    <w:qFormat/>
    <w:uiPriority w:val="0"/>
    <w:pPr>
      <w:widowControl/>
      <w:spacing w:line="360" w:lineRule="auto"/>
      <w:jc w:val="left"/>
      <w:outlineLvl w:val="2"/>
    </w:pPr>
    <w:rPr>
      <w:b/>
      <w:sz w:val="24"/>
    </w:rPr>
  </w:style>
  <w:style w:type="paragraph" w:customStyle="1" w:styleId="145">
    <w:name w:val="Heart List"/>
    <w:autoRedefine/>
    <w:qFormat/>
    <w:uiPriority w:val="99"/>
    <w:pPr>
      <w:widowControl w:val="0"/>
      <w:autoSpaceDE w:val="0"/>
      <w:autoSpaceDN w:val="0"/>
      <w:adjustRightInd w:val="0"/>
      <w:ind w:left="720" w:hanging="431"/>
    </w:pPr>
    <w:rPr>
      <w:rFonts w:ascii="Times New Roman" w:hAnsi="Times New Roman" w:eastAsia="宋体" w:cs="Times New Roman"/>
      <w:sz w:val="24"/>
      <w:lang w:val="en-US" w:eastAsia="zh-CN" w:bidi="ar-SA"/>
    </w:rPr>
  </w:style>
  <w:style w:type="paragraph" w:customStyle="1" w:styleId="146">
    <w:name w:val="尾注文本1"/>
    <w:basedOn w:val="1"/>
    <w:autoRedefine/>
    <w:qFormat/>
    <w:uiPriority w:val="99"/>
    <w:pPr>
      <w:jc w:val="left"/>
    </w:pPr>
    <w:rPr>
      <w:sz w:val="24"/>
    </w:rPr>
  </w:style>
  <w:style w:type="paragraph" w:customStyle="1" w:styleId="147">
    <w:name w:val="z正文"/>
    <w:basedOn w:val="18"/>
    <w:autoRedefine/>
    <w:qFormat/>
    <w:uiPriority w:val="0"/>
    <w:pPr>
      <w:autoSpaceDE w:val="0"/>
      <w:autoSpaceDN w:val="0"/>
      <w:adjustRightInd w:val="0"/>
      <w:snapToGrid w:val="0"/>
      <w:spacing w:after="0" w:line="360" w:lineRule="auto"/>
      <w:ind w:left="0" w:leftChars="0" w:firstLine="200" w:firstLineChars="200"/>
      <w:textAlignment w:val="baseline"/>
    </w:pPr>
  </w:style>
  <w:style w:type="paragraph" w:customStyle="1" w:styleId="148">
    <w:name w:val="样式4"/>
    <w:basedOn w:val="1"/>
    <w:autoRedefine/>
    <w:qFormat/>
    <w:uiPriority w:val="0"/>
    <w:pPr>
      <w:autoSpaceDE w:val="0"/>
      <w:autoSpaceDN w:val="0"/>
      <w:adjustRightInd w:val="0"/>
      <w:snapToGrid w:val="0"/>
      <w:jc w:val="center"/>
    </w:pPr>
    <w:rPr>
      <w:rFonts w:eastAsia="黑体"/>
      <w:kern w:val="0"/>
      <w:sz w:val="24"/>
      <w:szCs w:val="20"/>
    </w:rPr>
  </w:style>
  <w:style w:type="paragraph" w:customStyle="1" w:styleId="149">
    <w:name w:val="Default"/>
    <w:basedOn w:val="150"/>
    <w:next w:val="151"/>
    <w:autoRedefine/>
    <w:qFormat/>
    <w:uiPriority w:val="0"/>
    <w:pPr>
      <w:autoSpaceDE w:val="0"/>
      <w:autoSpaceDN w:val="0"/>
    </w:pPr>
    <w:rPr>
      <w:rFonts w:hAnsi="Times New Roman" w:cs="宋体"/>
      <w:color w:val="000000"/>
      <w:sz w:val="24"/>
    </w:rPr>
  </w:style>
  <w:style w:type="paragraph" w:customStyle="1" w:styleId="150">
    <w:name w:val="纯文本1"/>
    <w:basedOn w:val="1"/>
    <w:autoRedefine/>
    <w:qFormat/>
    <w:uiPriority w:val="0"/>
    <w:pPr>
      <w:adjustRightInd w:val="0"/>
    </w:pPr>
    <w:rPr>
      <w:rFonts w:ascii="宋体" w:hAnsi="Courier New"/>
    </w:rPr>
  </w:style>
  <w:style w:type="paragraph" w:customStyle="1" w:styleId="151">
    <w:name w:val="样式35"/>
    <w:next w:val="152"/>
    <w:autoRedefine/>
    <w:qFormat/>
    <w:uiPriority w:val="0"/>
    <w:pPr>
      <w:widowControl w:val="0"/>
      <w:spacing w:line="312" w:lineRule="auto"/>
      <w:ind w:firstLine="567"/>
      <w:jc w:val="both"/>
    </w:pPr>
    <w:rPr>
      <w:rFonts w:ascii="宋体" w:hAnsi="Times New Roman" w:eastAsia="宋体" w:cs="Times New Roman"/>
      <w:kern w:val="2"/>
      <w:sz w:val="21"/>
      <w:szCs w:val="22"/>
      <w:lang w:val="en-US" w:eastAsia="zh-CN" w:bidi="ar-SA"/>
    </w:rPr>
  </w:style>
  <w:style w:type="paragraph" w:customStyle="1" w:styleId="152">
    <w:name w:val="font6"/>
    <w:next w:val="31"/>
    <w:autoRedefine/>
    <w:qFormat/>
    <w:uiPriority w:val="0"/>
    <w:pPr>
      <w:spacing w:before="280" w:after="280"/>
      <w:jc w:val="both"/>
    </w:pPr>
    <w:rPr>
      <w:rFonts w:ascii="Times New Roman" w:hAnsi="Times New Roman" w:eastAsia="宋体" w:cs="Times New Roman"/>
      <w:kern w:val="2"/>
      <w:sz w:val="21"/>
      <w:szCs w:val="22"/>
      <w:lang w:val="en-US" w:eastAsia="zh-CN" w:bidi="ar-SA"/>
    </w:rPr>
  </w:style>
  <w:style w:type="paragraph" w:customStyle="1" w:styleId="153">
    <w:name w:val="6表(图)头(壹澜)"/>
    <w:next w:val="1"/>
    <w:autoRedefine/>
    <w:qFormat/>
    <w:uiPriority w:val="0"/>
    <w:pPr>
      <w:widowControl w:val="0"/>
      <w:spacing w:before="120" w:after="120"/>
      <w:jc w:val="center"/>
    </w:pPr>
    <w:rPr>
      <w:rFonts w:ascii="Times New Roman" w:hAnsi="Times New Roman" w:eastAsia="宋体" w:cs="Times New Roman"/>
      <w:b/>
      <w:sz w:val="24"/>
      <w:szCs w:val="28"/>
      <w:lang w:val="en-US" w:eastAsia="zh-CN" w:bidi="ar-SA"/>
    </w:rPr>
  </w:style>
  <w:style w:type="paragraph" w:customStyle="1" w:styleId="154">
    <w:name w:val="【表格文字】"/>
    <w:basedOn w:val="1"/>
    <w:next w:val="1"/>
    <w:autoRedefine/>
    <w:qFormat/>
    <w:uiPriority w:val="0"/>
    <w:pPr>
      <w:adjustRightInd w:val="0"/>
      <w:snapToGrid w:val="0"/>
      <w:jc w:val="center"/>
    </w:pPr>
  </w:style>
  <w:style w:type="paragraph" w:customStyle="1" w:styleId="155">
    <w:name w:val="Char Char Char Char Char Char Char Char Char Char Char Char Char Char Char Char Char Char Char Char Char Char Char Char Char Char Char Char Char Char Char Char Char Char"/>
    <w:basedOn w:val="1"/>
    <w:autoRedefine/>
    <w:qFormat/>
    <w:uiPriority w:val="0"/>
    <w:rPr>
      <w:rFonts w:ascii="Tahoma" w:hAnsi="Tahoma"/>
      <w:sz w:val="24"/>
      <w:szCs w:val="20"/>
    </w:rPr>
  </w:style>
  <w:style w:type="paragraph" w:customStyle="1" w:styleId="156">
    <w:name w:val="7表格(壹澜)"/>
    <w:autoRedefine/>
    <w:qFormat/>
    <w:uiPriority w:val="0"/>
    <w:pPr>
      <w:widowControl w:val="0"/>
      <w:jc w:val="center"/>
    </w:pPr>
    <w:rPr>
      <w:rFonts w:ascii="Times New Roman" w:hAnsi="Times New Roman" w:eastAsia="楷体_GB2312" w:cs="Times New Roman"/>
      <w:sz w:val="21"/>
      <w:szCs w:val="21"/>
      <w:lang w:val="en-US" w:eastAsia="zh-CN" w:bidi="ar-SA"/>
    </w:rPr>
  </w:style>
  <w:style w:type="character" w:customStyle="1" w:styleId="157">
    <w:name w:val="11正文格式 Char"/>
    <w:link w:val="158"/>
    <w:autoRedefine/>
    <w:qFormat/>
    <w:uiPriority w:val="0"/>
    <w:rPr>
      <w:color w:val="C00000"/>
      <w:sz w:val="24"/>
      <w:szCs w:val="24"/>
    </w:rPr>
  </w:style>
  <w:style w:type="paragraph" w:customStyle="1" w:styleId="158">
    <w:name w:val="11正文格式"/>
    <w:basedOn w:val="1"/>
    <w:link w:val="157"/>
    <w:autoRedefine/>
    <w:qFormat/>
    <w:uiPriority w:val="0"/>
    <w:pPr>
      <w:adjustRightInd w:val="0"/>
      <w:snapToGrid w:val="0"/>
      <w:spacing w:line="360" w:lineRule="auto"/>
      <w:ind w:firstLine="200" w:firstLineChars="200"/>
    </w:pPr>
    <w:rPr>
      <w:color w:val="C00000"/>
      <w:sz w:val="24"/>
    </w:rPr>
  </w:style>
  <w:style w:type="paragraph" w:customStyle="1" w:styleId="159">
    <w:name w:val="Table Text"/>
    <w:basedOn w:val="1"/>
    <w:autoRedefine/>
    <w:semiHidden/>
    <w:qFormat/>
    <w:uiPriority w:val="0"/>
    <w:rPr>
      <w:rFonts w:ascii="宋体" w:hAnsi="宋体" w:cs="宋体"/>
      <w:sz w:val="24"/>
      <w:lang w:eastAsia="en-US"/>
    </w:rPr>
  </w:style>
  <w:style w:type="paragraph" w:customStyle="1" w:styleId="160">
    <w:name w:val="表格内容（）"/>
    <w:basedOn w:val="1"/>
    <w:autoRedefine/>
    <w:qFormat/>
    <w:uiPriority w:val="0"/>
    <w:pPr>
      <w:adjustRightInd w:val="0"/>
      <w:snapToGrid w:val="0"/>
      <w:jc w:val="center"/>
    </w:pPr>
    <w:rPr>
      <w:color w:val="00B0F0"/>
      <w:szCs w:val="21"/>
      <w:lang w:val="zh-CN"/>
    </w:rPr>
  </w:style>
  <w:style w:type="paragraph" w:customStyle="1" w:styleId="161">
    <w:name w:val="Table Paragraph"/>
    <w:basedOn w:val="1"/>
    <w:autoRedefine/>
    <w:unhideWhenUsed/>
    <w:qFormat/>
    <w:uiPriority w:val="0"/>
    <w:rPr>
      <w:sz w:val="24"/>
    </w:rPr>
  </w:style>
  <w:style w:type="character" w:customStyle="1" w:styleId="162">
    <w:name w:val="font11"/>
    <w:basedOn w:val="39"/>
    <w:autoRedefine/>
    <w:qFormat/>
    <w:uiPriority w:val="0"/>
    <w:rPr>
      <w:rFonts w:hint="eastAsia" w:ascii="宋体" w:hAnsi="宋体" w:eastAsia="宋体" w:cs="宋体"/>
      <w:color w:val="000000"/>
      <w:sz w:val="21"/>
      <w:szCs w:val="21"/>
      <w:u w:val="none"/>
    </w:rPr>
  </w:style>
  <w:style w:type="character" w:customStyle="1" w:styleId="163">
    <w:name w:val="font21"/>
    <w:basedOn w:val="39"/>
    <w:autoRedefine/>
    <w:qFormat/>
    <w:uiPriority w:val="0"/>
    <w:rPr>
      <w:rFonts w:hint="default" w:ascii="Times New Roman" w:hAnsi="Times New Roman" w:cs="Times New Roman"/>
      <w:color w:val="000000"/>
      <w:sz w:val="21"/>
      <w:szCs w:val="21"/>
      <w:u w:val="none"/>
    </w:rPr>
  </w:style>
  <w:style w:type="character" w:customStyle="1" w:styleId="164">
    <w:name w:val="font31"/>
    <w:basedOn w:val="39"/>
    <w:autoRedefine/>
    <w:qFormat/>
    <w:uiPriority w:val="0"/>
    <w:rPr>
      <w:rFonts w:hint="default" w:ascii="Times New Roman" w:hAnsi="Times New Roman" w:cs="Times New Roman"/>
      <w:color w:val="000000"/>
      <w:sz w:val="21"/>
      <w:szCs w:val="21"/>
      <w:u w:val="none"/>
      <w:vertAlign w:val="superscript"/>
    </w:rPr>
  </w:style>
  <w:style w:type="paragraph" w:customStyle="1" w:styleId="165">
    <w:name w:val="正文(首行缩进)"/>
    <w:autoRedefine/>
    <w:qFormat/>
    <w:uiPriority w:val="0"/>
    <w:pPr>
      <w:widowControl w:val="0"/>
      <w:adjustRightInd w:val="0"/>
      <w:snapToGrid w:val="0"/>
      <w:spacing w:line="360" w:lineRule="auto"/>
      <w:ind w:firstLine="200" w:firstLineChars="200"/>
      <w:jc w:val="both"/>
    </w:pPr>
    <w:rPr>
      <w:rFonts w:ascii="Calibri" w:hAnsi="Calibri" w:eastAsia="宋体" w:cs="Times New Roman"/>
      <w:snapToGrid w:val="0"/>
      <w:kern w:val="2"/>
      <w:sz w:val="24"/>
      <w:szCs w:val="24"/>
      <w:lang w:val="en-US" w:eastAsia="zh-CN" w:bidi="ar-SA"/>
    </w:rPr>
  </w:style>
  <w:style w:type="character" w:customStyle="1" w:styleId="166">
    <w:name w:val="font51"/>
    <w:basedOn w:val="39"/>
    <w:autoRedefine/>
    <w:qFormat/>
    <w:uiPriority w:val="0"/>
    <w:rPr>
      <w:rFonts w:hint="default" w:ascii="Times New Roman" w:hAnsi="Times New Roman" w:cs="Times New Roman"/>
      <w:b/>
      <w:bCs/>
      <w:color w:val="000000"/>
      <w:sz w:val="21"/>
      <w:szCs w:val="21"/>
      <w:u w:val="none"/>
      <w:vertAlign w:val="superscript"/>
    </w:rPr>
  </w:style>
  <w:style w:type="character" w:customStyle="1" w:styleId="167">
    <w:name w:val="font41"/>
    <w:basedOn w:val="39"/>
    <w:autoRedefine/>
    <w:qFormat/>
    <w:uiPriority w:val="0"/>
    <w:rPr>
      <w:rFonts w:hint="default" w:ascii="Times New Roman" w:hAnsi="Times New Roman" w:cs="Times New Roman"/>
      <w:color w:val="000000"/>
      <w:sz w:val="21"/>
      <w:szCs w:val="21"/>
      <w:u w:val="none"/>
    </w:rPr>
  </w:style>
  <w:style w:type="paragraph" w:customStyle="1" w:styleId="168">
    <w:name w:val="WPSOffice手动目录 1"/>
    <w:autoRedefine/>
    <w:qFormat/>
    <w:uiPriority w:val="0"/>
    <w:rPr>
      <w:rFonts w:ascii="Times New Roman" w:hAnsi="Times New Roman" w:eastAsia="宋体" w:cs="Times New Roman"/>
      <w:lang w:val="en-US" w:eastAsia="zh-CN" w:bidi="ar-SA"/>
    </w:rPr>
  </w:style>
  <w:style w:type="paragraph" w:customStyle="1" w:styleId="169">
    <w:name w:val="（环评）表格内容"/>
    <w:basedOn w:val="1"/>
    <w:next w:val="17"/>
    <w:autoRedefine/>
    <w:qFormat/>
    <w:uiPriority w:val="0"/>
    <w:pPr>
      <w:adjustRightInd w:val="0"/>
      <w:snapToGrid w:val="0"/>
      <w:jc w:val="center"/>
    </w:pPr>
    <w:rPr>
      <w:iCs/>
      <w:szCs w:val="21"/>
    </w:rPr>
  </w:style>
  <w:style w:type="paragraph" w:customStyle="1" w:styleId="170">
    <w:name w:val="正文（）"/>
    <w:basedOn w:val="1"/>
    <w:autoRedefine/>
    <w:qFormat/>
    <w:uiPriority w:val="0"/>
    <w:pPr>
      <w:adjustRightInd w:val="0"/>
      <w:snapToGrid w:val="0"/>
      <w:spacing w:line="360" w:lineRule="auto"/>
      <w:ind w:firstLine="200" w:firstLineChars="200"/>
    </w:pPr>
    <w:rPr>
      <w:color w:val="5B9BD5"/>
      <w:sz w:val="24"/>
      <w:szCs w:val="20"/>
    </w:rPr>
  </w:style>
  <w:style w:type="paragraph" w:customStyle="1" w:styleId="171">
    <w:name w:val="闽创报告正文"/>
    <w:autoRedefine/>
    <w:qFormat/>
    <w:uiPriority w:val="0"/>
    <w:pPr>
      <w:widowControl w:val="0"/>
      <w:tabs>
        <w:tab w:val="left" w:pos="0"/>
      </w:tabs>
      <w:autoSpaceDE w:val="0"/>
      <w:autoSpaceDN w:val="0"/>
      <w:spacing w:line="360" w:lineRule="auto"/>
      <w:ind w:firstLine="200" w:firstLineChars="200"/>
      <w:jc w:val="both"/>
    </w:pPr>
    <w:rPr>
      <w:rFonts w:ascii="Times New Roman" w:hAnsi="Times New Roman" w:eastAsia="宋体" w:cs="宋体"/>
      <w:color w:val="FF0000"/>
      <w:sz w:val="24"/>
      <w:lang w:val="zh-CN" w:eastAsia="zh-CN" w:bidi="ar-SA"/>
    </w:rPr>
  </w:style>
  <w:style w:type="character" w:customStyle="1" w:styleId="172">
    <w:name w:val="font81"/>
    <w:basedOn w:val="39"/>
    <w:autoRedefine/>
    <w:qFormat/>
    <w:uiPriority w:val="99"/>
    <w:rPr>
      <w:rFonts w:ascii="Times New Roman" w:hAnsi="Times New Roman" w:cs="Times New Roman"/>
      <w:color w:val="000000"/>
      <w:sz w:val="21"/>
      <w:szCs w:val="21"/>
      <w:u w:val="none"/>
      <w:vertAlign w:val="subscript"/>
    </w:rPr>
  </w:style>
  <w:style w:type="character" w:customStyle="1" w:styleId="173">
    <w:name w:val="font01"/>
    <w:basedOn w:val="39"/>
    <w:autoRedefine/>
    <w:qFormat/>
    <w:uiPriority w:val="99"/>
    <w:rPr>
      <w:rFonts w:ascii="Times New Roman" w:hAnsi="Times New Roman"/>
      <w:color w:val="000000"/>
      <w:sz w:val="21"/>
      <w:u w:val="none"/>
      <w:vertAlign w:val="subscript"/>
    </w:rPr>
  </w:style>
  <w:style w:type="paragraph" w:customStyle="1" w:styleId="174">
    <w:name w:val="封面表格"/>
    <w:autoRedefine/>
    <w:qFormat/>
    <w:uiPriority w:val="0"/>
    <w:pPr>
      <w:jc w:val="center"/>
      <w:outlineLvl w:val="0"/>
    </w:pPr>
    <w:rPr>
      <w:rFonts w:ascii="Times New Roman" w:hAnsi="Times New Roman" w:eastAsia="宋体" w:cs="Times New Roman"/>
      <w:color w:val="000000"/>
      <w:sz w:val="30"/>
      <w:lang w:val="en-US" w:eastAsia="zh-CN" w:bidi="ar-SA"/>
    </w:rPr>
  </w:style>
  <w:style w:type="paragraph" w:customStyle="1" w:styleId="175">
    <w:name w:val="金皇-正文"/>
    <w:basedOn w:val="1"/>
    <w:autoRedefine/>
    <w:qFormat/>
    <w:uiPriority w:val="0"/>
    <w:pPr>
      <w:spacing w:line="360" w:lineRule="auto"/>
      <w:ind w:firstLine="200" w:firstLineChars="200"/>
    </w:pPr>
    <w:rPr>
      <w:sz w:val="24"/>
    </w:rPr>
  </w:style>
  <w:style w:type="paragraph" w:customStyle="1" w:styleId="176">
    <w:name w:val="金皇-表格内文字"/>
    <w:basedOn w:val="1"/>
    <w:autoRedefine/>
    <w:qFormat/>
    <w:uiPriority w:val="0"/>
    <w:pPr>
      <w:tabs>
        <w:tab w:val="left" w:pos="0"/>
      </w:tabs>
      <w:adjustRightInd w:val="0"/>
      <w:snapToGrid w:val="0"/>
      <w:jc w:val="center"/>
    </w:pPr>
    <w:rPr>
      <w:snapToGrid w:val="0"/>
      <w:szCs w:val="21"/>
    </w:rPr>
  </w:style>
  <w:style w:type="paragraph" w:customStyle="1" w:styleId="177">
    <w:name w:val="金皇表（图）头"/>
    <w:basedOn w:val="1"/>
    <w:autoRedefine/>
    <w:qFormat/>
    <w:uiPriority w:val="0"/>
    <w:pPr>
      <w:adjustRightInd w:val="0"/>
      <w:jc w:val="center"/>
      <w:outlineLvl w:val="4"/>
    </w:pPr>
    <w:rPr>
      <w:rFonts w:eastAsia="黑体"/>
      <w:b/>
      <w:sz w:val="24"/>
      <w:szCs w:val="22"/>
    </w:rPr>
  </w:style>
  <w:style w:type="table" w:customStyle="1" w:styleId="178">
    <w:name w:val="环评表格"/>
    <w:basedOn w:val="38"/>
    <w:autoRedefine/>
    <w:qFormat/>
    <w:uiPriority w:val="0"/>
    <w:pPr>
      <w:jc w:val="center"/>
    </w:pPr>
    <w:rPr>
      <w:sz w:val="21"/>
    </w:rPr>
    <w:tblPr>
      <w:tblBorders>
        <w:top w:val="single" w:color="auto" w:sz="12" w:space="0"/>
        <w:bottom w:val="single" w:color="auto" w:sz="12" w:space="0"/>
        <w:insideH w:val="single" w:color="auto" w:sz="2" w:space="0"/>
        <w:insideV w:val="single" w:color="auto" w:sz="2" w:space="0"/>
      </w:tblBorders>
      <w:tblCellMar>
        <w:left w:w="0" w:type="dxa"/>
        <w:right w:w="0" w:type="dxa"/>
      </w:tblCellMar>
    </w:tblPr>
    <w:tcPr>
      <w:tcBorders>
        <w:top w:val="single" w:color="auto" w:sz="12" w:space="0"/>
        <w:left w:val="nil"/>
        <w:bottom w:val="single" w:color="auto" w:sz="12" w:space="0"/>
        <w:right w:val="nil"/>
      </w:tcBorders>
      <w:vAlign w:val="center"/>
    </w:tcPr>
  </w:style>
  <w:style w:type="table" w:customStyle="1" w:styleId="179">
    <w:name w:val="Table Normal"/>
    <w:autoRedefine/>
    <w:semiHidden/>
    <w:unhideWhenUsed/>
    <w:qFormat/>
    <w:uiPriority w:val="0"/>
    <w:tblPr>
      <w:tblCellMar>
        <w:top w:w="0" w:type="dxa"/>
        <w:left w:w="0" w:type="dxa"/>
        <w:bottom w:w="0" w:type="dxa"/>
        <w:right w:w="0" w:type="dxa"/>
      </w:tblCellMar>
    </w:tblPr>
  </w:style>
  <w:style w:type="character" w:customStyle="1" w:styleId="180">
    <w:name w:val="fontstyle01"/>
    <w:autoRedefine/>
    <w:qFormat/>
    <w:uiPriority w:val="0"/>
    <w:rPr>
      <w:rFonts w:hint="eastAsia" w:ascii="宋体" w:hAnsi="宋体" w:eastAsia="宋体"/>
      <w:color w:val="000000"/>
      <w:sz w:val="24"/>
      <w:szCs w:val="24"/>
    </w:rPr>
  </w:style>
  <w:style w:type="paragraph" w:customStyle="1" w:styleId="181">
    <w:name w:val="规范表格目录"/>
    <w:basedOn w:val="30"/>
    <w:autoRedefine/>
    <w:qFormat/>
    <w:uiPriority w:val="0"/>
    <w:pPr>
      <w:spacing w:before="50" w:beforeLines="50"/>
      <w:ind w:left="0" w:leftChars="0" w:firstLine="0" w:firstLineChars="0"/>
      <w:jc w:val="center"/>
    </w:pPr>
    <w:rPr>
      <w:b/>
      <w:sz w:val="24"/>
      <w:szCs w:val="28"/>
    </w:rPr>
  </w:style>
  <w:style w:type="paragraph" w:customStyle="1" w:styleId="182">
    <w:name w:val="a表格"/>
    <w:basedOn w:val="1"/>
    <w:autoRedefine/>
    <w:qFormat/>
    <w:uiPriority w:val="0"/>
    <w:pPr>
      <w:snapToGrid w:val="0"/>
      <w:jc w:val="center"/>
    </w:pPr>
  </w:style>
  <w:style w:type="paragraph" w:customStyle="1" w:styleId="183">
    <w:name w:val="1正文（小四）"/>
    <w:basedOn w:val="1"/>
    <w:autoRedefine/>
    <w:qFormat/>
    <w:uiPriority w:val="0"/>
    <w:pPr>
      <w:spacing w:line="360" w:lineRule="auto"/>
      <w:ind w:firstLine="643" w:firstLineChars="200"/>
    </w:pPr>
    <w:rPr>
      <w:rFonts w:asciiTheme="minorHAnsi" w:hAnsiTheme="minorHAnsi"/>
      <w:sz w:val="24"/>
    </w:rPr>
  </w:style>
  <w:style w:type="paragraph" w:customStyle="1" w:styleId="184">
    <w:name w:val="表格内文字"/>
    <w:basedOn w:val="185"/>
    <w:next w:val="1"/>
    <w:autoRedefine/>
    <w:qFormat/>
    <w:uiPriority w:val="0"/>
    <w:pPr>
      <w:tabs>
        <w:tab w:val="left" w:pos="1980"/>
        <w:tab w:val="left" w:pos="3825"/>
        <w:tab w:val="left" w:pos="4680"/>
      </w:tabs>
    </w:pPr>
    <w:rPr>
      <w:b w:val="0"/>
      <w:color w:val="000000"/>
      <w:sz w:val="21"/>
    </w:rPr>
  </w:style>
  <w:style w:type="paragraph" w:customStyle="1" w:styleId="185">
    <w:name w:val="表格名称"/>
    <w:basedOn w:val="1"/>
    <w:next w:val="186"/>
    <w:autoRedefine/>
    <w:qFormat/>
    <w:uiPriority w:val="0"/>
    <w:pPr>
      <w:tabs>
        <w:tab w:val="left" w:pos="1980"/>
        <w:tab w:val="left" w:pos="3825"/>
        <w:tab w:val="left" w:pos="4680"/>
      </w:tabs>
      <w:spacing w:line="360" w:lineRule="auto"/>
      <w:jc w:val="center"/>
    </w:pPr>
    <w:rPr>
      <w:b/>
      <w:kern w:val="0"/>
      <w:sz w:val="24"/>
      <w:szCs w:val="21"/>
    </w:rPr>
  </w:style>
  <w:style w:type="paragraph" w:customStyle="1" w:styleId="186">
    <w:name w:val="段落"/>
    <w:basedOn w:val="1"/>
    <w:autoRedefine/>
    <w:qFormat/>
    <w:uiPriority w:val="0"/>
    <w:pPr>
      <w:spacing w:line="360" w:lineRule="auto"/>
      <w:ind w:firstLine="200" w:firstLineChars="200"/>
    </w:pPr>
    <w:rPr>
      <w:color w:val="000000"/>
      <w:sz w:val="24"/>
    </w:rPr>
  </w:style>
  <w:style w:type="paragraph" w:customStyle="1" w:styleId="187">
    <w:name w:val="三级标题（）"/>
    <w:basedOn w:val="1"/>
    <w:autoRedefine/>
    <w:qFormat/>
    <w:uiPriority w:val="0"/>
    <w:pPr>
      <w:tabs>
        <w:tab w:val="left" w:pos="3840"/>
      </w:tabs>
      <w:outlineLvl w:val="2"/>
    </w:pPr>
    <w:rPr>
      <w:b/>
      <w:sz w:val="28"/>
      <w:szCs w:val="30"/>
    </w:rPr>
  </w:style>
  <w:style w:type="paragraph" w:customStyle="1" w:styleId="188">
    <w:name w:val="表格文字"/>
    <w:basedOn w:val="1"/>
    <w:autoRedefine/>
    <w:qFormat/>
    <w:uiPriority w:val="0"/>
    <w:pPr>
      <w:spacing w:line="560" w:lineRule="exact"/>
      <w:jc w:val="center"/>
    </w:pPr>
    <w:rPr>
      <w:rFonts w:eastAsia="方正楷体简体"/>
      <w:sz w:val="24"/>
    </w:rPr>
  </w:style>
  <w:style w:type="paragraph" w:customStyle="1" w:styleId="189">
    <w:name w:val="1表格（5宋.）"/>
    <w:basedOn w:val="1"/>
    <w:autoRedefine/>
    <w:qFormat/>
    <w:uiPriority w:val="0"/>
    <w:pPr>
      <w:jc w:val="center"/>
    </w:pPr>
    <w:rPr>
      <w:rFonts w:ascii="宋体" w:hAnsi="宋体" w:cs="宋体"/>
      <w:color w:val="000000"/>
      <w:szCs w:val="22"/>
      <w:lang w:val="zh-TW" w:eastAsia="zh-TW" w:bidi="zh-TW"/>
    </w:rPr>
  </w:style>
  <w:style w:type="paragraph" w:customStyle="1" w:styleId="190">
    <w:name w:val="表格正文"/>
    <w:autoRedefine/>
    <w:qFormat/>
    <w:uiPriority w:val="0"/>
    <w:pPr>
      <w:jc w:val="center"/>
    </w:pPr>
    <w:rPr>
      <w:rFonts w:ascii="Times New Roman" w:hAnsi="Times New Roman" w:eastAsia="宋体" w:cs="Times New Roman"/>
      <w:kern w:val="2"/>
      <w:sz w:val="21"/>
      <w:lang w:val="en-US" w:eastAsia="zh-CN" w:bidi="ar-SA"/>
    </w:rPr>
  </w:style>
  <w:style w:type="paragraph" w:customStyle="1" w:styleId="191">
    <w:name w:val="内容块-28-a"/>
    <w:basedOn w:val="1"/>
    <w:next w:val="1"/>
    <w:autoRedefine/>
    <w:qFormat/>
    <w:uiPriority w:val="0"/>
    <w:pPr>
      <w:pBdr>
        <w:top w:val="single" w:color="7E7E7E" w:themeColor="text1" w:themeTint="80" w:sz="4" w:space="10"/>
        <w:left w:val="single" w:color="7E7E7E" w:themeColor="text1" w:themeTint="80" w:sz="4" w:space="16"/>
        <w:bottom w:val="single" w:color="7E7E7E" w:themeColor="text1" w:themeTint="80" w:sz="4" w:space="10"/>
        <w:right w:val="single" w:color="7E7E7E" w:themeColor="text1" w:themeTint="80" w:sz="4" w:space="16"/>
      </w:pBdr>
      <w:ind w:left="357" w:right="357"/>
      <w:textAlignment w:val="center"/>
    </w:pPr>
    <w:rPr>
      <w:szCs w:val="21"/>
    </w:rPr>
  </w:style>
  <w:style w:type="character" w:customStyle="1" w:styleId="192">
    <w:name w:val="页眉 字符"/>
    <w:link w:val="19"/>
    <w:autoRedefine/>
    <w:qFormat/>
    <w:uiPriority w:val="0"/>
    <w:rPr>
      <w:kern w:val="0"/>
      <w:sz w:val="18"/>
      <w:szCs w:val="20"/>
    </w:rPr>
  </w:style>
  <w:style w:type="paragraph" w:customStyle="1" w:styleId="193">
    <w:name w:val="足乐正文"/>
    <w:basedOn w:val="1"/>
    <w:autoRedefine/>
    <w:qFormat/>
    <w:uiPriority w:val="0"/>
    <w:pPr>
      <w:spacing w:line="360" w:lineRule="auto"/>
      <w:ind w:firstLine="720" w:firstLineChars="200"/>
    </w:pPr>
    <w:rPr>
      <w:kern w:val="0"/>
      <w:sz w:val="20"/>
      <w:szCs w:val="20"/>
    </w:rPr>
  </w:style>
  <w:style w:type="paragraph" w:customStyle="1" w:styleId="194">
    <w:name w:val="DL段落"/>
    <w:basedOn w:val="1"/>
    <w:autoRedefine/>
    <w:qFormat/>
    <w:uiPriority w:val="0"/>
    <w:pPr>
      <w:widowControl/>
      <w:ind w:firstLine="200" w:firstLineChars="200"/>
      <w:jc w:val="left"/>
    </w:pPr>
    <w:rPr>
      <w:rFonts w:ascii="@”“Times New Roman”“" w:hAnsi="@”“Times New Roman”“" w:eastAsia="@”“Times New Roman”“" w:cs="@”“Times New Roman”“"/>
      <w:kern w:val="0"/>
      <w:sz w:val="24"/>
    </w:rPr>
  </w:style>
  <w:style w:type="paragraph" w:customStyle="1" w:styleId="195">
    <w:name w:val="5文章(治)"/>
    <w:basedOn w:val="196"/>
    <w:next w:val="15"/>
    <w:autoRedefine/>
    <w:qFormat/>
    <w:uiPriority w:val="0"/>
    <w:pPr>
      <w:ind w:firstLine="560"/>
    </w:pPr>
    <w:rPr>
      <w:szCs w:val="20"/>
    </w:rPr>
  </w:style>
  <w:style w:type="paragraph" w:customStyle="1" w:styleId="196">
    <w:name w:val="5文章正文"/>
    <w:basedOn w:val="1"/>
    <w:autoRedefine/>
    <w:qFormat/>
    <w:uiPriority w:val="0"/>
    <w:pPr>
      <w:ind w:firstLine="200" w:firstLineChars="200"/>
    </w:pPr>
    <w:rPr>
      <w:sz w:val="24"/>
    </w:rPr>
  </w:style>
  <w:style w:type="paragraph" w:customStyle="1" w:styleId="197">
    <w:name w:val="6表(图)头(治)"/>
    <w:next w:val="1"/>
    <w:autoRedefine/>
    <w:qFormat/>
    <w:uiPriority w:val="0"/>
    <w:pPr>
      <w:widowControl w:val="0"/>
      <w:jc w:val="center"/>
    </w:pPr>
    <w:rPr>
      <w:rFonts w:ascii="Arial" w:hAnsi="Arial" w:eastAsia="宋体" w:cs="Times New Roman"/>
      <w:b/>
      <w:bCs/>
      <w:sz w:val="24"/>
      <w:szCs w:val="24"/>
      <w:lang w:val="en-US" w:eastAsia="zh-CN" w:bidi="ar-SA"/>
    </w:rPr>
  </w:style>
  <w:style w:type="paragraph" w:customStyle="1" w:styleId="198">
    <w:name w:val="0表格正文"/>
    <w:basedOn w:val="1"/>
    <w:autoRedefine/>
    <w:qFormat/>
    <w:uiPriority w:val="0"/>
    <w:pPr>
      <w:widowControl/>
      <w:contextualSpacing/>
      <w:jc w:val="center"/>
    </w:pPr>
    <w:rPr>
      <w:kern w:val="0"/>
      <w:lang w:bidi="en-US"/>
    </w:rPr>
  </w:style>
  <w:style w:type="paragraph" w:customStyle="1" w:styleId="199">
    <w:name w:val="123正文"/>
    <w:link w:val="200"/>
    <w:autoRedefine/>
    <w:qFormat/>
    <w:uiPriority w:val="0"/>
    <w:pPr>
      <w:snapToGrid w:val="0"/>
      <w:ind w:firstLine="480" w:firstLineChars="200"/>
    </w:pPr>
    <w:rPr>
      <w:rFonts w:ascii="Calibri" w:hAnsi="Calibri" w:eastAsia="宋体" w:cs="Times New Roman"/>
      <w:color w:val="0000FF"/>
      <w:lang w:val="zh-CN"/>
    </w:rPr>
  </w:style>
  <w:style w:type="character" w:customStyle="1" w:styleId="200">
    <w:name w:val="123正文 Char"/>
    <w:link w:val="199"/>
    <w:autoRedefine/>
    <w:qFormat/>
    <w:uiPriority w:val="0"/>
    <w:rPr>
      <w:color w:val="0000FF"/>
      <w:lang w:val="zh-C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header" Target="header1.xml"/><Relationship Id="rId56" Type="http://schemas.openxmlformats.org/officeDocument/2006/relationships/fontTable" Target="fontTable.xml"/><Relationship Id="rId55" Type="http://schemas.openxmlformats.org/officeDocument/2006/relationships/customXml" Target="../customXml/item2.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jpeg"/><Relationship Id="rId5" Type="http://schemas.openxmlformats.org/officeDocument/2006/relationships/footer" Target="footer3.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jpeg"/><Relationship Id="rId44" Type="http://schemas.openxmlformats.org/officeDocument/2006/relationships/image" Target="media/image34.wmf"/><Relationship Id="rId43" Type="http://schemas.openxmlformats.org/officeDocument/2006/relationships/image" Target="media/image33.jpeg"/><Relationship Id="rId42" Type="http://schemas.openxmlformats.org/officeDocument/2006/relationships/image" Target="media/image32.jpe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wmf"/><Relationship Id="rId31" Type="http://schemas.openxmlformats.org/officeDocument/2006/relationships/oleObject" Target="embeddings/oleObject1.bin"/><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2f4e0f26-ba3b-4cd1-8b8f-11c604fba452</errorID>
      <errorWord>：</errorWord>
      <group>L1_Format</group>
      <groupName>格式问题</groupName>
      <ability>L2_HalfPunc</ability>
      <abilityName>全半角检查</abilityName>
      <candidateList>
        <item>:</item>
      </candidateList>
      <explain>文本全半角错误。</explain>
      <paraID> 39F7A63</paraID>
      <start>15</start>
      <end>16</end>
      <status>unmodified</status>
      <modifiedWord/>
      <trackRevisions>false</trackRevisions>
    </reviewItem>
    <reviewItem>
      <errorID>e3e7f6a3-bc00-4643-bcac-d5be0279d8da</errorID>
      <errorWord>〔2025〕0006号</errorWord>
      <group>L1_Knowledge</group>
      <groupName>知识性问题</groupName>
      <ability>L2_Knowledge</ability>
      <abilityName>其他知识</abilityName>
      <candidateList>
        <item>〔2025〕6号</item>
      </candidateList>
      <explain>发文字号格式错误。</explain>
      <paraID>52BE584A</paraID>
      <start>4</start>
      <end>12</end>
      <status>modified</status>
      <modifiedWord>〔2025〕6号</modifiedWord>
      <trackRevisions>false</trackRevisions>
    </reviewItem>
    <reviewItem>
      <errorID>7d376dec-d270-4b43-9e0e-4cfe50995585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32321FF0</paraID>
      <start>24</start>
      <end>25</end>
      <status>ignored</status>
      <modifiedWord/>
      <trackRevisions>false</trackRevisions>
    </reviewItem>
    <reviewItem>
      <errorID>b5860477-2360-40ac-8cca-7b0001435c6b</errorID>
      <errorWord>(</errorWord>
      <group>L1_Format</group>
      <groupName>格式问题</groupName>
      <ability>L2_HalfPunc</ability>
      <abilityName>全半角检查</abilityName>
      <candidateList>
        <item>（</item>
      </candidateList>
      <explain>文本全半角错误。</explain>
      <paraID>32321FF0</paraID>
      <start>32</start>
      <end>33</end>
      <status>ignored</status>
      <modifiedWord/>
      <trackRevisions>false</trackRevisions>
    </reviewItem>
    <reviewItem>
      <errorID>d965da8b-88ee-4036-a419-4cd913ae1ba9</errorID>
      <errorWord>)</errorWord>
      <group>L1_Format</group>
      <groupName>格式问题</groupName>
      <ability>L2_HalfPunc</ability>
      <abilityName>全半角检查</abilityName>
      <candidateList>
        <item>）</item>
      </candidateList>
      <explain>文本全半角错误。</explain>
      <paraID>32321FF0</paraID>
      <start>35</start>
      <end>36</end>
      <status>ignored</status>
      <modifiedWord/>
      <trackRevisions>false</trackRevisions>
    </reviewItem>
    <reviewItem>
      <errorID>7ddd7ae9-0d42-4706-9250-b2e81eb7a42d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34653C2C</paraID>
      <start>26</start>
      <end>27</end>
      <status>ignored</status>
      <modifiedWord/>
      <trackRevisions>false</trackRevisions>
    </reviewItem>
    <reviewItem>
      <errorID>65c31d45-6d3f-4867-9bc9-d5180a166499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777D2853</paraID>
      <start>41</start>
      <end>42</end>
      <status>ignored</status>
      <modifiedWord/>
      <trackRevisions>false</trackRevisions>
    </reviewItem>
    <reviewItem>
      <errorID>88527e59-d472-4076-b980-4b7e3640790c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50F03E16</paraID>
      <start>0</start>
      <end>2</end>
      <status>unmodified</status>
      <modifiedWord/>
      <trackRevisions>false</trackRevisions>
    </reviewItem>
    <reviewItem>
      <errorID>7f8c66e5-545a-4ea3-bf55-100a254fdcfc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50E04C03</paraID>
      <start>21</start>
      <end>22</end>
      <status>unmodified</status>
      <modifiedWord/>
      <trackRevisions>false</trackRevisions>
    </reviewItem>
    <reviewItem>
      <errorID>82072422-2fe4-4fb0-ac35-6230f6285d58</errorID>
      <errorWord>平方公里范围</errorWord>
      <group>L1_Grammar</group>
      <groupName>语法问题</groupName>
      <ability>L2_Redundancy</ability>
      <abilityName>成分冗余</abilityName>
      <candidateList>
        <item>平方公里</item>
      </candidateList>
      <explain>句子中可能存在主语、谓语、定语等成分的赘余或重复。</explain>
      <paraID>50E04C03</paraID>
      <start>157</start>
      <end>163</end>
      <status>unmodified</status>
      <modifiedWord/>
      <trackRevisions>false</trackRevisions>
    </reviewItem>
    <reviewItem>
      <errorID>fb1e7eea-f2fe-4e4f-a770-ac3700726c76</errorID>
      <errorWord>则扩建项目</errorWord>
      <group>L1_Knowledge</group>
      <groupName>知识性问题</groupName>
      <ability>L2_Term</ability>
      <abilityName>专业术语</abilityName>
      <candidateList>
        <item>改扩建项目</item>
      </candidateList>
      <explain/>
      <paraID>63C3F925</paraID>
      <start>223</start>
      <end>228</end>
      <status>unmodified</status>
      <modifiedWord/>
      <trackRevisions>false</trackRevisions>
    </reviewItem>
    <reviewItem>
      <errorID>138a723f-dc4c-4a7d-886f-b8d9bcd9e666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63C3F925</paraID>
      <start>251</start>
      <end>252</end>
      <status>unmodified</status>
      <modifiedWord/>
      <trackRevisions>false</trackRevisions>
    </reviewItem>
    <reviewItem>
      <errorID>8405add5-1a03-43d0-87e2-986e9c907800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21C845AD</paraID>
      <start>0</start>
      <end>2</end>
      <status>unmodified</status>
      <modifiedWord/>
      <trackRevisions>false</trackRevisions>
    </reviewItem>
    <reviewItem>
      <errorID>d16cdfd5-0e49-48c2-998f-a73cc16f3b1b</errorID>
      <errorWord>符合</errorWord>
      <group>L1_Word</group>
      <groupName>字词问题</groupName>
      <ability>L2_Typo</ability>
      <abilityName>字词错误</abilityName>
      <candidateList>
        <item>复核</item>
      </candidateList>
      <explain>〈动〉❶审查核对：把报告里面的数字～一下。❷法院判处死刑案件的特定司法程序。在我国指最高人民法院和依法授权的高级人民法院对于判处死刑的案件做再一次的审核，高级人民法院对于判处死刑缓期执行的案件做再一次的审核。</explain>
      <paraID>2E3F8B3E</paraID>
      <start>16</start>
      <end>18</end>
      <status>unmodified</status>
      <modifiedWord/>
      <trackRevisions>false</trackRevisions>
    </reviewItem>
    <reviewItem>
      <errorID>75aeaede-db33-49d0-9ebe-0b1fcf33e9c8</errorID>
      <errorWord>符合</errorWord>
      <group>L1_Word</group>
      <groupName>字词问题</groupName>
      <ability>L2_Typo</ability>
      <abilityName>字词错误</abilityName>
      <candidateList>
        <item>复核</item>
      </candidateList>
      <explain>〈动〉❶审查核对：把报告里面的数字～一下。❷法院判处死刑案件的特定司法程序。在我国指最高人民法院和依法授权的高级人民法院对于判处死刑的案件做再一次的审核，高级人民法院对于判处死刑缓期执行的案件做再一次的审核。</explain>
      <paraID> 9E78A59</paraID>
      <start>23</start>
      <end>25</end>
      <status>unmodified</status>
      <modifiedWord/>
      <trackRevisions>false</trackRevisions>
    </reviewItem>
    <reviewItem>
      <errorID>265ccea8-687f-440e-bb2c-4deb0e41cd7c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10A1205F</paraID>
      <start>0</start>
      <end>2</end>
      <status>unmodified</status>
      <modifiedWord/>
      <trackRevisions>false</trackRevisions>
    </reviewItem>
    <reviewItem>
      <errorID>15e2b2c9-fce7-4840-a038-f5c452175169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64EF9486</paraID>
      <start>0</start>
      <end>2</end>
      <status>unmodified</status>
      <modifiedWord/>
      <trackRevisions>false</trackRevisions>
    </reviewItem>
    <reviewItem>
      <errorID>497c90ee-d54e-4b3a-938f-9ea5d966a42c</errorID>
      <errorWord>海藻酸盐</errorWord>
      <group>L1_Knowledge</group>
      <groupName>知识性问题</groupName>
      <ability>L2_Term</ability>
      <abilityName>专业术语</abilityName>
      <candidateList>
        <item>海藻酸钠</item>
      </candidateList>
      <explain/>
      <paraID>64EF9486</paraID>
      <start>27</start>
      <end>31</end>
      <status>unmodified</status>
      <modifiedWord/>
      <trackRevisions>false</trackRevisions>
    </reviewItem>
    <reviewItem>
      <errorID>067a6f5a-17a3-4741-8269-935ac427adce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5D38BF92</paraID>
      <start>0</start>
      <end>2</end>
      <status>unmodified</status>
      <modifiedWord/>
      <trackRevisions>false</trackRevisions>
    </reviewItem>
    <reviewItem>
      <errorID>0e3f5fa3-20b9-46e7-8e72-a465fd93f1f7</errorID>
      <errorWord>。</errorWord>
      <group>L1_Grammar</group>
      <groupName>语法问题</groupName>
      <ability>L2_Missing</ability>
      <abilityName>成分残缺</abilityName>
      <candidateList>
        <item>的项目。</item>
      </candidateList>
      <explain>句子中可能存在主谓宾、修饰语或者必要的词语残缺。</explain>
      <paraID>5D38BF92</paraID>
      <start>85</start>
      <end>86</end>
      <status>unmodified</status>
      <modifiedWord/>
      <trackRevisions>false</trackRevisions>
    </reviewItem>
    <reviewItem>
      <errorID>72f543d7-53dd-4ad4-8147-3010e4d5aca4</errorID>
      <errorWord>则扩建项目</errorWord>
      <group>L1_Knowledge</group>
      <groupName>知识性问题</groupName>
      <ability>L2_Term</ability>
      <abilityName>专业术语</abilityName>
      <candidateList>
        <item>改扩建项目</item>
      </candidateList>
      <explain/>
      <paraID>653BBE38</paraID>
      <start>74</start>
      <end>79</end>
      <status>unmodified</status>
      <modifiedWord/>
      <trackRevisions>false</trackRevisions>
    </reviewItem>
    <reviewItem>
      <errorID>a891a413-4f9f-4f51-b6c6-e940a5ac406b</errorID>
      <errorWord>达</errorWord>
      <group>L1_Word</group>
      <groupName>字词问题</groupName>
      <ability>L2_Typo</ability>
      <abilityName>字词错误</abilityName>
      <candidateList>
        <item>达到</item>
      </candidateList>
      <explain>〈动〉到（多指抽象事物或程度）：达得到｜达不到｜目的没有～｜～国际水平。</explain>
      <paraID>3490DC31</paraID>
      <start>59</start>
      <end>60</end>
      <status>unmodified</status>
      <modifiedWord/>
      <trackRevisions>false</trackRevisions>
    </reviewItem>
    <reviewItem>
      <errorID>a9e92f74-2e61-42de-add5-1812fbb35965</errorID>
      <errorWord>万</errorWord>
      <group>L1_Word</group>
      <groupName>字词问题</groupName>
      <ability>L2_Typo</ability>
      <abilityName>字词错误</abilityName>
      <candidateList>
        <item>万元</item>
      </candidateList>
      <explain/>
      <paraID>3055E451</paraID>
      <start>85</start>
      <end>86</end>
      <status>unmodified</status>
      <modifiedWord/>
      <trackRevisions>false</trackRevisions>
    </reviewItem>
    <reviewItem>
      <errorID>8074a820-876a-48bc-a1e2-7d05a421214d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784F4C38</paraID>
      <start>75</start>
      <end>76</end>
      <status>unmodified</status>
      <modifiedWord/>
      <trackRevisions>false</trackRevisions>
    </reviewItem>
    <reviewItem>
      <errorID>98d55ded-a729-4042-a3b8-ed97df64cfe2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625AF663</paraID>
      <start>0</start>
      <end>2</end>
      <status>unmodified</status>
      <modifiedWord/>
      <trackRevisions>false</trackRevisions>
    </reviewItem>
    <reviewItem>
      <errorID>14468d84-dac3-4247-bb6a-1801dc902f04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2E309C</paraID>
      <start>0</start>
      <end>2</end>
      <status>unmodified</status>
      <modifiedWord/>
      <trackRevisions>false</trackRevisions>
    </reviewItem>
    <reviewItem>
      <errorID>bfddfc50-e6f8-4660-97c7-a745af452fca</errorID>
      <errorWord>〔2025〕0006号</errorWord>
      <group>L1_Knowledge</group>
      <groupName>知识性问题</groupName>
      <ability>L2_Knowledge</ability>
      <abilityName>其他知识</abilityName>
      <candidateList>
        <item>〔2025〕6号</item>
      </candidateList>
      <explain>发文字号格式错误。</explain>
      <paraID> 70B7983</paraID>
      <start>86</start>
      <end>94</end>
      <status>modified</status>
      <modifiedWord>〔2025〕6号</modifiedWord>
      <trackRevisions>false</trackRevisions>
    </reviewItem>
    <reviewItem>
      <errorID>b3a55d4b-9cf2-4470-aabb-1aa0a621d651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5E4149D7</paraID>
      <start>0</start>
      <end>2</end>
      <status>unmodified</status>
      <modifiedWord/>
      <trackRevisions>false</trackRevisions>
    </reviewItem>
    <reviewItem>
      <errorID>3cf2e9e1-37e8-40a5-8220-846c9b3f82fb</errorID>
      <errorWord>运营时</errorWord>
      <group>L1_Word</group>
      <groupName>字词问题</groupName>
      <ability>L2_Typo</ability>
      <abilityName>字词错误</abilityName>
      <candidateList>
        <item>运营</item>
      </candidateList>
      <explain/>
      <paraID>207EA594</paraID>
      <start>32</start>
      <end>35</end>
      <status>unmodified</status>
      <modifiedWord/>
      <trackRevisions>false</trackRevisions>
    </reviewItem>
    <reviewItem>
      <errorID>68ff81e0-2129-4cde-95ac-043e3be7f013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4BA2E084</paraID>
      <start>0</start>
      <end>2</end>
      <status>unmodified</status>
      <modifiedWord/>
      <trackRevisions>false</trackRevisions>
    </reviewItem>
    <reviewItem>
      <errorID>aa373e12-8617-4e2e-b439-1354145a2ec3</errorID>
      <errorWord>根据与</errorWord>
      <group>L1_Word</group>
      <groupName>字词问题</groupName>
      <ability>L2_Typo</ability>
      <abilityName>字词错误</abilityName>
      <candidateList>
        <item>根据</item>
      </candidateList>
      <explain>❶〈介〉把某种事物作为结论的前提或语言行动的基础：～气象台的预报，明天要下雨｜～大家的意见，把计划修改一下。❷〈名〉作为根据的事物：说话要有～。❸〈动〉以某种事物为依据：财政支出必须～节约的原则。</explain>
      <paraID>27B8A541</paraID>
      <start>27</start>
      <end>30</end>
      <status>unmodified</status>
      <modifiedWord/>
      <trackRevisions>false</trackRevisions>
    </reviewItem>
    <reviewItem>
      <errorID>1ccb7200-7368-4a09-a2cb-2f171d011740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27B8A541</paraID>
      <start>49</start>
      <end>50</end>
      <status>unmodified</status>
      <modifiedWord/>
      <trackRevisions>false</trackRevisions>
    </reviewItem>
    <reviewItem>
      <errorID>499dda71-9c3a-42c8-8a36-897f4b816c40</errorID>
      <errorWord>[2025]1号</errorWord>
      <group>L1_Knowledge</group>
      <groupName>知识性问题</groupName>
      <ability>L2_Knowledge</ability>
      <abilityName>其他知识</abilityName>
      <candidateList>
        <item>〔2025〕1号</item>
      </candidateList>
      <explain>发文字号格式错误。</explain>
      <paraID>217F0257</paraID>
      <start>37</start>
      <end>45</end>
      <status>modified</status>
      <modifiedWord>〔2025〕1号</modifiedWord>
      <trackRevisions>false</trackRevisions>
    </reviewItem>
    <reviewItem>
      <errorID>acd45694-8267-418c-afb3-2be437502d50</errorID>
      <errorWord>[2025]1号</errorWord>
      <group>L1_Knowledge</group>
      <groupName>知识性问题</groupName>
      <ability>L2_Knowledge</ability>
      <abilityName>其他知识</abilityName>
      <candidateList>
        <item>〔2025〕1号</item>
      </candidateList>
      <explain>发文字号格式错误。</explain>
      <paraID> 330154C</paraID>
      <start>45</start>
      <end>53</end>
      <status>modified</status>
      <modifiedWord>〔2025〕1号</modifiedWord>
      <trackRevisions>false</trackRevisions>
    </reviewItem>
    <reviewItem>
      <errorID>7c3cd2f3-49d8-4480-a7b4-8b9aa69ac4be</errorID>
      <errorWord>应</errorWord>
      <group>L1_Word</group>
      <groupName>字词问题</groupName>
      <ability>L2_Typo</ability>
      <abilityName>字词错误</abilityName>
      <candidateList>
        <item>应当</item>
      </candidateList>
      <explain/>
      <paraID>236EE886</paraID>
      <start>187</start>
      <end>188</end>
      <status>unmodified</status>
      <modifiedWord/>
      <trackRevisions>false</trackRevisions>
    </reviewItem>
    <reviewItem>
      <errorID>17a9ac29-c898-463b-98a0-daca3cff4e8e</errorID>
      <errorWord>万</errorWord>
      <group>L1_Word</group>
      <groupName>字词问题</groupName>
      <ability>L2_Typo</ability>
      <abilityName>字词错误</abilityName>
      <candidateList>
        <item>万元</item>
      </candidateList>
      <explain/>
      <paraID>1164EBDC</paraID>
      <start>66</start>
      <end>67</end>
      <status>unmodified</status>
      <modifiedWord/>
      <trackRevisions>false</trackRevisions>
    </reviewItem>
    <reviewItem>
      <errorID>fad54bab-d5b2-4cbf-b85d-f0b4afed936e</errorID>
      <errorWord>使用电</errorWord>
      <group>L1_Word</group>
      <groupName>字词问题</groupName>
      <ability>L2_Typo</ability>
      <abilityName>字词错误</abilityName>
      <candidateList>
        <item>使用</item>
      </candidateList>
      <explain>〈动〉使人员、器物、资金等为某种目的服务：～干部｜合理～资金。</explain>
      <paraID>1164EBDC</paraID>
      <start>122</start>
      <end>125</end>
      <status>unmodified</status>
      <modifiedWord/>
      <trackRevisions>false</trackRevisions>
    </reviewItem>
    <reviewItem>
      <errorID>060d06aa-c861-4429-b2b9-1c348a61ae82</errorID>
      <errorWord>其它可能</errorWord>
      <group>L1_Word</group>
      <groupName>字词问题</groupName>
      <ability>L2_Alias</ability>
      <abilityName>也作/曾用词</abilityName>
      <candidateList>
        <item>其他可能</item>
      </candidateList>
      <explain>词汇[其它可能]为不规范表述或旧称，其规范书面表述为[其他可能]。</explain>
      <paraID>2D9C6483</paraID>
      <start>40</start>
      <end>44</end>
      <status>unmodified</status>
      <modifiedWord/>
      <trackRevisions>false</trackRevisions>
    </reviewItem>
    <reviewItem>
      <errorID>66114490-4efd-47a4-ba5a-76441e274cd0</errorID>
      <errorWord>共本农田</errorWord>
      <group>L1_Word</group>
      <groupName>字词问题</groupName>
      <ability>L2_Typo</ability>
      <abilityName>字词错误</abilityName>
      <candidateList>
        <item>基本农田</item>
      </candidateList>
      <explain/>
      <paraID>51A345B7</paraID>
      <start>57</start>
      <end>61</end>
      <status>unmodified</status>
      <modifiedWord/>
      <trackRevisions>false</trackRevisions>
    </reviewItem>
    <reviewItem>
      <errorID>c565cb70-88c3-4089-ac51-99ed44c426a0</errorID>
      <errorWord>中共中央国务院</errorWord>
      <group>L1_Political</group>
      <groupName>政治性问题</groupName>
      <ability>L2_Keyword</ability>
      <abilityName>固定表述</abilityName>
      <candidateList>
        <item>中共中央、国务院</item>
      </candidateList>
      <explain>注意检查当前固定表述标点是否使用规范。</explain>
      <paraID>51A345B7</paraID>
      <start>85</start>
      <end>92</end>
      <status>unmodified</status>
      <modifiedWord/>
      <trackRevisions>false</trackRevisions>
    </reviewItem>
    <reviewItem>
      <errorID>33d12c80-584d-49a3-9b67-9d9646dacaeb</errorID>
      <errorWord>行</errorWord>
      <group>L1_Word</group>
      <groupName>字词问题</groupName>
      <ability>L2_Typo</ability>
      <abilityName>字词错误</abilityName>
      <candidateList>
        <item>行严</item>
      </candidateList>
      <explain/>
      <paraID>51A345B7</paraID>
      <start>130</start>
      <end>131</end>
      <status>unmodified</status>
      <modifiedWord/>
      <trackRevisions>false</trackRevisions>
    </reviewItem>
    <reviewItem>
      <errorID>bc949d97-a7c4-4c24-a0b2-9d5f6666f3bd</errorID>
      <errorWord>应</errorWord>
      <group>L1_Word</group>
      <groupName>字词问题</groupName>
      <ability>L2_Typo</ability>
      <abilityName>字词错误</abilityName>
      <candidateList>
        <item>应当</item>
      </candidateList>
      <explain/>
      <paraID> BD7B9B4</paraID>
      <start>51</start>
      <end>52</end>
      <status>unmodified</status>
      <modifiedWord/>
      <trackRevisions>false</trackRevisions>
    </reviewItem>
    <reviewItem>
      <errorID>f7b588e9-0284-4a08-a612-d810ac6115d4</errorID>
      <errorWord>使用电</errorWord>
      <group>L1_Word</group>
      <groupName>字词问题</groupName>
      <ability>L2_Typo</ability>
      <abilityName>字词错误</abilityName>
      <candidateList>
        <item>使用</item>
      </candidateList>
      <explain>〈动〉使人员、器物、资金等为某种目的服务：～干部｜合理～资金。</explain>
      <paraID>4BB57A6C</paraID>
      <start>7</start>
      <end>10</end>
      <status>unmodified</status>
      <modifiedWord/>
      <trackRevisions>false</trackRevisions>
    </reviewItem>
    <reviewItem>
      <errorID>970d97b5-646b-4a41-b929-dd30ed2dcd35</errorID>
      <errorWord>左列</errorWord>
      <group>L1_Word</group>
      <groupName>字词问题</groupName>
      <ability>L2_Typo</ability>
      <abilityName>字词错误</abilityName>
      <candidateList>
        <item>下列</item>
      </candidateList>
      <explain/>
      <paraID>4BB57A6C</paraID>
      <start>36</start>
      <end>38</end>
      <status>unmodified</status>
      <modifiedWord/>
      <trackRevisions>false</trackRevisions>
    </reviewItem>
    <reviewItem>
      <errorID>63801bd3-f1ea-4f35-913f-05cb4eaf3af3</errorID>
      <errorWord>涉</errorWord>
      <group>L1_Word</group>
      <groupName>字词问题</groupName>
      <ability>L2_Typo</ability>
      <abilityName>字词错误</abilityName>
      <candidateList>
        <item>涉及</item>
      </candidateList>
      <explain>〈动〉牵涉到；关联到：案子～好几个人｜这个问题～面很广。</explain>
      <paraID>7626DEC6</paraID>
      <start>33</start>
      <end>34</end>
      <status>unmodified</status>
      <modifiedWord/>
      <trackRevisions>false</trackRevisions>
    </reviewItem>
    <reviewItem>
      <errorID>6e7a9020-55f6-4331-8484-67e3342390d0</errorID>
      <errorWord>使用电</errorWord>
      <group>L1_Word</group>
      <groupName>字词问题</groupName>
      <ability>L2_Typo</ability>
      <abilityName>字词错误</abilityName>
      <candidateList>
        <item>使用</item>
      </candidateList>
      <explain>〈动〉使人员、器物、资金等为某种目的服务：～干部｜合理～资金。</explain>
      <paraID>7626DEC6</paraID>
      <start>99</start>
      <end>102</end>
      <status>unmodified</status>
      <modifiedWord/>
      <trackRevisions>false</trackRevisions>
    </reviewItem>
    <reviewItem>
      <errorID>cd0bf319-9540-4094-8ac0-275225e60fb9</errorID>
      <errorWord>[2025]1号</errorWord>
      <group>L1_Knowledge</group>
      <groupName>知识性问题</groupName>
      <ability>L2_Knowledge</ability>
      <abilityName>其他知识</abilityName>
      <candidateList>
        <item>〔2025〕1号</item>
      </candidateList>
      <explain>发文字号格式错误。</explain>
      <paraID>5D7F53E0</paraID>
      <start>48</start>
      <end>56</end>
      <status>modified</status>
      <modifiedWord>〔2025〕1号</modifiedWord>
      <trackRevisions>false</trackRevisions>
    </reviewItem>
    <reviewItem>
      <errorID>04047a3c-462a-48fe-ba23-e1e1932299d8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78C1B07B</paraID>
      <start>0</start>
      <end>2</end>
      <status>unmodified</status>
      <modifiedWord/>
      <trackRevisions>false</trackRevisions>
    </reviewItem>
    <reviewItem>
      <errorID>b14da68f-7b1f-4369-8b9a-f3a1f33c6262</errorID>
      <errorWord>紫外光</errorWord>
      <group>L1_Word</group>
      <groupName>字词问题</groupName>
      <ability>L2_Typo</ability>
      <abilityName>字词错误</abilityName>
      <candidateList>
        <item>紫外线</item>
      </candidateList>
      <explain/>
      <paraID>7092F215</paraID>
      <start>215</start>
      <end>218</end>
      <status>unmodified</status>
      <modifiedWord/>
      <trackRevisions>false</trackRevisions>
    </reviewItem>
    <reviewItem>
      <errorID>9c23fe6b-68c1-4001-98c0-a284f857d8fd</errorID>
      <errorWord>，</errorWord>
      <group>L1_Word</group>
      <groupName>字词问题</groupName>
      <ability>L2_Typo</ability>
      <abilityName>字词错误</abilityName>
      <candidateList>
        <item>，使</item>
      </candidateList>
      <explain/>
      <paraID>47BEF5C0</paraID>
      <start>46</start>
      <end>47</end>
      <status>unmodified</status>
      <modifiedWord/>
      <trackRevisions>false</trackRevisions>
    </reviewItem>
    <reviewItem>
      <errorID>ebcd184e-cd2d-420b-baad-f6b0cb4c2522</errorID>
      <errorWord>坚实施方案</errorWord>
      <group>L1_Word</group>
      <groupName>字词问题</groupName>
      <ability>L2_Typo</ability>
      <abilityName>字词错误</abilityName>
      <candidateList>
        <item>实施方案</item>
      </candidateList>
      <explain/>
      <paraID>436BF972</paraID>
      <start>0</start>
      <end>5</end>
      <status>unmodified</status>
      <modifiedWord/>
      <trackRevisions>false</trackRevisions>
    </reviewItem>
    <reviewItem>
      <errorID>3e419fa5-1acf-4164-af86-d279099d6681</errorID>
      <errorWord>，</errorWord>
      <group>L1_Word</group>
      <groupName>字词问题</groupName>
      <ability>L2_Typo</ability>
      <abilityName>字词错误</abilityName>
      <candidateList>
        <item>，使</item>
      </candidateList>
      <explain/>
      <paraID>5F9ECDC2</paraID>
      <start>46</start>
      <end>47</end>
      <status>unmodified</status>
      <modifiedWord/>
      <trackRevisions>false</trackRevisions>
    </reviewItem>
    <reviewItem>
      <errorID>18f6dcf6-4d57-496b-b732-a860d40664a1</errorID>
      <errorWord>，</errorWord>
      <group>L1_Word</group>
      <groupName>字词问题</groupName>
      <ability>L2_Typo</ability>
      <abilityName>字词错误</abilityName>
      <candidateList>
        <item>，对</item>
      </candidateList>
      <explain/>
      <paraID> D499F87</paraID>
      <start>104</start>
      <end>105</end>
      <status>unmodified</status>
      <modifiedWord/>
      <trackRevisions>false</trackRevisions>
    </reviewItem>
    <reviewItem>
      <errorID>1fa5c63f-14f6-49a6-afb7-0f640a02b915</errorID>
      <errorWord>2015年03月24日</errorWord>
      <group>L1_Knowledge</group>
      <groupName>知识性问题</groupName>
      <ability>L2_Time</ability>
      <abilityName>日期时间</abilityName>
      <candidateList>
        <item>2015年3月24日</item>
      </candidateList>
      <explain>根据日常书写习惯，月份一般会省略前导零。</explain>
      <paraID>6D61487E</paraID>
      <start>34</start>
      <end>45</end>
      <status>unmodified</status>
      <modifiedWord/>
      <trackRevisions>false</trackRevisions>
    </reviewItem>
    <reviewItem>
      <errorID>baf7c8cd-47fc-40db-8800-3c39aff4bcb8</errorID>
      <errorWord>[2017]4号</errorWord>
      <group>L1_Knowledge</group>
      <groupName>知识性问题</groupName>
      <ability>L2_Knowledge</ability>
      <abilityName>其他知识</abilityName>
      <candidateList>
        <item>〔2017〕4号</item>
      </candidateList>
      <explain>发文字号格式错误。</explain>
      <paraID>6D61487E</paraID>
      <start>254</start>
      <end>262</end>
      <status>modified</status>
      <modifiedWord>〔2017〕4号</modifiedWord>
      <trackRevisions>false</trackRevisions>
    </reviewItem>
    <reviewItem>
      <errorID>8ef87758-09de-40b1-95dc-b5cda20cf412</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5718240E</paraID>
      <start>15</start>
      <end>18</end>
      <status>unmodified</status>
      <modifiedWord/>
      <trackRevisions>false</trackRevisions>
    </reviewItem>
    <reviewItem>
      <errorID>75ef6d7d-eae5-44a3-a2f2-ad3f23759810</errorID>
      <errorWord>：</errorWord>
      <group>L1_Format</group>
      <groupName>格式问题</groupName>
      <ability>L2_HalfPunc</ability>
      <abilityName>全半角检查</abilityName>
      <candidateList>
        <item>:</item>
      </candidateList>
      <explain>文本全半角错误。</explain>
      <paraID>5718240E</paraID>
      <start>99</start>
      <end>100</end>
      <status>unmodified</status>
      <modifiedWord/>
      <trackRevisions>false</trackRevisions>
    </reviewItem>
    <reviewItem>
      <errorID>66912046-ac1c-479a-9775-74d493b896b4</errorID>
      <errorWord>（</errorWord>
      <group>L1_Punc</group>
      <groupName>标点问题</groupName>
      <ability>L2_Punc</ability>
      <abilityName>标点符号检查</abilityName>
      <candidateList/>
      <explain/>
      <paraID>5718240E</paraID>
      <start>113</start>
      <end>114</end>
      <status>unmodified</status>
      <modifiedWord/>
      <trackRevisions>false</trackRevisions>
    </reviewItem>
    <reviewItem>
      <errorID>97dcfaaa-bb01-46c8-b2b5-3a30f87e9133</errorID>
      <errorWord>（</errorWord>
      <group>L1_Punc</group>
      <groupName>标点问题</groupName>
      <ability>L2_Punc</ability>
      <abilityName>标点符号检查</abilityName>
      <candidateList/>
      <explain/>
      <paraID>2A7F3484</paraID>
      <start>2</start>
      <end>3</end>
      <status>unmodified</status>
      <modifiedWord/>
      <trackRevisions>false</trackRevisions>
    </reviewItem>
    <reviewItem>
      <errorID>735616b9-0661-49c1-869e-3597b8861a03</errorID>
      <errorWord>版</errorWord>
      <group>L1_Word</group>
      <groupName>字词问题</groupName>
      <ability>L2_Typo</ability>
      <abilityName>字词错误</abilityName>
      <candidateList>
        <item>板</item>
      </candidateList>
      <explain>存在发音相同字词的误用。</explain>
      <paraID>2A2BB90A</paraID>
      <start>8</start>
      <end>9</end>
      <status>unmodified</status>
      <modifiedWord/>
      <trackRevisions>false</trackRevisions>
    </reviewItem>
    <reviewItem>
      <errorID>d73ec21e-308b-4934-8bd5-0c1bd4220973</errorID>
      <errorWord>(</errorWord>
      <group>L1_Format</group>
      <groupName>格式问题</groupName>
      <ability>L2_HalfPunc</ability>
      <abilityName>全半角检查</abilityName>
      <candidateList>
        <item>（</item>
      </candidateList>
      <explain>文本全半角错误。</explain>
      <paraID>31886AD5</paraID>
      <start>29</start>
      <end>30</end>
      <status>unmodified</status>
      <modifiedWord/>
      <trackRevisions>false</trackRevisions>
    </reviewItem>
    <reviewItem>
      <errorID>dbce09c2-ce7a-4956-9042-15d7b5d08dd5</errorID>
      <errorWord>)</errorWord>
      <group>L1_Format</group>
      <groupName>格式问题</groupName>
      <ability>L2_HalfPunc</ability>
      <abilityName>全半角检查</abilityName>
      <candidateList>
        <item>）</item>
      </candidateList>
      <explain>文本全半角错误。</explain>
      <paraID>31886AD5</paraID>
      <start>44</start>
      <end>45</end>
      <status>unmodified</status>
      <modifiedWord/>
      <trackRevisions>false</trackRevisions>
    </reviewItem>
    <reviewItem>
      <errorID>8b886542-a396-40cb-9823-12d3ca3cd7aa</errorID>
      <errorWord>kw</errorWord>
      <group>L1_Word</group>
      <groupName>字词问题</groupName>
      <ability>L2_Typo</ability>
      <abilityName>字词错误</abilityName>
      <candidateList>
        <item>kW</item>
      </candidateList>
      <explain/>
      <paraID>68F8717B</paraID>
      <start>4</start>
      <end>6</end>
      <status>unmodified</status>
      <modifiedWord/>
      <trackRevisions>false</trackRevisions>
    </reviewItem>
    <reviewItem>
      <errorID>a95bd156-ee77-469d-a9bd-d7567fc61fe6</errorID>
      <errorWord>、且</errorWord>
      <group>L1_Word</group>
      <groupName>字词问题</groupName>
      <ability>L2_Typo</ability>
      <abilityName>字词错误</abilityName>
      <candidateList>
        <item>且</item>
      </candidateList>
      <explain>〈书〉〈连〉❶尚且：死～不怕，困难又算什么？｜君～如此，况他人乎？❷并且；而且：既高～大｜他很聪明，～十分努力，因此成绩优异。</explain>
      <paraID>610496D2</paraID>
      <start>79</start>
      <end>81</end>
      <status>unmodified</status>
      <modifiedWord/>
      <trackRevisions>false</trackRevisions>
    </reviewItem>
    <reviewItem>
      <errorID>8d4bfd82-64cc-4e1a-83d4-8d9f82a32da6</errorID>
      <errorWord>用做</errorWord>
      <group>L1_Word</group>
      <groupName>字词问题</groupName>
      <ability>L2_Typo</ability>
      <abilityName>字词错误</abilityName>
      <candidateList>
        <item>用作</item>
      </candidateList>
      <explain/>
      <paraID>610496D2</paraID>
      <start>92</start>
      <end>94</end>
      <status>unmodified</status>
      <modifiedWord/>
      <trackRevisions>false</trackRevisions>
    </reviewItem>
    <reviewItem>
      <errorID>6fb15611-3e58-4fc1-8e3f-2834c9027f97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23C8DCA8</paraID>
      <start>62</start>
      <end>63</end>
      <status>unmodified</status>
      <modifiedWord/>
      <trackRevisions>false</trackRevisions>
    </reviewItem>
    <reviewItem>
      <errorID>9b4dccf4-d783-4d42-b1e5-7041dbf5a075</errorID>
      <errorWord>，</errorWord>
      <group>L1_Word</group>
      <groupName>字词问题</groupName>
      <ability>L2_Typo</ability>
      <abilityName>字词错误</abilityName>
      <candidateList>
        <item>，是</item>
      </candidateList>
      <explain/>
      <paraID>1CF34085</paraID>
      <start>34</start>
      <end>35</end>
      <status>unmodified</status>
      <modifiedWord/>
      <trackRevisions>false</trackRevisions>
    </reviewItem>
    <reviewItem>
      <errorID>dc8d6bd9-3bd1-4aba-9c13-87ed69f6217e</errorID>
      <errorWord>适</errorWord>
      <group>L1_Word</group>
      <groupName>字词问题</groupName>
      <ability>L2_Typo</ability>
      <abilityName>字词错误</abilityName>
      <candidateList>
        <item>适用</item>
      </candidateList>
      <explain>〈形〉适合使用：这套耕作方法，在我们这个地区也完全～。</explain>
      <paraID>1CF34085</paraID>
      <start>145</start>
      <end>146</end>
      <status>unmodified</status>
      <modifiedWord/>
      <trackRevisions>false</trackRevisions>
    </reviewItem>
    <reviewItem>
      <errorID>7c5f13f1-a369-4821-8501-0aa1ccbb5b4d</errorID>
      <errorWord>12-22%</errorWord>
      <group>L1_Knowledge</group>
      <groupName>知识性问题</groupName>
      <ability>L2_Knowledge</ability>
      <abilityName>其他知识</abilityName>
      <candidateList>
        <item>12%—22%</item>
      </candidateList>
      <explain>1. “12-22%”中的单位“%”仅出现在后一个数字上，容易引起歧义；根据《现代汉语标点符号数字用法规范手册》，数字表示范围两边需要使用统一的格式。2. 根据标点国标 4.13 中的规则，数字、时间或地域连接符应使用（视觉上更长的）“—”或“～”。</explain>
      <paraID>365BD350</paraID>
      <start>114</start>
      <end>120</end>
      <status>unmodified</status>
      <modifiedWord/>
      <trackRevisions>false</trackRevisions>
    </reviewItem>
    <reviewItem>
      <errorID>539bd5fa-6286-49be-9b53-cf314b9ec34f</errorID>
      <errorWord>0-35%</errorWord>
      <group>L1_Knowledge</group>
      <groupName>知识性问题</groupName>
      <ability>L2_Knowledge</ability>
      <abilityName>其他知识</abilityName>
      <candidateList>
        <item>0—35%</item>
      </candidateList>
      <explain>1. “0-35%”中的单位“%”仅出现在后一个数字上，容易引起歧义；根据《现代汉语标点符号数字用法规范手册》，数字表示范围两边需要使用统一的格式。2. 根据标点国标 4.13 中的规则，数字、时间或地域连接符应使用（视觉上更长的）“—”或“～”。</explain>
      <paraID>365BD350</paraID>
      <start>125</start>
      <end>130</end>
      <status>unmodified</status>
      <modifiedWord/>
      <trackRevisions>false</trackRevisions>
    </reviewItem>
    <reviewItem>
      <errorID>3c930936-ae87-45b0-ae8e-770f52c40900</errorID>
      <errorWord>25-35%</errorWord>
      <group>L1_Knowledge</group>
      <groupName>知识性问题</groupName>
      <ability>L2_Knowledge</ability>
      <abilityName>其他知识</abilityName>
      <candidateList>
        <item>25%—35%</item>
      </candidateList>
      <explain>1. “25-35%”中的单位“%”仅出现在后一个数字上，容易引起歧义；根据《现代汉语标点符号数字用法规范手册》，数字表示范围两边需要使用统一的格式。2. 根据标点国标 4.13 中的规则，数字、时间或地域连接符应使用（视觉上更长的）“—”或“～”。</explain>
      <paraID>365BD350</paraID>
      <start>137</start>
      <end>143</end>
      <status>unmodified</status>
      <modifiedWord/>
      <trackRevisions>false</trackRevisions>
    </reviewItem>
    <reviewItem>
      <errorID>daddde0b-a834-4734-b6cb-a4026fe9a354</errorID>
      <errorWord>25-45%</errorWord>
      <group>L1_Knowledge</group>
      <groupName>知识性问题</groupName>
      <ability>L2_Knowledge</ability>
      <abilityName>其他知识</abilityName>
      <candidateList>
        <item>25%—45%</item>
      </candidateList>
      <explain>1. “25-45%”中的单位“%”仅出现在后一个数字上，容易引起歧义；根据《现代汉语标点符号数字用法规范手册》，数字表示范围两边需要使用统一的格式。2. 根据标点国标 4.13 中的规则，数字、时间或地域连接符应使用（视觉上更长的）“—”或“～”。</explain>
      <paraID>365BD350</paraID>
      <start>151</start>
      <end>157</end>
      <status>unmodified</status>
      <modifiedWord/>
      <trackRevisions>false</trackRevisions>
    </reviewItem>
    <reviewItem>
      <errorID>513fc0d7-5cfa-422f-8b66-d1b22f034bc8</errorID>
      <errorWord>5-15%</errorWord>
      <group>L1_Knowledge</group>
      <groupName>知识性问题</groupName>
      <ability>L2_Knowledge</ability>
      <abilityName>其他知识</abilityName>
      <candidateList>
        <item>5%—15%</item>
      </candidateList>
      <explain>1. “5-15%”中的单位“%”仅出现在后一个数字上，容易引起歧义；根据《现代汉语标点符号数字用法规范手册》，数字表示范围两边需要使用统一的格式。2. 根据标点国标 4.13 中的规则，数字、时间或地域连接符应使用（视觉上更长的）“—”或“～”。</explain>
      <paraID>365BD350</paraID>
      <start>163</start>
      <end>168</end>
      <status>unmodified</status>
      <modifiedWord/>
      <trackRevisions>false</trackRevisions>
    </reviewItem>
    <reviewItem>
      <errorID>821e3a03-af1d-4e93-a2f9-eaa32f9b94e6</errorID>
      <errorWord>5-10%</errorWord>
      <group>L1_Knowledge</group>
      <groupName>知识性问题</groupName>
      <ability>L2_Knowledge</ability>
      <abilityName>其他知识</abilityName>
      <candidateList>
        <item>5%—10%</item>
      </candidateList>
      <explain>1. “5-10%”中的单位“%”仅出现在后一个数字上，容易引起歧义；根据《现代汉语标点符号数字用法规范手册》，数字表示范围两边需要使用统一的格式。2. 根据标点国标 4.13 中的规则，数字、时间或地域连接符应使用（视觉上更长的）“—”或“～”。</explain>
      <paraID>365BD350</paraID>
      <start>173</start>
      <end>178</end>
      <status>unmodified</status>
      <modifiedWord/>
      <trackRevisions>false</trackRevisions>
    </reviewItem>
    <reviewItem>
      <errorID>554c507f-9d46-4a14-8c81-fd802da92db3</errorID>
      <errorWord>12-22%</errorWord>
      <group>L1_Knowledge</group>
      <groupName>知识性问题</groupName>
      <ability>L2_Knowledge</ability>
      <abilityName>其他知识</abilityName>
      <candidateList>
        <item>12%—22%</item>
      </candidateList>
      <explain>1. “12-22%”中的单位“%”仅出现在后一个数字上，容易引起歧义；根据《现代汉语标点符号数字用法规范手册》，数字表示范围两边需要使用统一的格式。2. 根据标点国标 4.13 中的规则，数字、时间或地域连接符应使用（视觉上更长的）“—”或“～”。</explain>
      <paraID>6B8EB94B</paraID>
      <start>117</start>
      <end>123</end>
      <status>unmodified</status>
      <modifiedWord/>
      <trackRevisions>false</trackRevisions>
    </reviewItem>
    <reviewItem>
      <errorID>d27c599b-fc5d-45b7-a8a1-60eee80fea8b</errorID>
      <errorWord>10-40%</errorWord>
      <group>L1_Knowledge</group>
      <groupName>知识性问题</groupName>
      <ability>L2_Knowledge</ability>
      <abilityName>其他知识</abilityName>
      <candidateList>
        <item>10%—40%</item>
      </candidateList>
      <explain>1. “10-40%”中的单位“%”仅出现在后一个数字上，容易引起歧义；根据《现代汉语标点符号数字用法规范手册》，数字表示范围两边需要使用统一的格式。2. 根据标点国标 4.13 中的规则，数字、时间或地域连接符应使用（视觉上更长的）“—”或“～”。</explain>
      <paraID>6B8EB94B</paraID>
      <start>128</start>
      <end>134</end>
      <status>unmodified</status>
      <modifiedWord/>
      <trackRevisions>false</trackRevisions>
    </reviewItem>
    <reviewItem>
      <errorID>14595a78-a0b3-40fc-9973-7bfeeae4f16f</errorID>
      <errorWord>25-35%</errorWord>
      <group>L1_Knowledge</group>
      <groupName>知识性问题</groupName>
      <ability>L2_Knowledge</ability>
      <abilityName>其他知识</abilityName>
      <candidateList>
        <item>25%—35%</item>
      </candidateList>
      <explain>1. “25-35%”中的单位“%”仅出现在后一个数字上，容易引起歧义；根据《现代汉语标点符号数字用法规范手册》，数字表示范围两边需要使用统一的格式。2. 根据标点国标 4.13 中的规则，数字、时间或地域连接符应使用（视觉上更长的）“—”或“～”。</explain>
      <paraID>6B8EB94B</paraID>
      <start>138</start>
      <end>144</end>
      <status>unmodified</status>
      <modifiedWord/>
      <trackRevisions>false</trackRevisions>
    </reviewItem>
    <reviewItem>
      <errorID>c85a5f40-40d0-4a69-82f8-1ba81c97ac32</errorID>
      <errorWord>10-20%</errorWord>
      <group>L1_Knowledge</group>
      <groupName>知识性问题</groupName>
      <ability>L2_Knowledge</ability>
      <abilityName>其他知识</abilityName>
      <candidateList>
        <item>10%—20%</item>
      </candidateList>
      <explain>1. “10-20%”中的单位“%”仅出现在后一个数字上，容易引起歧义；根据《现代汉语标点符号数字用法规范手册》，数字表示范围两边需要使用统一的格式。2. 根据标点国标 4.13 中的规则，数字、时间或地域连接符应使用（视觉上更长的）“—”或“～”。</explain>
      <paraID>6B8EB94B</paraID>
      <start>149</start>
      <end>155</end>
      <status>unmodified</status>
      <modifiedWord/>
      <trackRevisions>false</trackRevisions>
    </reviewItem>
    <reviewItem>
      <errorID>876fb8bd-2682-4ebb-92f5-923bc237a23e</errorID>
      <errorWord>2-3%</errorWord>
      <group>L1_Knowledge</group>
      <groupName>知识性问题</groupName>
      <ability>L2_Knowledge</ability>
      <abilityName>其他知识</abilityName>
      <candidateList>
        <item>2%—3%</item>
      </candidateList>
      <explain>1. “2-3%”中的单位“%”仅出现在后一个数字上，容易引起歧义；根据《现代汉语标点符号数字用法规范手册》，数字表示范围两边需要使用统一的格式。2. 根据标点国标 4.13 中的规则，数字、时间或地域连接符应使用（视觉上更长的）“—”或“～”。</explain>
      <paraID>6B8EB94B</paraID>
      <start>168</start>
      <end>172</end>
      <status>unmodified</status>
      <modifiedWord/>
      <trackRevisions>false</trackRevisions>
    </reviewItem>
    <reviewItem>
      <errorID>bb3920cd-5f9b-4867-ad93-6aeb65c57f69</errorID>
      <errorWord>1-2%</errorWord>
      <group>L1_Knowledge</group>
      <groupName>知识性问题</groupName>
      <ability>L2_Knowledge</ability>
      <abilityName>其他知识</abilityName>
      <candidateList>
        <item>1%—2%</item>
      </candidateList>
      <explain>1. “1-2%”中的单位“%”仅出现在后一个数字上，容易引起歧义；根据《现代汉语标点符号数字用法规范手册》，数字表示范围两边需要使用统一的格式。2. 根据标点国标 4.13 中的规则，数字、时间或地域连接符应使用（视觉上更长的）“—”或“～”。</explain>
      <paraID>6B8EB94B</paraID>
      <start>179</start>
      <end>183</end>
      <status>unmodified</status>
      <modifiedWord/>
      <trackRevisions>false</trackRevisions>
    </reviewItem>
    <reviewItem>
      <errorID>f1554073-9ca7-415a-987f-6de21d8d1ef2</errorID>
      <errorWord>(</errorWord>
      <group>L1_Format</group>
      <groupName>格式问题</groupName>
      <ability>L2_HalfPunc</ability>
      <abilityName>全半角检查</abilityName>
      <candidateList>
        <item>（</item>
      </candidateList>
      <explain>文本全半角错误。</explain>
      <paraID>4412843E</paraID>
      <start>3</start>
      <end>4</end>
      <status>unmodified</status>
      <modifiedWord/>
      <trackRevisions>false</trackRevisions>
    </reviewItem>
    <reviewItem>
      <errorID>6a3469ba-fc71-4c9f-aca4-325b0e916d11</errorID>
      <errorWord>)</errorWord>
      <group>L1_Format</group>
      <groupName>格式问题</groupName>
      <ability>L2_HalfPunc</ability>
      <abilityName>全半角检查</abilityName>
      <candidateList>
        <item>）</item>
      </candidateList>
      <explain>文本全半角错误。</explain>
      <paraID>4412843E</paraID>
      <start>17</start>
      <end>18</end>
      <status>unmodified</status>
      <modifiedWord/>
      <trackRevisions>false</trackRevisions>
    </reviewItem>
    <reviewItem>
      <errorID>c7ae7b74-69d4-4efc-a2f6-3521fce68c2e</errorID>
      <errorWord>粘稠</errorWord>
      <group>L1_Word</group>
      <groupName>字词问题</groupName>
      <ability>L2_Typo</ability>
      <abilityName>字词错误</abilityName>
      <candidateList>
        <item>黏稠</item>
      </candidateList>
      <explain>存在发音相同字词的误用。</explain>
      <paraID>4412843E</paraID>
      <start>64</start>
      <end>66</end>
      <status>unmodified</status>
      <modifiedWord/>
      <trackRevisions>false</trackRevisions>
    </reviewItem>
    <reviewItem>
      <errorID>142d6015-02f3-4ea8-9645-f006420510aa</errorID>
      <errorWord>50-75%</errorWord>
      <group>L1_Knowledge</group>
      <groupName>知识性问题</groupName>
      <ability>L2_Knowledge</ability>
      <abilityName>其他知识</abilityName>
      <candidateList>
        <item>50%—75%</item>
      </candidateList>
      <explain>1. “50-75%”中的单位“%”仅出现在后一个数字上，容易引起歧义；根据《现代汉语标点符号数字用法规范手册》，数字表示范围两边需要使用统一的格式。2. 根据标点国标 4.13 中的规则，数字、时间或地域连接符应使用（视觉上更长的）“—”或“～”。</explain>
      <paraID>4412843E</paraID>
      <start>118</start>
      <end>124</end>
      <status>unmodified</status>
      <modifiedWord/>
      <trackRevisions>false</trackRevisions>
    </reviewItem>
    <reviewItem>
      <errorID>b3a587d9-794e-4d67-a666-a597dab58897</errorID>
      <errorWord>25-50%</errorWord>
      <group>L1_Knowledge</group>
      <groupName>知识性问题</groupName>
      <ability>L2_Knowledge</ability>
      <abilityName>其他知识</abilityName>
      <candidateList>
        <item>25%—50%</item>
      </candidateList>
      <explain>1. “25-50%”中的单位“%”仅出现在后一个数字上，容易引起歧义；根据《现代汉语标点符号数字用法规范手册》，数字表示范围两边需要使用统一的格式。2. 根据标点国标 4.13 中的规则，数字、时间或地域连接符应使用（视觉上更长的）“—”或“～”。</explain>
      <paraID>4412843E</paraID>
      <start>129</start>
      <end>135</end>
      <status>unmodified</status>
      <modifiedWord/>
      <trackRevisions>false</trackRevisions>
    </reviewItem>
    <reviewItem>
      <errorID>a59be66c-7262-489a-b4ad-17fdcc2cb785</errorID>
      <errorWord>(</errorWord>
      <group>L1_Format</group>
      <groupName>格式问题</groupName>
      <ability>L2_HalfPunc</ability>
      <abilityName>全半角检查</abilityName>
      <candidateList>
        <item>（</item>
      </candidateList>
      <explain>文本全半角错误。</explain>
      <paraID>7AD53424</paraID>
      <start>3</start>
      <end>4</end>
      <status>unmodified</status>
      <modifiedWord/>
      <trackRevisions>false</trackRevisions>
    </reviewItem>
    <reviewItem>
      <errorID>f4aee657-586a-41d4-b487-3f6d35a120dd</errorID>
      <errorWord>)</errorWord>
      <group>L1_Format</group>
      <groupName>格式问题</groupName>
      <ability>L2_HalfPunc</ability>
      <abilityName>全半角检查</abilityName>
      <candidateList>
        <item>）</item>
      </candidateList>
      <explain>文本全半角错误。</explain>
      <paraID>7AD53424</paraID>
      <start>17</start>
      <end>18</end>
      <status>unmodified</status>
      <modifiedWord/>
      <trackRevisions>false</trackRevisions>
    </reviewItem>
    <reviewItem>
      <errorID>968ea10f-6f60-4a9a-b2bf-7f6d15c83669</errorID>
      <errorWord>8.0%~2.0%</errorWord>
      <group>L1_Knowledge</group>
      <groupName>知识性问题</groupName>
      <ability>L2_Knowledge</ability>
      <abilityName>其他知识</abilityName>
      <candidateList>
        <item>8.0%～2.0%</item>
      </candidateList>
      <explain>1. “8.0%~2.0%”中的单位“%”仅出现在后一个数字上，容易引起歧义；根据《现代汉语标点符号数字用法规范手册》，数字表示范围两边需要使用统一的格式。2. 根据标点国标 4.13 中的规则，数字、时间或地域连接符应使用（视觉上更长的）“—”或“～”。</explain>
      <paraID>113EABE8</paraID>
      <start>100</start>
      <end>109</end>
      <status>unmodified</status>
      <modifiedWord/>
      <trackRevisions>false</trackRevisions>
    </reviewItem>
    <reviewItem>
      <errorID>fa83c1b3-175e-432a-b9eb-517172de43d2</errorID>
      <errorWord>脂类</errorWord>
      <group>L1_Word</group>
      <groupName>字词问题</groupName>
      <ability>L2_Typo</ability>
      <abilityName>字词错误</abilityName>
      <candidateList>
        <item>酯类</item>
      </candidateList>
      <explain/>
      <paraID>113EABE8</paraID>
      <start>132</start>
      <end>134</end>
      <status>unmodified</status>
      <modifiedWord/>
      <trackRevisions>false</trackRevisions>
    </reviewItem>
    <reviewItem>
      <errorID>d45bc73a-ae31-4bcc-aa0e-92d4297b7bb8</errorID>
      <errorWord>-</errorWord>
      <group>L1_Format</group>
      <groupName>格式问题</groupName>
      <ability>L2_HalfPunc</ability>
      <abilityName>全半角检查</abilityName>
      <candidateList>
        <item>－</item>
      </candidateList>
      <explain>文本全半角错误。</explain>
      <paraID>610194DF</paraID>
      <start>6</start>
      <end>7</end>
      <status>unmodified</status>
      <modifiedWord/>
      <trackRevisions>false</trackRevisions>
    </reviewItem>
    <reviewItem>
      <errorID>79256fbc-de3f-4107-a94d-32753b1a25a1</errorID>
      <errorWord>12.7%-2%</errorWord>
      <group>L1_Knowledge</group>
      <groupName>知识性问题</groupName>
      <ability>L2_Knowledge</ability>
      <abilityName>其他知识</abilityName>
      <candidateList>
        <item>12.7%—2%</item>
      </candidateList>
      <explain>1. “12.7%-2%”中的单位“%”仅出现在后一个数字上，容易引起歧义；根据《现代汉语标点符号数字用法规范手册》，数字表示范围两边需要使用统一的格式。2. 根据标点国标 4.13 中的规则，数字、时间或地域连接符应使用（视觉上更长的）“—”或“～”。</explain>
      <paraID>610194DF</paraID>
      <start>87</start>
      <end>95</end>
      <status>unmodified</status>
      <modifiedWord/>
      <trackRevisions>false</trackRevisions>
    </reviewItem>
    <reviewItem>
      <errorID>b98793b0-a202-4015-9082-c06a37be98c4</errorID>
      <errorWord>19%-3.3%</errorWord>
      <group>L1_Knowledge</group>
      <groupName>知识性问题</groupName>
      <ability>L2_Knowledge</ability>
      <abilityName>其他知识</abilityName>
      <candidateList>
        <item>19%—3.3%</item>
      </candidateList>
      <explain>1. “19%-3.3%”中的单位“%”仅出现在后一个数字上，容易引起歧义；根据《现代汉语标点符号数字用法规范手册》，数字表示范围两边需要使用统一的格式。2. 根据标点国标 4.13 中的规则，数字、时间或地域连接符应使用（视觉上更长的）“—”或“～”。</explain>
      <paraID>475A06FC</paraID>
      <start>121</start>
      <end>129</end>
      <status>unmodified</status>
      <modifiedWord/>
      <trackRevisions>false</trackRevisions>
    </reviewItem>
    <reviewItem>
      <errorID>dc1bf687-e6ef-4b77-bacd-0c1d2cb01a8f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1D784BD1</paraID>
      <start>0</start>
      <end>3</end>
      <status>unmodified</status>
      <modifiedWord/>
      <trackRevisions>false</trackRevisions>
    </reviewItem>
    <reviewItem>
      <errorID>5da38cc3-17db-42b7-9e7f-020412b005fd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50700CC2</paraID>
      <start>0</start>
      <end>3</end>
      <status>unmodified</status>
      <modifiedWord/>
      <trackRevisions>false</trackRevisions>
    </reviewItem>
    <reviewItem>
      <errorID>f63e1a28-4126-44b1-926b-5fbdf4c7e777</errorID>
      <errorWord>(</errorWord>
      <group>L1_Format</group>
      <groupName>格式问题</groupName>
      <ability>L2_HalfPunc</ability>
      <abilityName>全半角检查</abilityName>
      <candidateList>
        <item>（</item>
      </candidateList>
      <explain>文本全半角错误。</explain>
      <paraID>31D14B25</paraID>
      <start>29</start>
      <end>30</end>
      <status>unmodified</status>
      <modifiedWord/>
      <trackRevisions>false</trackRevisions>
    </reviewItem>
    <reviewItem>
      <errorID>d714f9a4-3b04-4b4b-b61c-54f3007cff89</errorID>
      <errorWord>)</errorWord>
      <group>L1_Format</group>
      <groupName>格式问题</groupName>
      <ability>L2_HalfPunc</ability>
      <abilityName>全半角检查</abilityName>
      <candidateList>
        <item>）</item>
      </candidateList>
      <explain>文本全半角错误。</explain>
      <paraID>31D14B25</paraID>
      <start>44</start>
      <end>45</end>
      <status>unmodified</status>
      <modifiedWord/>
      <trackRevisions>false</trackRevisions>
    </reviewItem>
    <reviewItem>
      <errorID>7c62bf54-f6e4-417e-a75b-d2cb32d8ee67</errorID>
      <errorWord>则扩建项目</errorWord>
      <group>L1_Knowledge</group>
      <groupName>知识性问题</groupName>
      <ability>L2_Term</ability>
      <abilityName>专业术语</abilityName>
      <candidateList>
        <item>改扩建项目</item>
      </candidateList>
      <explain/>
      <paraID>424B4C00</paraID>
      <start>112</start>
      <end>117</end>
      <status>unmodified</status>
      <modifiedWord/>
      <trackRevisions>false</trackRevisions>
    </reviewItem>
    <reviewItem>
      <errorID>147efc58-f2e6-4b99-8871-4144df50c474</errorID>
      <errorWord>，</errorWord>
      <group>L1_Word</group>
      <groupName>字词问题</groupName>
      <ability>L2_Typo</ability>
      <abilityName>字词错误</abilityName>
      <candidateList>
        <item>，每</item>
      </candidateList>
      <explain/>
      <paraID>424B4C00</paraID>
      <start>213</start>
      <end>214</end>
      <status>unmodified</status>
      <modifiedWord/>
      <trackRevisions>false</trackRevisions>
    </reviewItem>
    <reviewItem>
      <errorID>83c0e313-0ecb-4ed4-bb4d-23b345eae858</errorID>
      <errorWord>设</errorWord>
      <group>L1_Word</group>
      <groupName>字词问题</groupName>
      <ability>L2_Typo</ability>
      <abilityName>字词错误</abilityName>
      <candidateList>
        <item>设有</item>
      </candidateList>
      <explain/>
      <paraID>719D8018</paraID>
      <start>94</start>
      <end>95</end>
      <status>unmodified</status>
      <modifiedWord/>
      <trackRevisions>false</trackRevisions>
    </reviewItem>
    <reviewItem>
      <errorID>282b55a6-b5c1-4356-b164-930d717c536a</errorID>
      <errorWord>辊筒</errorWord>
      <group>L1_Word</group>
      <groupName>字词问题</groupName>
      <ability>L2_Typo</ability>
      <abilityName>字词错误</abilityName>
      <candidateList>
        <item>滚筒</item>
      </candidateList>
      <explain>存在发音相同字词的误用。</explain>
      <paraID>58CCC8F2</paraID>
      <start>113</start>
      <end>115</end>
      <status>unmodified</status>
      <modifiedWord/>
      <trackRevisions>false</trackRevisions>
    </reviewItem>
    <reviewItem>
      <errorID>5a178d0f-a5cf-4a6a-b897-1cacab577789</errorID>
      <errorWord>粘合在一起</errorWord>
      <group>L1_Word</group>
      <groupName>字词问题</groupName>
      <ability>L2_Alias</ability>
      <abilityName>也作/曾用词</abilityName>
      <candidateList>
        <item>黏合在一起</item>
      </candidateList>
      <explain>词汇[粘合在一起]为不规范表述或旧称，其规范书面表述为[黏合在一起]。</explain>
      <paraID>4345CF1F</paraID>
      <start>133</start>
      <end>138</end>
      <status>unmodified</status>
      <modifiedWord/>
      <trackRevisions>false</trackRevisions>
    </reviewItem>
    <reviewItem>
      <errorID>a538e494-fe32-45ce-b3ff-a6b6055f03ea</errorID>
      <errorWord>(</errorWord>
      <group>L1_Format</group>
      <groupName>格式问题</groupName>
      <ability>L2_HalfPunc</ability>
      <abilityName>全半角检查</abilityName>
      <candidateList>
        <item>（</item>
      </candidateList>
      <explain>文本全半角错误。</explain>
      <paraID>4345CF1F</paraID>
      <start>167</start>
      <end>168</end>
      <status>unmodified</status>
      <modifiedWord/>
      <trackRevisions>false</trackRevisions>
    </reviewItem>
    <reviewItem>
      <errorID>47c89b24-2d76-4247-8e2d-784565078c4c</errorID>
      <errorWord>)</errorWord>
      <group>L1_Format</group>
      <groupName>格式问题</groupName>
      <ability>L2_HalfPunc</ability>
      <abilityName>全半角检查</abilityName>
      <candidateList>
        <item>）</item>
      </candidateList>
      <explain>文本全半角错误。</explain>
      <paraID>4345CF1F</paraID>
      <start>182</start>
      <end>183</end>
      <status>unmodified</status>
      <modifiedWord/>
      <trackRevisions>false</trackRevisions>
    </reviewItem>
    <reviewItem>
      <errorID>d9c69388-c656-4bf6-84d7-c7e811c03716</errorID>
      <errorWord>(</errorWord>
      <group>L1_Format</group>
      <groupName>格式问题</groupName>
      <ability>L2_HalfPunc</ability>
      <abilityName>全半角检查</abilityName>
      <candidateList>
        <item>（</item>
      </candidateList>
      <explain>文本全半角错误。</explain>
      <paraID>722941C3</paraID>
      <start>27</start>
      <end>28</end>
      <status>unmodified</status>
      <modifiedWord/>
      <trackRevisions>false</trackRevisions>
    </reviewItem>
    <reviewItem>
      <errorID>990dc505-da67-41b6-9260-381f5a322742</errorID>
      <errorWord>)</errorWord>
      <group>L1_Format</group>
      <groupName>格式问题</groupName>
      <ability>L2_HalfPunc</ability>
      <abilityName>全半角检查</abilityName>
      <candidateList>
        <item>）</item>
      </candidateList>
      <explain>文本全半角错误。</explain>
      <paraID>722941C3</paraID>
      <start>42</start>
      <end>43</end>
      <status>unmodified</status>
      <modifiedWord/>
      <trackRevisions>false</trackRevisions>
    </reviewItem>
    <reviewItem>
      <errorID>18875338-29e5-47f9-978e-838ab3031a37</errorID>
      <errorWord>辊筒</errorWord>
      <group>L1_Word</group>
      <groupName>字词问题</groupName>
      <ability>L2_Typo</ability>
      <abilityName>字词错误</abilityName>
      <candidateList>
        <item>滚筒</item>
      </candidateList>
      <explain>存在发音相同字词的误用。</explain>
      <paraID>76BA300F</paraID>
      <start>7</start>
      <end>9</end>
      <status>unmodified</status>
      <modifiedWord/>
      <trackRevisions>false</trackRevisions>
    </reviewItem>
    <reviewItem>
      <errorID>ef9d14cc-128f-4a28-a2c8-6f9bd0353ad6</errorID>
      <errorWord>[2017]4号</errorWord>
      <group>L1_Knowledge</group>
      <groupName>知识性问题</groupName>
      <ability>L2_Knowledge</ability>
      <abilityName>其他知识</abilityName>
      <candidateList>
        <item>〔2017〕4号</item>
      </candidateList>
      <explain>发文字号格式错误。</explain>
      <paraID>4406A492</paraID>
      <start>121</start>
      <end>129</end>
      <status>modified</status>
      <modifiedWord>〔2017〕4号</modifiedWord>
      <trackRevisions>false</trackRevisions>
    </reviewItem>
    <reviewItem>
      <errorID>8d4312aa-c8aa-4fdc-8499-ba9089f10374</errorID>
      <errorWord>[2017]4号</errorWord>
      <group>L1_Knowledge</group>
      <groupName>知识性问题</groupName>
      <ability>L2_Knowledge</ability>
      <abilityName>其他知识</abilityName>
      <candidateList>
        <item>〔2017〕4号</item>
      </candidateList>
      <explain>发文字号格式错误。</explain>
      <paraID>16DD7E62</paraID>
      <start>3</start>
      <end>11</end>
      <status>modified</status>
      <modifiedWord>〔2017〕4号</modifiedWord>
      <trackRevisions>false</trackRevisions>
    </reviewItem>
    <reviewItem>
      <errorID>90d1ebc3-8065-4c49-8313-4350789d317b</errorID>
      <errorWord>kw</errorWord>
      <group>L1_Word</group>
      <groupName>字词问题</groupName>
      <ability>L2_Typo</ability>
      <abilityName>字词错误</abilityName>
      <candidateList>
        <item>kW</item>
      </candidateList>
      <explain/>
      <paraID>1F40BA61</paraID>
      <start>3</start>
      <end>5</end>
      <status>unmodified</status>
      <modifiedWord/>
      <trackRevisions>false</trackRevisions>
    </reviewItem>
    <reviewItem>
      <errorID>7bd7d921-32da-48fd-bb56-e3896a4befac</errorID>
      <errorWord>一</errorWord>
      <group>L1_Word</group>
      <groupName>字词问题</groupName>
      <ability>L2_Typo</ability>
      <abilityName>字词错误</abilityName>
      <candidateList>
        <item>一种</item>
      </candidateList>
      <explain/>
      <paraID> 685E85F</paraID>
      <start>24</start>
      <end>25</end>
      <status>unmodified</status>
      <modifiedWord/>
      <trackRevisions>false</trackRevisions>
    </reviewItem>
    <reviewItem>
      <errorID>1a597f9a-5095-48a7-b648-32a5680bff76</errorID>
      <errorWord>粘稠</errorWord>
      <group>L1_Word</group>
      <groupName>字词问题</groupName>
      <ability>L2_Typo</ability>
      <abilityName>字词错误</abilityName>
      <candidateList>
        <item>黏稠</item>
      </candidateList>
      <explain>存在发音相同字词的误用。</explain>
      <paraID> 685E85F</paraID>
      <start>27</start>
      <end>29</end>
      <status>unmodified</status>
      <modifiedWord/>
      <trackRevisions>false</trackRevisions>
    </reviewItem>
    <reviewItem>
      <errorID>9616a322-b3ee-485d-ade3-5fec435d47b3</errorID>
      <errorWord>粘度</errorWord>
      <group>L1_Word</group>
      <groupName>字词问题</groupName>
      <ability>L2_Alias</ability>
      <abilityName>也作/曾用词</abilityName>
      <candidateList>
        <item>黏度</item>
      </candidateList>
      <explain>词汇[粘度]为不规范表述或旧称，其规范书面表述为[黏度]。</explain>
      <paraID> 685E85F</paraID>
      <start>41</start>
      <end>43</end>
      <status>unmodified</status>
      <modifiedWord/>
      <trackRevisions>false</trackRevisions>
    </reviewItem>
    <reviewItem>
      <errorID>117e2a95-e081-4fc8-8244-1246ece899a4</errorID>
      <errorWord>辊筒</errorWord>
      <group>L1_Word</group>
      <groupName>字词问题</groupName>
      <ability>L2_Typo</ability>
      <abilityName>字词错误</abilityName>
      <candidateList>
        <item>滚筒</item>
      </candidateList>
      <explain>存在发音相同字词的误用。</explain>
      <paraID>403CDF1D</paraID>
      <start>125</start>
      <end>127</end>
      <status>unmodified</status>
      <modifiedWord/>
      <trackRevisions>false</trackRevisions>
    </reviewItem>
    <reviewItem>
      <errorID>39a0a20b-3e52-4c6f-8825-664c8f64ac46</errorID>
      <errorWord>粘合在一起</errorWord>
      <group>L1_Word</group>
      <groupName>字词问题</groupName>
      <ability>L2_Alias</ability>
      <abilityName>也作/曾用词</abilityName>
      <candidateList>
        <item>黏合在一起</item>
      </candidateList>
      <explain>词汇[粘合在一起]为不规范表述或旧称，其规范书面表述为[黏合在一起]。</explain>
      <paraID>7A4838E4</paraID>
      <start>37</start>
      <end>42</end>
      <status>unmodified</status>
      <modifiedWord/>
      <trackRevisions>false</trackRevisions>
    </reviewItem>
    <reviewItem>
      <errorID>c3bf3537-1409-42fa-87a8-676bd9d5cdee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108DFC</paraID>
      <start>0</start>
      <end>2</end>
      <status>unmodified</status>
      <modifiedWord/>
      <trackRevisions>false</trackRevisions>
    </reviewItem>
    <reviewItem>
      <errorID>dfc85162-b2b8-41fc-a18e-a0582b9767be</errorID>
      <errorWord>[2014]30号</errorWord>
      <group>L1_Knowledge</group>
      <groupName>知识性问题</groupName>
      <ability>L2_Knowledge</ability>
      <abilityName>其他知识</abilityName>
      <candidateList>
        <item>〔2014〕30号</item>
      </candidateList>
      <explain>发文字号格式错误。</explain>
      <paraID>6E7B0813</paraID>
      <start>12</start>
      <end>21</end>
      <status>modified</status>
      <modifiedWord>〔2014〕30号</modifiedWord>
      <trackRevisions>false</trackRevisions>
    </reviewItem>
    <reviewItem>
      <errorID>34cae324-6e4a-443e-b65b-188e897f7633</errorID>
      <errorWord>、</errorWord>
      <group>L1_Punc</group>
      <groupName>标点问题</groupName>
      <ability>L2_Punc</ability>
      <abilityName>标点符号检查</abilityName>
      <candidateList>
        <item>.</item>
      </candidateList>
      <explain/>
      <paraID>6325CDDF</paraID>
      <start>1</start>
      <end>2</end>
      <status>unmodified</status>
      <modifiedWord/>
      <trackRevisions>false</trackRevisions>
    </reviewItem>
    <reviewItem>
      <errorID>c154a0cb-ce53-449e-bc50-08e67b45012b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3C57BFE0</paraID>
      <start>24</start>
      <end>25</end>
      <status>unmodified</status>
      <modifiedWord/>
      <trackRevisions>false</trackRevisions>
    </reviewItem>
    <reviewItem>
      <errorID>eafcf1f9-46ca-4708-8bff-bac9fd8201de</errorID>
      <errorWord>/）</errorWord>
      <group>L1_Punc</group>
      <groupName>标点问题</groupName>
      <ability>L2_Punc</ability>
      <abilityName>标点符号检查</abilityName>
      <candidateList>
        <item>）</item>
      </candidateList>
      <explain/>
      <paraID>3C57BFE0</paraID>
      <start>102</start>
      <end>104</end>
      <status>unmodified</status>
      <modifiedWord/>
      <trackRevisions>false</trackRevisions>
    </reviewItem>
    <reviewItem>
      <errorID>5227e8a5-10a4-45e5-a284-9e3df769b65b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D68C261</paraID>
      <start>15</start>
      <end>16</end>
      <status>unmodified</status>
      <modifiedWord/>
      <trackRevisions>false</trackRevisions>
    </reviewItem>
    <reviewItem>
      <errorID>2383127f-f49a-4552-8764-39281f7cfcea</errorID>
      <errorWord>、</errorWord>
      <group>L1_Punc</group>
      <groupName>标点问题</groupName>
      <ability>L2_Punc</ability>
      <abilityName>标点符号检查</abilityName>
      <candidateList>
        <item>.</item>
      </candidateList>
      <explain/>
      <paraID>6DB709E2</paraID>
      <start>1</start>
      <end>2</end>
      <status>unmodified</status>
      <modifiedWord/>
      <trackRevisions>false</trackRevisions>
    </reviewItem>
    <reviewItem>
      <errorID>25cc8675-7067-4289-aa7a-e6dc5c6bfa6f</errorID>
      <errorWord>州</errorWord>
      <group>L1_Word</group>
      <groupName>字词问题</groupName>
      <ability>L2_Typo</ability>
      <abilityName>字词错误</abilityName>
      <candidateList>
        <item>州市</item>
      </candidateList>
      <explain/>
      <paraID>22032315</paraID>
      <start>123</start>
      <end>124</end>
      <status>unmodified</status>
      <modifiedWord/>
      <trackRevisions>false</trackRevisions>
    </reviewItem>
    <reviewItem>
      <errorID>08089864-db26-474e-9e7e-20cb25f30439</errorID>
      <errorWord>量</errorWord>
      <group>L1_Word</group>
      <groupName>字词问题</groupName>
      <ability>L2_Typo</ability>
      <abilityName>字词错误</abilityName>
      <candidateList>
        <item>量和</item>
      </candidateList>
      <explain/>
      <paraID>22032315</paraID>
      <start>140</start>
      <end>141</end>
      <status>unmodified</status>
      <modifiedWord/>
      <trackRevisions>false</trackRevisions>
    </reviewItem>
    <reviewItem>
      <errorID>59611abe-1eee-42e3-8ec8-c10c463a2433</errorID>
      <errorWord>(</errorWord>
      <group>L1_Format</group>
      <groupName>格式问题</groupName>
      <ability>L2_HalfPunc</ability>
      <abilityName>全半角检查</abilityName>
      <candidateList>
        <item>（</item>
      </candidateList>
      <explain>文本全半角错误。</explain>
      <paraID>6DBA9D71</paraID>
      <start>9</start>
      <end>10</end>
      <status>unmodified</status>
      <modifiedWord/>
      <trackRevisions>false</trackRevisions>
    </reviewItem>
    <reviewItem>
      <errorID>062c016f-0969-421b-bd7f-da7eff9f1d6a</errorID>
      <errorWord>)</errorWord>
      <group>L1_Format</group>
      <groupName>格式问题</groupName>
      <ability>L2_HalfPunc</ability>
      <abilityName>全半角检查</abilityName>
      <candidateList>
        <item>）</item>
      </candidateList>
      <explain>文本全半角错误。</explain>
      <paraID>6DBA9D71</paraID>
      <start>23</start>
      <end>24</end>
      <status>unmodified</status>
      <modifiedWord/>
      <trackRevisions>false</trackRevisions>
    </reviewItem>
    <reviewItem>
      <errorID>d2aa1d4b-c131-4ea2-a6ee-26dc12bdcd4a</errorID>
      <errorWord>(</errorWord>
      <group>L1_Format</group>
      <groupName>格式问题</groupName>
      <ability>L2_HalfPunc</ability>
      <abilityName>全半角检查</abilityName>
      <candidateList>
        <item>（</item>
      </candidateList>
      <explain>文本全半角错误。</explain>
      <paraID>6DBA9D71</paraID>
      <start>122</start>
      <end>123</end>
      <status>unmodified</status>
      <modifiedWord/>
      <trackRevisions>false</trackRevisions>
    </reviewItem>
    <reviewItem>
      <errorID>a2d7a3cc-6cbe-4cbb-a259-99d4cc0b1ac3</errorID>
      <errorWord>)</errorWord>
      <group>L1_Format</group>
      <groupName>格式问题</groupName>
      <ability>L2_HalfPunc</ability>
      <abilityName>全半角检查</abilityName>
      <candidateList>
        <item>）</item>
      </candidateList>
      <explain>文本全半角错误。</explain>
      <paraID>6DBA9D71</paraID>
      <start>129</start>
      <end>130</end>
      <status>unmodified</status>
      <modifiedWord/>
      <trackRevisions>false</trackRevisions>
    </reviewItem>
    <reviewItem>
      <errorID>cbe12f66-f56d-4270-b9f4-caa2beeb6d7b</errorID>
      <errorWord>(</errorWord>
      <group>L1_Format</group>
      <groupName>格式问题</groupName>
      <ability>L2_HalfPunc</ability>
      <abilityName>全半角检查</abilityName>
      <candidateList>
        <item>（</item>
      </candidateList>
      <explain>文本全半角错误。</explain>
      <paraID>6DBA9D71</paraID>
      <start>162</start>
      <end>163</end>
      <status>unmodified</status>
      <modifiedWord/>
      <trackRevisions>false</trackRevisions>
    </reviewItem>
    <reviewItem>
      <errorID>f1b9c8d3-243d-4fd9-bbfe-7689cedc0ecf</errorID>
      <errorWord>)</errorWord>
      <group>L1_Format</group>
      <groupName>格式问题</groupName>
      <ability>L2_HalfPunc</ability>
      <abilityName>全半角检查</abilityName>
      <candidateList>
        <item>）</item>
      </candidateList>
      <explain>文本全半角错误。</explain>
      <paraID>6DBA9D71</paraID>
      <start>173</start>
      <end>174</end>
      <status>unmodified</status>
      <modifiedWord/>
      <trackRevisions>false</trackRevisions>
    </reviewItem>
    <reviewItem>
      <errorID>b1c2d387-946d-4fdf-9dac-9feb5ce8c3ce</errorID>
      <errorWord>(</errorWord>
      <group>L1_Format</group>
      <groupName>格式问题</groupName>
      <ability>L2_HalfPunc</ability>
      <abilityName>全半角检查</abilityName>
      <candidateList>
        <item>（</item>
      </candidateList>
      <explain>文本全半角错误。</explain>
      <paraID>6DBA9D71</paraID>
      <start>190</start>
      <end>191</end>
      <status>unmodified</status>
      <modifiedWord/>
      <trackRevisions>false</trackRevisions>
    </reviewItem>
    <reviewItem>
      <errorID>938edc75-cbfa-41f2-920b-f0a92ed580df</errorID>
      <errorWord>)</errorWord>
      <group>L1_Format</group>
      <groupName>格式问题</groupName>
      <ability>L2_HalfPunc</ability>
      <abilityName>全半角检查</abilityName>
      <candidateList>
        <item>）</item>
      </candidateList>
      <explain>文本全半角错误。</explain>
      <paraID>6DBA9D71</paraID>
      <start>198</start>
      <end>199</end>
      <status>unmodified</status>
      <modifiedWord/>
      <trackRevisions>false</trackRevisions>
    </reviewItem>
    <reviewItem>
      <errorID>53eea992-f1f4-46b8-89a6-968760bf62e7</errorID>
      <errorWord>(</errorWord>
      <group>L1_Format</group>
      <groupName>格式问题</groupName>
      <ability>L2_HalfPunc</ability>
      <abilityName>全半角检查</abilityName>
      <candidateList>
        <item>（</item>
      </candidateList>
      <explain>文本全半角错误。</explain>
      <paraID>6DBA9D71</paraID>
      <start>210</start>
      <end>211</end>
      <status>unmodified</status>
      <modifiedWord/>
      <trackRevisions>false</trackRevisions>
    </reviewItem>
    <reviewItem>
      <errorID>7b7433f4-5182-4478-b769-be2e22bad20c</errorID>
      <errorWord>)</errorWord>
      <group>L1_Format</group>
      <groupName>格式问题</groupName>
      <ability>L2_HalfPunc</ability>
      <abilityName>全半角检查</abilityName>
      <candidateList>
        <item>）</item>
      </candidateList>
      <explain>文本全半角错误。</explain>
      <paraID>6DBA9D71</paraID>
      <start>219</start>
      <end>220</end>
      <status>unmodified</status>
      <modifiedWord/>
      <trackRevisions>false</trackRevisions>
    </reviewItem>
    <reviewItem>
      <errorID>1e4d67b6-ee68-49c9-a5de-27e3150e6ff4</errorID>
      <errorWord>(</errorWord>
      <group>L1_Format</group>
      <groupName>格式问题</groupName>
      <ability>L2_HalfPunc</ability>
      <abilityName>全半角检查</abilityName>
      <candidateList>
        <item>（</item>
      </candidateList>
      <explain>文本全半角错误。</explain>
      <paraID>6DBA9D71</paraID>
      <start>239</start>
      <end>240</end>
      <status>unmodified</status>
      <modifiedWord/>
      <trackRevisions>false</trackRevisions>
    </reviewItem>
    <reviewItem>
      <errorID>f6f23905-f1a3-4cf9-9c4d-d413cbe1b0d9</errorID>
      <errorWord>)</errorWord>
      <group>L1_Format</group>
      <groupName>格式问题</groupName>
      <ability>L2_HalfPunc</ability>
      <abilityName>全半角检查</abilityName>
      <candidateList>
        <item>）</item>
      </candidateList>
      <explain>文本全半角错误。</explain>
      <paraID>6DBA9D71</paraID>
      <start>250</start>
      <end>251</end>
      <status>unmodified</status>
      <modifiedWord/>
      <trackRevisions>false</trackRevisions>
    </reviewItem>
    <reviewItem>
      <errorID>165ce6d3-a853-4a50-be35-d3bdad492b2f</errorID>
      <errorWord>(</errorWord>
      <group>L1_Format</group>
      <groupName>格式问题</groupName>
      <ability>L2_HalfPunc</ability>
      <abilityName>全半角检查</abilityName>
      <candidateList>
        <item>（</item>
      </candidateList>
      <explain>文本全半角错误。</explain>
      <paraID>6DBA9D71</paraID>
      <start>326</start>
      <end>327</end>
      <status>unmodified</status>
      <modifiedWord/>
      <trackRevisions>false</trackRevisions>
    </reviewItem>
    <reviewItem>
      <errorID>7dfd4fbb-db0c-4e53-9d9f-31878810207f</errorID>
      <errorWord>)</errorWord>
      <group>L1_Format</group>
      <groupName>格式问题</groupName>
      <ability>L2_HalfPunc</ability>
      <abilityName>全半角检查</abilityName>
      <candidateList>
        <item>）</item>
      </candidateList>
      <explain>文本全半角错误。</explain>
      <paraID>6DBA9D71</paraID>
      <start>398</start>
      <end>399</end>
      <status>unmodified</status>
      <modifiedWord/>
      <trackRevisions>false</trackRevisions>
    </reviewItem>
    <reviewItem>
      <errorID>13e4b517-3e75-4990-a80f-288aadef0bda</errorID>
      <errorWord>(</errorWord>
      <group>L1_Format</group>
      <groupName>格式问题</groupName>
      <ability>L2_HalfPunc</ability>
      <abilityName>全半角检查</abilityName>
      <candidateList>
        <item>（</item>
      </candidateList>
      <explain>文本全半角错误。</explain>
      <paraID>2B36EBAB</paraID>
      <start>33</start>
      <end>34</end>
      <status>unmodified</status>
      <modifiedWord/>
      <trackRevisions>false</trackRevisions>
    </reviewItem>
    <reviewItem>
      <errorID>5dc99e0c-6596-42d6-bf67-e7ca91a68a8c</errorID>
      <errorWord>)</errorWord>
      <group>L1_Format</group>
      <groupName>格式问题</groupName>
      <ability>L2_HalfPunc</ability>
      <abilityName>全半角检查</abilityName>
      <candidateList>
        <item>）</item>
      </candidateList>
      <explain>文本全半角错误。</explain>
      <paraID>2B36EBAB</paraID>
      <start>45</start>
      <end>46</end>
      <status>unmodified</status>
      <modifiedWord/>
      <trackRevisions>false</trackRevisions>
    </reviewItem>
    <reviewItem>
      <errorID>99b9665a-c8fe-4d72-858c-31d74996ee69</errorID>
      <errorWord>[2006]133号</errorWord>
      <group>L1_Knowledge</group>
      <groupName>知识性问题</groupName>
      <ability>L2_Knowledge</ability>
      <abilityName>其他知识</abilityName>
      <candidateList>
        <item>〔2006〕133号</item>
      </candidateList>
      <explain>发文字号格式错误。</explain>
      <paraID>5AD227EB</paraID>
      <start>33</start>
      <end>43</end>
      <status>modified</status>
      <modifiedWord>〔2006〕133号</modifiedWord>
      <trackRevisions>false</trackRevisions>
    </reviewItem>
    <reviewItem>
      <errorID>7fa0ab07-5744-4f02-b0ef-4a8f900392bf</errorID>
      <errorWord>～</errorWord>
      <group>L1_Format</group>
      <groupName>格式问题</groupName>
      <ability>L2_HalfPunc</ability>
      <abilityName>全半角检查</abilityName>
      <candidateList>
        <item>~</item>
      </candidateList>
      <explain>文本全半角错误。</explain>
      <paraID>2B1B5D30</paraID>
      <start>1</start>
      <end>2</end>
      <status>unmodified</status>
      <modifiedWord/>
      <trackRevisions>false</trackRevisions>
    </reviewItem>
    <reviewItem>
      <errorID>a58731e1-2d2c-421a-aecd-902d5cf6fcff</errorID>
      <errorWord>福建省生态厅</errorWord>
      <group>L1_Knowledge</group>
      <groupName>知识性问题</groupName>
      <ability>L2_Organization</ability>
      <abilityName>机构检查</abilityName>
      <candidateList>
        <item>福建省生态环境厅</item>
      </candidateList>
      <explain>机关单位全简称表述错误</explain>
      <paraID>1F466475</paraID>
      <start>29</start>
      <end>35</end>
      <status>unmodified</status>
      <modifiedWord/>
      <trackRevisions>false</trackRevisions>
    </reviewItem>
    <reviewItem>
      <errorID>ad004dc2-bf07-4d86-949f-4096b54614f4</errorID>
      <errorWord>(</errorWord>
      <group>L1_Format</group>
      <groupName>格式问题</groupName>
      <ability>L2_HalfPunc</ability>
      <abilityName>全半角检查</abilityName>
      <candidateList>
        <item>（</item>
      </candidateList>
      <explain>文本全半角错误。</explain>
      <paraID>1F466475</paraID>
      <start>59</start>
      <end>60</end>
      <status>unmodified</status>
      <modifiedWord/>
      <trackRevisions>false</trackRevisions>
    </reviewItem>
    <reviewItem>
      <errorID>7c93c78f-591c-4aec-93aa-e1bd6d69b788</errorID>
      <errorWord>)</errorWord>
      <group>L1_Format</group>
      <groupName>格式问题</groupName>
      <ability>L2_HalfPunc</ability>
      <abilityName>全半角检查</abilityName>
      <candidateList>
        <item>）</item>
      </candidateList>
      <explain>文本全半角错误。</explain>
      <paraID>1F466475</paraID>
      <start>153</start>
      <end>154</end>
      <status>unmodified</status>
      <modifiedWord/>
      <trackRevisions>false</trackRevisions>
    </reviewItem>
    <reviewItem>
      <errorID>33af332f-ad4a-4f20-ac3d-1f3775ebe827</errorID>
      <errorWord>(</errorWord>
      <group>L1_Format</group>
      <groupName>格式问题</groupName>
      <ability>L2_HalfPunc</ability>
      <abilityName>全半角检查</abilityName>
      <candidateList>
        <item>（</item>
      </candidateList>
      <explain>文本全半角错误。</explain>
      <paraID>17021F96</paraID>
      <start>20</start>
      <end>21</end>
      <status>unmodified</status>
      <modifiedWord/>
      <trackRevisions>false</trackRevisions>
    </reviewItem>
    <reviewItem>
      <errorID>9a46be75-f54a-436f-b622-36363b9fff64</errorID>
      <errorWord>)(</errorWord>
      <group>L1_Format</group>
      <groupName>格式问题</groupName>
      <ability>L2_HalfPunc</ability>
      <abilityName>全半角检查</abilityName>
      <candidateList>
        <item>）（</item>
      </candidateList>
      <explain>文本全半角错误。</explain>
      <paraID>17021F96</paraID>
      <start>26</start>
      <end>28</end>
      <status>unmodified</status>
      <modifiedWord/>
      <trackRevisions>false</trackRevisions>
    </reviewItem>
    <reviewItem>
      <errorID>3c6d02f0-f34e-427f-a3e4-6a155091d4d5</errorID>
      <errorWord>)</errorWord>
      <group>L1_Format</group>
      <groupName>格式问题</groupName>
      <ability>L2_HalfPunc</ability>
      <abilityName>全半角检查</abilityName>
      <candidateList>
        <item>）</item>
      </candidateList>
      <explain>文本全半角错误。</explain>
      <paraID>17021F96</paraID>
      <start>30</start>
      <end>31</end>
      <status>unmodified</status>
      <modifiedWord/>
      <trackRevisions>false</trackRevisions>
    </reviewItem>
    <reviewItem>
      <errorID>751d739b-9bf4-4ff5-ba4c-f686c7035d2b</errorID>
      <errorWord>(</errorWord>
      <group>L1_Format</group>
      <groupName>格式问题</groupName>
      <ability>L2_HalfPunc</ability>
      <abilityName>全半角检查</abilityName>
      <candidateList>
        <item>（</item>
      </candidateList>
      <explain>文本全半角错误。</explain>
      <paraID>17021F96</paraID>
      <start>32</start>
      <end>33</end>
      <status>unmodified</status>
      <modifiedWord/>
      <trackRevisions>false</trackRevisions>
    </reviewItem>
    <reviewItem>
      <errorID>780311e0-ac5a-4989-a124-a92ba832e13c</errorID>
      <errorWord>)</errorWord>
      <group>L1_Format</group>
      <groupName>格式问题</groupName>
      <ability>L2_HalfPunc</ability>
      <abilityName>全半角检查</abilityName>
      <candidateList>
        <item>）</item>
      </candidateList>
      <explain>文本全半角错误。</explain>
      <paraID>17021F96</paraID>
      <start>46</start>
      <end>47</end>
      <status>unmodified</status>
      <modifiedWord/>
      <trackRevisions>false</trackRevisions>
    </reviewItem>
    <reviewItem>
      <errorID>4d5d01c4-a33b-4208-9859-0b4f06280193</errorID>
      <errorWord>(</errorWord>
      <group>L1_Format</group>
      <groupName>格式问题</groupName>
      <ability>L2_HalfPunc</ability>
      <abilityName>全半角检查</abilityName>
      <candidateList>
        <item>（</item>
      </candidateList>
      <explain>文本全半角错误。</explain>
      <paraID>17021F96</paraID>
      <start>202</start>
      <end>203</end>
      <status>unmodified</status>
      <modifiedWord/>
      <trackRevisions>false</trackRevisions>
    </reviewItem>
    <reviewItem>
      <errorID>22c480bd-5190-4811-b844-f95e081a98f5</errorID>
      <errorWord>)(</errorWord>
      <group>L1_Format</group>
      <groupName>格式问题</groupName>
      <ability>L2_HalfPunc</ability>
      <abilityName>全半角检查</abilityName>
      <candidateList>
        <item>）（</item>
      </candidateList>
      <explain>文本全半角错误。</explain>
      <paraID>17021F96</paraID>
      <start>208</start>
      <end>210</end>
      <status>unmodified</status>
      <modifiedWord/>
      <trackRevisions>false</trackRevisions>
    </reviewItem>
    <reviewItem>
      <errorID>f8ca1b06-b207-44f4-a08a-4b1797feea2c</errorID>
      <errorWord>)</errorWord>
      <group>L1_Format</group>
      <groupName>格式问题</groupName>
      <ability>L2_HalfPunc</ability>
      <abilityName>全半角检查</abilityName>
      <candidateList>
        <item>）</item>
      </candidateList>
      <explain>文本全半角错误。</explain>
      <paraID>17021F96</paraID>
      <start>212</start>
      <end>213</end>
      <status>unmodified</status>
      <modifiedWord/>
      <trackRevisions>false</trackRevisions>
    </reviewItem>
    <reviewItem>
      <errorID>f880ef96-0efa-400e-839c-7d64fab76eaf</errorID>
      <errorWord>(</errorWord>
      <group>L1_Format</group>
      <groupName>格式问题</groupName>
      <ability>L2_HalfPunc</ability>
      <abilityName>全半角检查</abilityName>
      <candidateList>
        <item>（</item>
      </candidateList>
      <explain>文本全半角错误。</explain>
      <paraID>17021F96</paraID>
      <start>214</start>
      <end>215</end>
      <status>unmodified</status>
      <modifiedWord/>
      <trackRevisions>false</trackRevisions>
    </reviewItem>
    <reviewItem>
      <errorID>a34eba6f-562d-4334-b588-301876ea8d49</errorID>
      <errorWord>)</errorWord>
      <group>L1_Format</group>
      <groupName>格式问题</groupName>
      <ability>L2_HalfPunc</ability>
      <abilityName>全半角检查</abilityName>
      <candidateList>
        <item>）</item>
      </candidateList>
      <explain>文本全半角错误。</explain>
      <paraID>17021F96</paraID>
      <start>228</start>
      <end>229</end>
      <status>unmodified</status>
      <modifiedWord/>
      <trackRevisions>false</trackRevisions>
    </reviewItem>
    <reviewItem>
      <errorID>5398df13-ed65-4cb0-9f95-5e2277cc95de</errorID>
      <errorWord>（</errorWord>
      <group>L1_Punc</group>
      <groupName>标点问题</groupName>
      <ability>L2_Punc</ability>
      <abilityName>标点符号检查</abilityName>
      <candidateList/>
      <explain>同一形式括号套用。</explain>
      <paraID>7925A46B</paraID>
      <start>5</start>
      <end>6</end>
      <status>unmodified</status>
      <modifiedWord/>
      <trackRevisions>false</trackRevisions>
    </reviewItem>
    <reviewItem>
      <errorID>aab6acaf-c5ef-4c4b-a466-cbabc125997c</errorID>
      <errorWord>）</errorWord>
      <group>L1_Punc</group>
      <groupName>标点问题</groupName>
      <ability>L2_Punc</ability>
      <abilityName>标点符号检查</abilityName>
      <candidateList/>
      <explain>同一形式括号套用。</explain>
      <paraID>7925A46B</paraID>
      <start>7</start>
      <end>8</end>
      <status>unmodified</status>
      <modifiedWord/>
      <trackRevisions>false</trackRevisions>
    </reviewItem>
    <reviewItem>
      <errorID>37c57cb5-e811-410e-906d-e3dae72bc338</errorID>
      <errorWord>（</errorWord>
      <group>L1_Punc</group>
      <groupName>标点问题</groupName>
      <ability>L2_Punc</ability>
      <abilityName>标点符号检查</abilityName>
      <candidateList/>
      <explain>同一形式括号套用。</explain>
      <paraID>342193C9</paraID>
      <start>5</start>
      <end>6</end>
      <status>unmodified</status>
      <modifiedWord/>
      <trackRevisions>false</trackRevisions>
    </reviewItem>
    <reviewItem>
      <errorID>ff2bcb57-8596-412e-a62c-b5f664ee1ac3</errorID>
      <errorWord>）</errorWord>
      <group>L1_Punc</group>
      <groupName>标点问题</groupName>
      <ability>L2_Punc</ability>
      <abilityName>标点符号检查</abilityName>
      <candidateList/>
      <explain>同一形式括号套用。</explain>
      <paraID>342193C9</paraID>
      <start>7</start>
      <end>8</end>
      <status>unmodified</status>
      <modifiedWord/>
      <trackRevisions>false</trackRevisions>
    </reviewItem>
    <reviewItem>
      <errorID>f85bf3d3-19c7-4341-9518-716f4b1151bf</errorID>
      <errorWord>检测</errorWord>
      <group>L1_Word</group>
      <groupName>字词问题</groupName>
      <ability>L2_Typo</ability>
      <abilityName>字词错误</abilityName>
      <candidateList>
        <item>监测</item>
      </candidateList>
      <explain/>
      <paraID>65CC4B98</paraID>
      <start>131</start>
      <end>133</end>
      <status>unmodified</status>
      <modifiedWord/>
      <trackRevisions>false</trackRevisions>
    </reviewItem>
    <reviewItem>
      <errorID>98498c20-9ee1-4ddc-8d5b-12f61151897a</errorID>
      <errorWord>～</errorWord>
      <group>L1_Format</group>
      <groupName>格式问题</groupName>
      <ability>L2_HalfPunc</ability>
      <abilityName>全半角检查</abilityName>
      <candidateList>
        <item>~</item>
      </candidateList>
      <explain>文本全半角错误。</explain>
      <paraID> C87D828</paraID>
      <start>1</start>
      <end>2</end>
      <status>unmodified</status>
      <modifiedWord/>
      <trackRevisions>false</trackRevisions>
    </reviewItem>
    <reviewItem>
      <errorID>0b6f9279-ca61-4185-b44b-31d781208a55</errorID>
      <errorWord>（</errorWord>
      <group>L1_Punc</group>
      <groupName>标点问题</groupName>
      <ability>L2_Punc</ability>
      <abilityName>标点符号检查</abilityName>
      <candidateList/>
      <explain>同一形式括号套用。</explain>
      <paraID> 34FBEC7</paraID>
      <start>27</start>
      <end>28</end>
      <status>unmodified</status>
      <modifiedWord/>
      <trackRevisions>false</trackRevisions>
    </reviewItem>
    <reviewItem>
      <errorID>f1de07c7-29cf-4e10-bcf1-5638e6827db8</errorID>
      <errorWord>）</errorWord>
      <group>L1_Punc</group>
      <groupName>标点问题</groupName>
      <ability>L2_Punc</ability>
      <abilityName>标点符号检查</abilityName>
      <candidateList/>
      <explain>同一形式括号套用。</explain>
      <paraID> 34FBEC7</paraID>
      <start>42</start>
      <end>43</end>
      <status>unmodified</status>
      <modifiedWord/>
      <trackRevisions>false</trackRevisions>
    </reviewItem>
    <reviewItem>
      <errorID>d11c2ab3-1534-4273-86cd-17987f375075</errorID>
      <errorWord>程</errorWord>
      <group>L1_Word</group>
      <groupName>字词问题</groupName>
      <ability>L2_Typo</ability>
      <abilityName>字词错误</abilityName>
      <candidateList>
        <item>程中</item>
      </candidateList>
      <explain/>
      <paraID>4EA9F095</paraID>
      <start>40</start>
      <end>41</end>
      <status>unmodified</status>
      <modifiedWord/>
      <trackRevisions>false</trackRevisions>
    </reviewItem>
    <reviewItem>
      <errorID>1a6d560b-c533-4bdd-90c2-0b8c06004231</errorID>
      <errorWord>（</errorWord>
      <group>L1_Punc</group>
      <groupName>标点问题</groupName>
      <ability>L2_Punc</ability>
      <abilityName>标点符号检查</abilityName>
      <candidateList/>
      <explain>同一形式括号套用。</explain>
      <paraID>5F155C66</paraID>
      <start>5</start>
      <end>6</end>
      <status>unmodified</status>
      <modifiedWord/>
      <trackRevisions>false</trackRevisions>
    </reviewItem>
    <reviewItem>
      <errorID>d31a4c13-f027-4af3-976b-3e3f2b742b68</errorID>
      <errorWord>）</errorWord>
      <group>L1_Punc</group>
      <groupName>标点问题</groupName>
      <ability>L2_Punc</ability>
      <abilityName>标点符号检查</abilityName>
      <candidateList/>
      <explain>同一形式括号套用。</explain>
      <paraID>5F155C66</paraID>
      <start>7</start>
      <end>8</end>
      <status>unmodified</status>
      <modifiedWord/>
      <trackRevisions>false</trackRevisions>
    </reviewItem>
    <reviewItem>
      <errorID>60524100-0fd6-47d3-b850-fcb10f909c1f</errorID>
      <errorWord>（</errorWord>
      <group>L1_Punc</group>
      <groupName>标点问题</groupName>
      <ability>L2_Punc</ability>
      <abilityName>标点符号检查</abilityName>
      <candidateList/>
      <explain>同一形式括号套用。</explain>
      <paraID>51869EA1</paraID>
      <start>5</start>
      <end>6</end>
      <status>unmodified</status>
      <modifiedWord/>
      <trackRevisions>false</trackRevisions>
    </reviewItem>
    <reviewItem>
      <errorID>f9fdc0c4-091d-41c0-80c3-b8ebd73b4066</errorID>
      <errorWord>）</errorWord>
      <group>L1_Punc</group>
      <groupName>标点问题</groupName>
      <ability>L2_Punc</ability>
      <abilityName>标点符号检查</abilityName>
      <candidateList/>
      <explain>同一形式括号套用。</explain>
      <paraID>51869EA1</paraID>
      <start>7</start>
      <end>8</end>
      <status>unmodified</status>
      <modifiedWord/>
      <trackRevisions>false</trackRevisions>
    </reviewItem>
    <reviewItem>
      <errorID>9dce1838-5756-4cca-896e-1d24b31d0efd</errorID>
      <errorWord>[2014]13号</errorWord>
      <group>L1_Knowledge</group>
      <groupName>知识性问题</groupName>
      <ability>L2_Knowledge</ability>
      <abilityName>其他知识</abilityName>
      <candidateList>
        <item>〔2014〕13号</item>
      </candidateList>
      <explain>发文字号格式错误。</explain>
      <paraID>13951C61</paraID>
      <start>37</start>
      <end>46</end>
      <status>modified</status>
      <modifiedWord>〔2014〕13号</modifiedWord>
      <trackRevisions>false</trackRevisions>
    </reviewItem>
    <reviewItem>
      <errorID>536a7bd1-d44e-4885-acb7-d63ed5e6269a</errorID>
      <errorWord>(</errorWord>
      <group>L1_Format</group>
      <groupName>格式问题</groupName>
      <ability>L2_HalfPunc</ability>
      <abilityName>全半角检查</abilityName>
      <candidateList>
        <item>（</item>
      </candidateList>
      <explain>文本全半角错误。</explain>
      <paraID>384C7EED</paraID>
      <start>136</start>
      <end>137</end>
      <status>unmodified</status>
      <modifiedWord/>
      <trackRevisions>false</trackRevisions>
    </reviewItem>
    <reviewItem>
      <errorID>cbdf97f9-4cf0-400c-af70-ca8132fb4520</errorID>
      <errorWord>)</errorWord>
      <group>L1_Format</group>
      <groupName>格式问题</groupName>
      <ability>L2_HalfPunc</ability>
      <abilityName>全半角检查</abilityName>
      <candidateList>
        <item>）</item>
      </candidateList>
      <explain>文本全半角错误。</explain>
      <paraID>384C7EED</paraID>
      <start>138</start>
      <end>139</end>
      <status>unmodified</status>
      <modifiedWord/>
      <trackRevisions>false</trackRevisions>
    </reviewItem>
    <reviewItem>
      <errorID>6a408199-c790-4fc4-be2c-6b08ed62f343</errorID>
      <errorWord>[2017]22号</errorWord>
      <group>L1_Knowledge</group>
      <groupName>知识性问题</groupName>
      <ability>L2_Knowledge</ability>
      <abilityName>其他知识</abilityName>
      <candidateList>
        <item>〔2017〕22号</item>
      </candidateList>
      <explain>发文字号格式错误。</explain>
      <paraID>5707927B</paraID>
      <start>77</start>
      <end>86</end>
      <status>modified</status>
      <modifiedWord>〔2017〕22号</modifiedWord>
      <trackRevisions>false</trackRevisions>
    </reviewItem>
    <reviewItem>
      <errorID>a4fd2959-cfa9-40bf-9db1-40e2b5d62f33</errorID>
      <errorWord>(</errorWord>
      <group>L1_Format</group>
      <groupName>格式问题</groupName>
      <ability>L2_HalfPunc</ability>
      <abilityName>全半角检查</abilityName>
      <candidateList>
        <item>（</item>
      </candidateList>
      <explain>文本全半角错误。</explain>
      <paraID>2709A264</paraID>
      <start>41</start>
      <end>42</end>
      <status>unmodified</status>
      <modifiedWord/>
      <trackRevisions>false</trackRevisions>
    </reviewItem>
    <reviewItem>
      <errorID>ac8e9a8d-88b1-4b43-b58e-df6911d809f9</errorID>
      <errorWord>)</errorWord>
      <group>L1_Format</group>
      <groupName>格式问题</groupName>
      <ability>L2_HalfPunc</ability>
      <abilityName>全半角检查</abilityName>
      <candidateList>
        <item>）</item>
      </candidateList>
      <explain>文本全半角错误。</explain>
      <paraID>2709A264</paraID>
      <start>56</start>
      <end>57</end>
      <status>unmodified</status>
      <modifiedWord/>
      <trackRevisions>false</trackRevisions>
    </reviewItem>
    <reviewItem>
      <errorID>3634b926-de7c-483b-b291-34d9ceba5485</errorID>
      <errorWord>(</errorWord>
      <group>L1_Format</group>
      <groupName>格式问题</groupName>
      <ability>L2_HalfPunc</ability>
      <abilityName>全半角检查</abilityName>
      <candidateList>
        <item>（</item>
      </candidateList>
      <explain>文本全半角错误。</explain>
      <paraID>5FFF70D2</paraID>
      <start>35</start>
      <end>36</end>
      <status>unmodified</status>
      <modifiedWord/>
      <trackRevisions>false</trackRevisions>
    </reviewItem>
    <reviewItem>
      <errorID>c7ea0f6d-7d30-421d-a97f-128617a28882</errorID>
      <errorWord>)</errorWord>
      <group>L1_Format</group>
      <groupName>格式问题</groupName>
      <ability>L2_HalfPunc</ability>
      <abilityName>全半角检查</abilityName>
      <candidateList>
        <item>）</item>
      </candidateList>
      <explain>文本全半角错误。</explain>
      <paraID>5FFF70D2</paraID>
      <start>50</start>
      <end>51</end>
      <status>unmodified</status>
      <modifiedWord/>
      <trackRevisions>false</trackRevisions>
    </reviewItem>
    <reviewItem>
      <errorID>a74dc6ea-9727-4c94-aa7c-76fa6d233b5e</errorID>
      <errorWord>(</errorWord>
      <group>L1_Format</group>
      <groupName>格式问题</groupName>
      <ability>L2_HalfPunc</ability>
      <abilityName>全半角检查</abilityName>
      <candidateList>
        <item>（</item>
      </candidateList>
      <explain>文本全半角错误。</explain>
      <paraID>5FFF70D2</paraID>
      <start>142</start>
      <end>143</end>
      <status>unmodified</status>
      <modifiedWord/>
      <trackRevisions>false</trackRevisions>
    </reviewItem>
    <reviewItem>
      <errorID>206b7459-1fa3-4c6f-a458-0aa73ab5fb8a</errorID>
      <errorWord>)</errorWord>
      <group>L1_Format</group>
      <groupName>格式问题</groupName>
      <ability>L2_HalfPunc</ability>
      <abilityName>全半角检查</abilityName>
      <candidateList>
        <item>）</item>
      </candidateList>
      <explain>文本全半角错误。</explain>
      <paraID>5FFF70D2</paraID>
      <start>157</start>
      <end>158</end>
      <status>unmodified</status>
      <modifiedWord/>
      <trackRevisions>false</trackRevisions>
    </reviewItem>
    <reviewItem>
      <errorID>d836a7c3-f573-40f3-b4e2-40cf7a1d368c</errorID>
      <errorWord>80~90%</errorWord>
      <group>L1_Knowledge</group>
      <groupName>知识性问题</groupName>
      <ability>L2_Knowledge</ability>
      <abilityName>其他知识</abilityName>
      <candidateList>
        <item>80%～90%</item>
      </candidateList>
      <explain>1. “80~90%”中的单位“%”仅出现在后一个数字上，容易引起歧义；根据《现代汉语标点符号数字用法规范手册》，数字表示范围两边需要使用统一的格式。2. 根据标点国标 4.13 中的规则，数字、时间或地域连接符应使用（视觉上更长的）“—”或“～”。</explain>
      <paraID>5FFF70D2</paraID>
      <start>296</start>
      <end>302</end>
      <status>unmodified</status>
      <modifiedWord/>
      <trackRevisions>false</trackRevisions>
    </reviewItem>
    <reviewItem>
      <errorID>7724eaae-1f99-4a13-ae6f-d955b39b0ecf</errorID>
      <errorWord>[2023]</errorWord>
      <group>L1_Punc</group>
      <groupName>标点问题</groupName>
      <ability>L2_Punc</ability>
      <abilityName>标点符号检查</abilityName>
      <candidateList>
        <item>〔2023〕</item>
      </candidateList>
      <explain/>
      <paraID>5FFF70D2</paraID>
      <start>625</start>
      <end>631</end>
      <status>unmodified</status>
      <modifiedWord/>
      <trackRevisions>false</trackRevisions>
    </reviewItem>
    <reviewItem>
      <errorID>3681147d-05e5-444b-b48e-4698e4d3b725</errorID>
      <errorWord>(</errorWord>
      <group>L1_Format</group>
      <groupName>格式问题</groupName>
      <ability>L2_HalfPunc</ability>
      <abilityName>全半角检查</abilityName>
      <candidateList>
        <item>（</item>
      </candidateList>
      <explain>文本全半角错误。</explain>
      <paraID>28E41C17</paraID>
      <start>26</start>
      <end>27</end>
      <status>unmodified</status>
      <modifiedWord/>
      <trackRevisions>false</trackRevisions>
    </reviewItem>
    <reviewItem>
      <errorID>7d0dc74b-501a-4c80-918b-38ec8622ca57</errorID>
      <errorWord>)</errorWord>
      <group>L1_Format</group>
      <groupName>格式问题</groupName>
      <ability>L2_HalfPunc</ability>
      <abilityName>全半角检查</abilityName>
      <candidateList>
        <item>）</item>
      </candidateList>
      <explain>文本全半角错误。</explain>
      <paraID>28E41C17</paraID>
      <start>41</start>
      <end>42</end>
      <status>unmodified</status>
      <modifiedWord/>
      <trackRevisions>false</trackRevisions>
    </reviewItem>
    <reviewItem>
      <errorID>0c15e30f-c104-4e30-9084-b864a8b4b781</errorID>
      <errorWord>(</errorWord>
      <group>L1_Format</group>
      <groupName>格式问题</groupName>
      <ability>L2_HalfPunc</ability>
      <abilityName>全半角检查</abilityName>
      <candidateList>
        <item>（</item>
      </candidateList>
      <explain>文本全半角错误。</explain>
      <paraID>52167186</paraID>
      <start>26</start>
      <end>27</end>
      <status>unmodified</status>
      <modifiedWord/>
      <trackRevisions>false</trackRevisions>
    </reviewItem>
    <reviewItem>
      <errorID>871a71c4-bac7-4e4e-9d07-2231071495ce</errorID>
      <errorWord>)</errorWord>
      <group>L1_Format</group>
      <groupName>格式问题</groupName>
      <ability>L2_HalfPunc</ability>
      <abilityName>全半角检查</abilityName>
      <candidateList>
        <item>）</item>
      </candidateList>
      <explain>文本全半角错误。</explain>
      <paraID>52167186</paraID>
      <start>41</start>
      <end>42</end>
      <status>unmodified</status>
      <modifiedWord/>
      <trackRevisions>false</trackRevisions>
    </reviewItem>
    <reviewItem>
      <errorID>f6f4645b-88f4-43e8-9dd3-4e3a3f5c5ed3</errorID>
      <errorWord>(</errorWord>
      <group>L1_Format</group>
      <groupName>格式问题</groupName>
      <ability>L2_HalfPunc</ability>
      <abilityName>全半角检查</abilityName>
      <candidateList>
        <item>（</item>
      </candidateList>
      <explain>文本全半角错误。</explain>
      <paraID>71709761</paraID>
      <start>32</start>
      <end>33</end>
      <status>unmodified</status>
      <modifiedWord/>
      <trackRevisions>false</trackRevisions>
    </reviewItem>
    <reviewItem>
      <errorID>ce34ea05-6cff-42f5-98c8-5bbebfb86072</errorID>
      <errorWord>)</errorWord>
      <group>L1_Format</group>
      <groupName>格式问题</groupName>
      <ability>L2_HalfPunc</ability>
      <abilityName>全半角检查</abilityName>
      <candidateList>
        <item>）</item>
      </candidateList>
      <explain>文本全半角错误。</explain>
      <paraID>71709761</paraID>
      <start>47</start>
      <end>48</end>
      <status>unmodified</status>
      <modifiedWord/>
      <trackRevisions>false</trackRevisions>
    </reviewItem>
    <reviewItem>
      <errorID>6b5066e1-3427-4ddd-a6f0-daa19ebc27bc</errorID>
      <errorWord>，</errorWord>
      <group>L1_Word</group>
      <groupName>字词问题</groupName>
      <ability>L2_Typo</ability>
      <abilityName>字词错误</abilityName>
      <candidateList>
        <item>，使</item>
      </candidateList>
      <explain/>
      <paraID>16DBE458</paraID>
      <start>40</start>
      <end>41</end>
      <status>unmodified</status>
      <modifiedWord/>
      <trackRevisions>false</trackRevisions>
    </reviewItem>
    <reviewItem>
      <errorID>97989c64-50ae-4e64-8e4c-74a47fae5c38</errorID>
      <errorWord>(</errorWord>
      <group>L1_Format</group>
      <groupName>格式问题</groupName>
      <ability>L2_HalfPunc</ability>
      <abilityName>全半角检查</abilityName>
      <candidateList>
        <item>（</item>
      </candidateList>
      <explain>文本全半角错误。</explain>
      <paraID>5998A046</paraID>
      <start>30</start>
      <end>31</end>
      <status>unmodified</status>
      <modifiedWord/>
      <trackRevisions>false</trackRevisions>
    </reviewItem>
    <reviewItem>
      <errorID>1b34872a-fb00-4625-aa8e-c552bfa4ecdf</errorID>
      <errorWord>)</errorWord>
      <group>L1_Format</group>
      <groupName>格式问题</groupName>
      <ability>L2_HalfPunc</ability>
      <abilityName>全半角检查</abilityName>
      <candidateList>
        <item>）</item>
      </candidateList>
      <explain>文本全半角错误。</explain>
      <paraID>5998A046</paraID>
      <start>45</start>
      <end>46</end>
      <status>unmodified</status>
      <modifiedWord/>
      <trackRevisions>false</trackRevisions>
    </reviewItem>
    <reviewItem>
      <errorID>4eb0bd84-d056-493a-93e7-f696a9da454c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162AC0E</paraID>
      <start>0</start>
      <end>2</end>
      <status>unmodified</status>
      <modifiedWord/>
      <trackRevisions>false</trackRevisions>
    </reviewItem>
    <reviewItem>
      <errorID>44d9b0cd-105f-4861-9837-d383331b5ffa</errorID>
      <errorWord>(</errorWord>
      <group>L1_Format</group>
      <groupName>格式问题</groupName>
      <ability>L2_HalfPunc</ability>
      <abilityName>全半角检查</abilityName>
      <candidateList>
        <item>（</item>
      </candidateList>
      <explain>文本全半角错误。</explain>
      <paraID>327A5A22</paraID>
      <start>113</start>
      <end>114</end>
      <status>unmodified</status>
      <modifiedWord/>
      <trackRevisions>false</trackRevisions>
    </reviewItem>
    <reviewItem>
      <errorID>63c76e98-e220-4e9f-aa26-7782dae5a734</errorID>
      <errorWord>)</errorWord>
      <group>L1_Format</group>
      <groupName>格式问题</groupName>
      <ability>L2_HalfPunc</ability>
      <abilityName>全半角检查</abilityName>
      <candidateList>
        <item>）</item>
      </candidateList>
      <explain>文本全半角错误。</explain>
      <paraID>327A5A22</paraID>
      <start>116</start>
      <end>117</end>
      <status>unmodified</status>
      <modifiedWord/>
      <trackRevisions>false</trackRevisions>
    </reviewItem>
    <reviewItem>
      <errorID>09d4ecd5-94d7-4652-8b6c-3871a8ea4456</errorID>
      <errorWord>同此</errorWord>
      <group>L1_Word</group>
      <groupName>字词问题</groupName>
      <ability>L2_Typo</ability>
      <abilityName>字词错误</abilityName>
      <candidateList>
        <item>由此</item>
      </candidateList>
      <explain/>
      <paraID>327A5A22</paraID>
      <start>200</start>
      <end>202</end>
      <status>unmodified</status>
      <modifiedWord/>
      <trackRevisions>false</trackRevisions>
    </reviewItem>
    <reviewItem>
      <errorID>63fc9e53-ec1f-4baa-9195-c5d4d51da36d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FE5789C</paraID>
      <start>0</start>
      <end>2</end>
      <status>unmodified</status>
      <modifiedWord/>
      <trackRevisions>false</trackRevisions>
    </reviewItem>
    <reviewItem>
      <errorID>56e61b8c-9f3b-4199-83ec-896e79055a68</errorID>
      <errorWord>恶臭味</errorWord>
      <group>L1_Word</group>
      <groupName>字词问题</groupName>
      <ability>L2_Typo</ability>
      <abilityName>字词错误</abilityName>
      <candidateList>
        <item>恶臭</item>
      </candidateList>
      <explain/>
      <paraID>5E3A80D9</paraID>
      <start>49</start>
      <end>52</end>
      <status>unmodified</status>
      <modifiedWord/>
      <trackRevisions>false</trackRevisions>
    </reviewItem>
    <reviewItem>
      <errorID>033bbadd-54b0-4e2d-a324-9dcc3b59b3e8</errorID>
      <errorWord>输送到</errorWord>
      <group>L1_Word</group>
      <groupName>字词问题</groupName>
      <ability>L2_Typo</ability>
      <abilityName>字词错误</abilityName>
      <candidateList>
        <item>输送至</item>
      </candidateList>
      <explain/>
      <paraID>67E0E628</paraID>
      <start>32</start>
      <end>35</end>
      <status>unmodified</status>
      <modifiedWord/>
      <trackRevisions>false</trackRevisions>
    </reviewItem>
    <reviewItem>
      <errorID>b4771786-a23e-45c1-a1e2-0df7e6e183e6</errorID>
      <errorWord>(</errorWord>
      <group>L1_Format</group>
      <groupName>格式问题</groupName>
      <ability>L2_HalfPunc</ability>
      <abilityName>全半角检查</abilityName>
      <candidateList>
        <item>（</item>
      </candidateList>
      <explain>文本全半角错误。</explain>
      <paraID>7EF19D0D</paraID>
      <start>116</start>
      <end>117</end>
      <status>unmodified</status>
      <modifiedWord/>
      <trackRevisions>false</trackRevisions>
    </reviewItem>
    <reviewItem>
      <errorID>a9e120bf-771a-4cbc-87c2-8900ce55708f</errorID>
      <errorWord>)</errorWord>
      <group>L1_Format</group>
      <groupName>格式问题</groupName>
      <ability>L2_HalfPunc</ability>
      <abilityName>全半角检查</abilityName>
      <candidateList>
        <item>）</item>
      </candidateList>
      <explain>文本全半角错误。</explain>
      <paraID>7EF19D0D</paraID>
      <start>131</start>
      <end>132</end>
      <status>unmodified</status>
      <modifiedWord/>
      <trackRevisions>false</trackRevisions>
    </reviewItem>
    <reviewItem>
      <errorID>7aa66256-b30c-4702-b789-fd0c55ca87c0</errorID>
      <errorWord>(</errorWord>
      <group>L1_Format</group>
      <groupName>格式问题</groupName>
      <ability>L2_HalfPunc</ability>
      <abilityName>全半角检查</abilityName>
      <candidateList>
        <item>（</item>
      </candidateList>
      <explain>文本全半角错误。</explain>
      <paraID>7EF19D0D</paraID>
      <start>175</start>
      <end>176</end>
      <status>unmodified</status>
      <modifiedWord/>
      <trackRevisions>false</trackRevisions>
    </reviewItem>
    <reviewItem>
      <errorID>edd50ad8-2f35-4fc9-9b03-b15896bd9719</errorID>
      <errorWord>)</errorWord>
      <group>L1_Format</group>
      <groupName>格式问题</groupName>
      <ability>L2_HalfPunc</ability>
      <abilityName>全半角检查</abilityName>
      <candidateList>
        <item>）</item>
      </candidateList>
      <explain>文本全半角错误。</explain>
      <paraID>7EF19D0D</paraID>
      <start>190</start>
      <end>191</end>
      <status>unmodified</status>
      <modifiedWord/>
      <trackRevisions>false</trackRevisions>
    </reviewItem>
    <reviewItem>
      <errorID>fc15cd57-7a0d-4129-8468-372991b33db7</errorID>
      <errorWord>废气污染治理</errorWord>
      <group>L1_Knowledge</group>
      <groupName>知识性问题</groupName>
      <ability>L2_Term</ability>
      <abilityName>专业术语</abilityName>
      <candidateList>
        <item>大气污染治理</item>
      </candidateList>
      <explain/>
      <paraID>6EBFC460</paraID>
      <start>59</start>
      <end>65</end>
      <status>unmodified</status>
      <modifiedWord/>
      <trackRevisions>false</trackRevisions>
    </reviewItem>
    <reviewItem>
      <errorID>242d9ec8-1e57-49c2-b04e-5aa0478420a1</errorID>
      <errorWord>事</errorWord>
      <group>L1_Word</group>
      <groupName>字词问题</groupName>
      <ability>L2_Typo</ability>
      <abilityName>字词错误</abilityName>
      <candidateList>
        <item>时</item>
      </candidateList>
      <explain>存在发音相同字词的误用。</explain>
      <paraID>58450EE6</paraID>
      <start>65</start>
      <end>66</end>
      <status>unmodified</status>
      <modifiedWord/>
      <trackRevisions>false</trackRevisions>
    </reviewItem>
    <reviewItem>
      <errorID>1ef30b73-a302-4b64-8703-588a0e7ece53</errorID>
      <errorWord>(</errorWord>
      <group>L1_Format</group>
      <groupName>格式问题</groupName>
      <ability>L2_HalfPunc</ability>
      <abilityName>全半角检查</abilityName>
      <candidateList>
        <item>（</item>
      </candidateList>
      <explain>文本全半角错误。</explain>
      <paraID>783A76AF</paraID>
      <start>26</start>
      <end>27</end>
      <status>unmodified</status>
      <modifiedWord/>
      <trackRevisions>false</trackRevisions>
    </reviewItem>
    <reviewItem>
      <errorID>c99cff91-99c1-477f-9e56-d76748933b32</errorID>
      <errorWord>)</errorWord>
      <group>L1_Format</group>
      <groupName>格式问题</groupName>
      <ability>L2_HalfPunc</ability>
      <abilityName>全半角检查</abilityName>
      <candidateList>
        <item>）</item>
      </candidateList>
      <explain>文本全半角错误。</explain>
      <paraID>783A76AF</paraID>
      <start>41</start>
      <end>42</end>
      <status>unmodified</status>
      <modifiedWord/>
      <trackRevisions>false</trackRevisions>
    </reviewItem>
    <reviewItem>
      <errorID>f0d23d52-1f48-45bb-a989-2f79198ec00c</errorID>
      <errorWord>)</errorWord>
      <group>L1_Format</group>
      <groupName>格式问题</groupName>
      <ability>L2_HalfPunc</ability>
      <abilityName>全半角检查</abilityName>
      <candidateList>
        <item>）</item>
      </candidateList>
      <explain>文本全半角错误。</explain>
      <paraID>5B06C190</paraID>
      <start>40</start>
      <end>41</end>
      <status>unmodified</status>
      <modifiedWord/>
      <trackRevisions>false</trackRevisions>
    </reviewItem>
    <reviewItem>
      <errorID>b8a79f41-b1f8-4ba8-8d8f-746d3e69c0ce</errorID>
      <errorWord>、</errorWord>
      <group>L1_Punc</group>
      <groupName>标点问题</groupName>
      <ability>L2_Punc</ability>
      <abilityName>标点符号检查</abilityName>
      <candidateList>
        <item>.</item>
      </candidateList>
      <explain/>
      <paraID>2D3C91FD</paraID>
      <start>1</start>
      <end>2</end>
      <status>unmodified</status>
      <modifiedWord/>
      <trackRevisions>false</trackRevisions>
    </reviewItem>
    <reviewItem>
      <errorID>cec146a7-3a31-492b-917f-5962b977731f</errorID>
      <errorWord>＜</errorWord>
      <group>L1_Format</group>
      <groupName>格式问题</groupName>
      <ability>L2_HalfPunc</ability>
      <abilityName>全半角检查</abilityName>
      <candidateList>
        <item>&lt;</item>
      </candidateList>
      <explain>文本全半角错误。</explain>
      <paraID>10A81035</paraID>
      <start>4</start>
      <end>5</end>
      <status>unmodified</status>
      <modifiedWord/>
      <trackRevisions>false</trackRevisions>
    </reviewItem>
    <reviewItem>
      <errorID>70d981d0-fe29-42bc-827d-8dc155c46563</errorID>
      <errorWord>＞</errorWord>
      <group>L1_Format</group>
      <groupName>格式问题</groupName>
      <ability>L2_HalfPunc</ability>
      <abilityName>全半角检查</abilityName>
      <candidateList>
        <item>&gt;</item>
      </candidateList>
      <explain>文本全半角错误。</explain>
      <paraID>1A827448</paraID>
      <start>1</start>
      <end>2</end>
      <status>unmodified</status>
      <modifiedWord/>
      <trackRevisions>false</trackRevisions>
    </reviewItem>
    <reviewItem>
      <errorID>ef503ea0-aa8e-4db0-9dca-76a998820900</errorID>
      <errorWord>III</errorWord>
      <group>L1_Word</group>
      <groupName>字词问题</groupName>
      <ability>L2_Typo</ability>
      <abilityName>字词错误</abilityName>
      <candidateList>
        <item>Ⅲ</item>
      </candidateList>
      <explain/>
      <paraID>21C69680</paraID>
      <start>0</start>
      <end>3</end>
      <status>unmodified</status>
      <modifiedWord/>
      <trackRevisions>false</trackRevisions>
    </reviewItem>
    <reviewItem>
      <errorID>5b0f2df5-83e9-4cac-9765-a998c93d8ec3</errorID>
      <errorWord>III</errorWord>
      <group>L1_Word</group>
      <groupName>字词问题</groupName>
      <ability>L2_Typo</ability>
      <abilityName>字词错误</abilityName>
      <candidateList>
        <item>Ⅲ</item>
      </candidateList>
      <explain/>
      <paraID>1C81B1EE</paraID>
      <start>0</start>
      <end>3</end>
      <status>unmodified</status>
      <modifiedWord/>
      <trackRevisions>false</trackRevisions>
    </reviewItem>
    <reviewItem>
      <errorID>1051e0a5-4ebc-4350-8df2-4096d5febf78</errorID>
      <errorWord>III</errorWord>
      <group>L1_Word</group>
      <groupName>字词问题</groupName>
      <ability>L2_Typo</ability>
      <abilityName>字词错误</abilityName>
      <candidateList>
        <item>Ⅲ</item>
      </candidateList>
      <explain/>
      <paraID>1D049506</paraID>
      <start>0</start>
      <end>3</end>
      <status>unmodified</status>
      <modifiedWord/>
      <trackRevisions>false</trackRevisions>
    </reviewItem>
    <reviewItem>
      <errorID>330a1f96-db5a-4b06-88f5-3d99f26798b8</errorID>
      <errorWord>＜</errorWord>
      <group>L1_Format</group>
      <groupName>格式问题</groupName>
      <ability>L2_HalfPunc</ability>
      <abilityName>全半角检查</abilityName>
      <candidateList>
        <item>&lt;</item>
      </candidateList>
      <explain>文本全半角错误。</explain>
      <paraID>183E6641</paraID>
      <start>0</start>
      <end>1</end>
      <status>unmodified</status>
      <modifiedWord/>
      <trackRevisions>false</trackRevisions>
    </reviewItem>
    <reviewItem>
      <errorID>5580d9b5-4dbb-4a03-a592-5ef4e0afcfe0</errorID>
      <errorWord>＞</errorWord>
      <group>L1_Format</group>
      <groupName>格式问题</groupName>
      <ability>L2_HalfPunc</ability>
      <abilityName>全半角检查</abilityName>
      <candidateList>
        <item>&gt;</item>
      </candidateList>
      <explain>文本全半角错误。</explain>
      <paraID>7DECE8A2</paraID>
      <start>0</start>
      <end>1</end>
      <status>unmodified</status>
      <modifiedWord/>
      <trackRevisions>false</trackRevisions>
    </reviewItem>
    <reviewItem>
      <errorID>4d162861-2bd2-4d6b-b285-1c5776dc506d</errorID>
      <errorWord>＜</errorWord>
      <group>L1_Format</group>
      <groupName>格式问题</groupName>
      <ability>L2_HalfPunc</ability>
      <abilityName>全半角检查</abilityName>
      <candidateList>
        <item>&lt;</item>
      </candidateList>
      <explain>文本全半角错误。</explain>
      <paraID>2212C066</paraID>
      <start>0</start>
      <end>1</end>
      <status>unmodified</status>
      <modifiedWord/>
      <trackRevisions>false</trackRevisions>
    </reviewItem>
    <reviewItem>
      <errorID>7d5b3161-d6fb-4251-96af-7d1b154094b3</errorID>
      <errorWord>＞</errorWord>
      <group>L1_Format</group>
      <groupName>格式问题</groupName>
      <ability>L2_HalfPunc</ability>
      <abilityName>全半角检查</abilityName>
      <candidateList>
        <item>&gt;</item>
      </candidateList>
      <explain>文本全半角错误。</explain>
      <paraID>446BC9CB</paraID>
      <start>0</start>
      <end>1</end>
      <status>unmodified</status>
      <modifiedWord/>
      <trackRevisions>false</trackRevisions>
    </reviewItem>
    <reviewItem>
      <errorID>ab5fb68c-ba35-41c2-acfc-3771e201ab7f</errorID>
      <errorWord>＜</errorWord>
      <group>L1_Format</group>
      <groupName>格式问题</groupName>
      <ability>L2_HalfPunc</ability>
      <abilityName>全半角检查</abilityName>
      <candidateList>
        <item>&lt;</item>
      </candidateList>
      <explain>文本全半角错误。</explain>
      <paraID> 936BDA3</paraID>
      <start>0</start>
      <end>1</end>
      <status>unmodified</status>
      <modifiedWord/>
      <trackRevisions>false</trackRevisions>
    </reviewItem>
    <reviewItem>
      <errorID>783a2d2a-f2f3-4868-a684-c5e0d4fbe88e</errorID>
      <errorWord>＞</errorWord>
      <group>L1_Format</group>
      <groupName>格式问题</groupName>
      <ability>L2_HalfPunc</ability>
      <abilityName>全半角检查</abilityName>
      <candidateList>
        <item>&gt;</item>
      </candidateList>
      <explain>文本全半角错误。</explain>
      <paraID>1415C220</paraID>
      <start>0</start>
      <end>1</end>
      <status>unmodified</status>
      <modifiedWord/>
      <trackRevisions>false</trackRevisions>
    </reviewItem>
    <reviewItem>
      <errorID>4efe66d9-29f5-44f8-a698-0335453009c0</errorID>
      <errorWord>＜</errorWord>
      <group>L1_Format</group>
      <groupName>格式问题</groupName>
      <ability>L2_HalfPunc</ability>
      <abilityName>全半角检查</abilityName>
      <candidateList>
        <item>&lt;</item>
      </candidateList>
      <explain>文本全半角错误。</explain>
      <paraID> 8F4BE9C</paraID>
      <start>0</start>
      <end>1</end>
      <status>unmodified</status>
      <modifiedWord/>
      <trackRevisions>false</trackRevisions>
    </reviewItem>
    <reviewItem>
      <errorID>4f98ddaf-9412-4340-9132-61873f05f18e</errorID>
      <errorWord>＞</errorWord>
      <group>L1_Format</group>
      <groupName>格式问题</groupName>
      <ability>L2_HalfPunc</ability>
      <abilityName>全半角检查</abilityName>
      <candidateList>
        <item>&gt;</item>
      </candidateList>
      <explain>文本全半角错误。</explain>
      <paraID>30411009</paraID>
      <start>0</start>
      <end>1</end>
      <status>unmodified</status>
      <modifiedWord/>
      <trackRevisions>false</trackRevisions>
    </reviewItem>
    <reviewItem>
      <errorID>e41705ff-d813-47da-8bbe-f7f03acfd509</errorID>
      <errorWord>距离里</errorWord>
      <group>L1_Word</group>
      <groupName>字词问题</groupName>
      <ability>L2_Typo</ability>
      <abilityName>字词错误</abilityName>
      <candidateList>
        <item>距离</item>
      </candidateList>
      <explain>❶〈动〉在空间或时间上相隔：天津～北京约有一百二十公里｜现在～唐代已经有一千多年。❷〈名〉相隔的长度：等～｜拉开一定的～◇他的看法和你有～。</explain>
      <paraID> 1B39640</paraID>
      <start>73</start>
      <end>76</end>
      <status>unmodified</status>
      <modifiedWord/>
      <trackRevisions>false</trackRevisions>
    </reviewItem>
    <reviewItem>
      <errorID>dbf5fb21-bdb5-4420-a5fc-1dec4c1ff76f</errorID>
      <errorWord>没</errorWord>
      <group>L1_Word</group>
      <groupName>字词问题</groupName>
      <ability>L2_Typo</ability>
      <abilityName>字词错误</abilityName>
      <candidateList>
        <item>没有</item>
      </candidateList>
      <explain>〈副〉❶表示“已然”的否定：他还～回来｜天还～黑呢。❷表示“曾经”的否定：老张上个星期～回来过｜银行昨天～开门。</explain>
      <paraID> 1B39640</paraID>
      <start>92</start>
      <end>93</end>
      <status>unmodified</status>
      <modifiedWord/>
      <trackRevisions>false</trackRevisions>
    </reviewItem>
    <reviewItem>
      <errorID>a9f97577-e2f3-43a6-ac70-58e50bc415bf</errorID>
      <errorWord>：</errorWord>
      <group>L1_Format</group>
      <groupName>格式问题</groupName>
      <ability>L2_HalfPunc</ability>
      <abilityName>全半角检查</abilityName>
      <candidateList>
        <item>:</item>
      </candidateList>
      <explain>文本全半角错误。</explain>
      <paraID>2B881130</paraID>
      <start>90</start>
      <end>91</end>
      <status>unmodified</status>
      <modifiedWord/>
      <trackRevisions>false</trackRevisions>
    </reviewItem>
    <reviewItem>
      <errorID>c062154e-5b0e-47fb-9c7e-c6da1ecd5c77</errorID>
      <errorWord>：</errorWord>
      <group>L1_Format</group>
      <groupName>格式问题</groupName>
      <ability>L2_HalfPunc</ability>
      <abilityName>全半角检查</abilityName>
      <candidateList>
        <item>:</item>
      </candidateList>
      <explain>文本全半角错误。</explain>
      <paraID>2B881130</paraID>
      <start>272</start>
      <end>273</end>
      <status>unmodified</status>
      <modifiedWord/>
      <trackRevisions>false</trackRevisions>
    </reviewItem>
    <reviewItem>
      <errorID>14b5b1bb-2a98-4b94-ab9b-61f73aaa15b6</errorID>
      <errorWord>（</errorWord>
      <group>L1_Format</group>
      <groupName>格式问题</groupName>
      <ability>L2_HalfPunc</ability>
      <abilityName>全半角检查</abilityName>
      <candidateList>
        <item>(</item>
      </candidateList>
      <explain>文本全半角错误。</explain>
      <paraID>2143A877</paraID>
      <start>0</start>
      <end>1</end>
      <status>unmodified</status>
      <modifiedWord/>
      <trackRevisions>false</trackRevisions>
    </reviewItem>
    <reviewItem>
      <errorID>5b80aa81-13fa-484a-b21a-32a2ea5c92fd</errorID>
      <errorWord>）</errorWord>
      <group>L1_Format</group>
      <groupName>格式问题</groupName>
      <ability>L2_HalfPunc</ability>
      <abilityName>全半角检查</abilityName>
      <candidateList>
        <item>)</item>
      </candidateList>
      <explain>文本全半角错误。</explain>
      <paraID>2143A877</paraID>
      <start>4</start>
      <end>5</end>
      <status>unmodified</status>
      <modifiedWord/>
      <trackRevisions>false</trackRevisions>
    </reviewItem>
    <reviewItem>
      <errorID>914e0810-a680-4231-9894-29805a203d25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1BC1A8A5</paraID>
      <start>0</start>
      <end>2</end>
      <status>unmodified</status>
      <modifiedWord/>
      <trackRevisions>false</trackRevisions>
    </reviewItem>
    <reviewItem>
      <errorID>7c8cb511-b9bd-46f9-8aa1-9186bf39189d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6F6F8659</paraID>
      <start>0</start>
      <end>3</end>
      <status>unmodified</status>
      <modifiedWord/>
      <trackRevisions>false</trackRevisions>
    </reviewItem>
    <reviewItem>
      <errorID>5b0905c7-86ef-43d4-8593-c13ece67b220</errorID>
      <errorWord>联通</errorWord>
      <group>L1_Word</group>
      <groupName>字词问题</groupName>
      <ability>L2_Typo</ability>
      <abilityName>字词错误</abilityName>
      <candidateList>
        <item>连通</item>
      </candidateList>
      <explain>存在发音相同字词的误用。</explain>
      <paraID>2BBF745D</paraID>
      <start>22</start>
      <end>24</end>
      <status>unmodified</status>
      <modifiedWord/>
      <trackRevisions>false</trackRevisions>
    </reviewItem>
    <reviewItem>
      <errorID>78fcf755-9421-4bb6-99f4-6112755d609b</errorID>
      <errorWord>达</errorWord>
      <group>L1_Word</group>
      <groupName>字词问题</groupName>
      <ability>L2_Typo</ability>
      <abilityName>字词错误</abilityName>
      <candidateList>
        <item>达到</item>
      </candidateList>
      <explain>〈动〉到（多指抽象事物或程度）：达得到｜达不到｜目的没有～｜～国际水平。</explain>
      <paraID>2BBF745D</paraID>
      <start>96</start>
      <end>97</end>
      <status>unmodified</status>
      <modifiedWord/>
      <trackRevisions>false</trackRevisions>
    </reviewItem>
    <reviewItem>
      <errorID>ba1c84ff-832d-4ded-be32-e8ac53993047</errorID>
      <errorWord>阻窗</errorWord>
      <group>L1_Word</group>
      <groupName>字词问题</groupName>
      <ability>L2_Typo</ability>
      <abilityName>字词错误</abilityName>
      <candidateList>
        <item>阻塞</item>
      </candidateList>
      <explain/>
      <paraID>6ADFDAAA</paraID>
      <start>136</start>
      <end>138</end>
      <status>unmodified</status>
      <modifiedWord/>
      <trackRevisions>false</trackRevisions>
    </reviewItem>
    <reviewItem>
      <errorID>354dabda-53d8-4021-a26f-268119a8e9b8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28D4A585</paraID>
      <start>0</start>
      <end>3</end>
      <status>unmodified</status>
      <modifiedWord/>
      <trackRevisions>false</trackRevisions>
    </reviewItem>
    <reviewItem>
      <errorID>f2d61a68-289d-4e77-9df4-6638ce198a49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DE993D</paraID>
      <start>52</start>
      <end>53</end>
      <status>unmodified</status>
      <modifiedWord/>
      <trackRevisions>false</trackRevisions>
    </reviewItem>
    <reviewItem>
      <errorID>3a77e710-2263-414e-87ee-63a72de92424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76A97C4B</paraID>
      <start>0</start>
      <end>2</end>
      <status>unmodified</status>
      <modifiedWord/>
      <trackRevisions>false</trackRevisions>
    </reviewItem>
    <reviewItem>
      <errorID>d4a864c4-b988-4104-ad3f-6c73ebb5ea6c</errorID>
      <errorWord>（</errorWord>
      <group>L1_Punc</group>
      <groupName>标点问题</groupName>
      <ability>L2_Punc</ability>
      <abilityName>标点符号检查</abilityName>
      <candidateList/>
      <explain>同一形式括号套用。</explain>
      <paraID>6D57727E</paraID>
      <start>79</start>
      <end>80</end>
      <status>unmodified</status>
      <modifiedWord/>
      <trackRevisions>false</trackRevisions>
    </reviewItem>
    <reviewItem>
      <errorID>584eeed7-c116-477b-9989-b926d9dde81b</errorID>
      <errorWord>）</errorWord>
      <group>L1_Punc</group>
      <groupName>标点问题</groupName>
      <ability>L2_Punc</ability>
      <abilityName>标点符号检查</abilityName>
      <candidateList/>
      <explain>同一形式括号套用。</explain>
      <paraID>6D57727E</paraID>
      <start>94</start>
      <end>95</end>
      <status>unmodified</status>
      <modifiedWord/>
      <trackRevisions>false</trackRevisions>
    </reviewItem>
    <reviewItem>
      <errorID>a0d9d8b0-7735-4c92-96c4-2c3de8c4dedb</errorID>
      <errorWord>)</errorWord>
      <group>L1_Format</group>
      <groupName>格式问题</groupName>
      <ability>L2_HalfPunc</ability>
      <abilityName>全半角检查</abilityName>
      <candidateList>
        <item>）</item>
      </candidateList>
      <explain>文本全半角错误。</explain>
      <paraID>33E93003</paraID>
      <start>55</start>
      <end>56</end>
      <status>unmodified</status>
      <modifiedWord/>
      <trackRevisions>false</trackRevisions>
    </reviewItem>
    <reviewItem>
      <errorID>7d7aeeb1-51b8-47c2-9a96-706c1e80f59e</errorID>
      <errorWord>(</errorWord>
      <group>L1_Format</group>
      <groupName>格式问题</groupName>
      <ability>L2_HalfPunc</ability>
      <abilityName>全半角检查</abilityName>
      <candidateList>
        <item>（</item>
      </candidateList>
      <explain>文本全半角错误。</explain>
      <paraID>1F728F10</paraID>
      <start>28</start>
      <end>29</end>
      <status>unmodified</status>
      <modifiedWord/>
      <trackRevisions>false</trackRevisions>
    </reviewItem>
    <reviewItem>
      <errorID>16b114ed-53b4-4f51-9e47-f11fa11c9652</errorID>
      <errorWord>)</errorWord>
      <group>L1_Format</group>
      <groupName>格式问题</groupName>
      <ability>L2_HalfPunc</ability>
      <abilityName>全半角检查</abilityName>
      <candidateList>
        <item>）</item>
      </candidateList>
      <explain>文本全半角错误。</explain>
      <paraID>1F728F10</paraID>
      <start>39</start>
      <end>40</end>
      <status>unmodified</status>
      <modifiedWord/>
      <trackRevisions>false</trackRevisions>
    </reviewItem>
    <reviewItem>
      <errorID>46512809-95d9-41e2-96af-180df24fab71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8E718A8</paraID>
      <start>0</start>
      <end>3</end>
      <status>unmodified</status>
      <modifiedWord/>
      <trackRevisions>false</trackRevisions>
    </reviewItem>
    <reviewItem>
      <errorID>f9c08415-5576-4fcc-bd3b-45f0f4a2a1d5</errorID>
      <errorWord>)</errorWord>
      <group>L1_Format</group>
      <groupName>格式问题</groupName>
      <ability>L2_HalfPunc</ability>
      <abilityName>全半角检查</abilityName>
      <candidateList>
        <item>）</item>
      </candidateList>
      <explain>文本全半角错误。</explain>
      <paraID>3ED1ECFF</paraID>
      <start>4</start>
      <end>5</end>
      <status>unmodified</status>
      <modifiedWord/>
      <trackRevisions>false</trackRevisions>
    </reviewItem>
    <reviewItem>
      <errorID>79e625a3-d18b-44e8-a878-4f181be7d101</errorID>
      <errorWord>)</errorWord>
      <group>L1_Format</group>
      <groupName>格式问题</groupName>
      <ability>L2_HalfPunc</ability>
      <abilityName>全半角检查</abilityName>
      <candidateList>
        <item>）</item>
      </candidateList>
      <explain>文本全半角错误。</explain>
      <paraID>167DCD14</paraID>
      <start>5</start>
      <end>6</end>
      <status>unmodified</status>
      <modifiedWord/>
      <trackRevisions>false</trackRevisions>
    </reviewItem>
    <reviewItem>
      <errorID>8a4f2399-8b1a-436c-9d9e-d19bb27c86a1</errorID>
      <errorWord>(</errorWord>
      <group>L1_Format</group>
      <groupName>格式问题</groupName>
      <ability>L2_HalfPunc</ability>
      <abilityName>全半角检查</abilityName>
      <candidateList>
        <item>（</item>
      </candidateList>
      <explain>文本全半角错误。</explain>
      <paraID>1F66BE71</paraID>
      <start>9</start>
      <end>10</end>
      <status>unmodified</status>
      <modifiedWord/>
      <trackRevisions>false</trackRevisions>
    </reviewItem>
    <reviewItem>
      <errorID>bed6f5e8-6f49-4f58-b3f1-b79f4190cd98</errorID>
      <errorWord>)</errorWord>
      <group>L1_Format</group>
      <groupName>格式问题</groupName>
      <ability>L2_HalfPunc</ability>
      <abilityName>全半角检查</abilityName>
      <candidateList>
        <item>）</item>
      </candidateList>
      <explain>文本全半角错误。</explain>
      <paraID> 12C3F53</paraID>
      <start>4</start>
      <end>5</end>
      <status>unmodified</status>
      <modifiedWord/>
      <trackRevisions>false</trackRevisions>
    </reviewItem>
    <reviewItem>
      <errorID>c9d3f015-8593-4fcf-a9f9-f417a67a6e9a</errorID>
      <errorWord>)</errorWord>
      <group>L1_Format</group>
      <groupName>格式问题</groupName>
      <ability>L2_HalfPunc</ability>
      <abilityName>全半角检查</abilityName>
      <candidateList>
        <item>）</item>
      </candidateList>
      <explain>文本全半角错误。</explain>
      <paraID> 12C3F53</paraID>
      <start>21</start>
      <end>22</end>
      <status>unmodified</status>
      <modifiedWord/>
      <trackRevisions>false</trackRevisions>
    </reviewItem>
    <reviewItem>
      <errorID>d0de1a25-f5e0-4e99-a525-9755522dcfb9</errorID>
      <errorWord>)</errorWord>
      <group>L1_Format</group>
      <groupName>格式问题</groupName>
      <ability>L2_HalfPunc</ability>
      <abilityName>全半角检查</abilityName>
      <candidateList>
        <item>）</item>
      </candidateList>
      <explain>文本全半角错误。</explain>
      <paraID>1985FE50</paraID>
      <start>5</start>
      <end>6</end>
      <status>unmodified</status>
      <modifiedWord/>
      <trackRevisions>false</trackRevisions>
    </reviewItem>
    <reviewItem>
      <errorID>1132b9f7-bab5-45cd-a1c5-153d4f8bc78e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198BBFED</paraID>
      <start>0</start>
      <end>3</end>
      <status>unmodified</status>
      <modifiedWord/>
      <trackRevisions>false</trackRevisions>
    </reviewItem>
    <reviewItem>
      <errorID>95351957-4aed-4d2a-aa46-25db1573e6d4</errorID>
      <errorWord>(</errorWord>
      <group>L1_Format</group>
      <groupName>格式问题</groupName>
      <ability>L2_HalfPunc</ability>
      <abilityName>全半角检查</abilityName>
      <candidateList>
        <item>（</item>
      </candidateList>
      <explain>文本全半角错误。</explain>
      <paraID>214E9A5A</paraID>
      <start>43</start>
      <end>44</end>
      <status>unmodified</status>
      <modifiedWord/>
      <trackRevisions>false</trackRevisions>
    </reviewItem>
    <reviewItem>
      <errorID>f4528fbf-5ae2-4ac8-8e48-ba49d15d2021</errorID>
      <errorWord>)</errorWord>
      <group>L1_Format</group>
      <groupName>格式问题</groupName>
      <ability>L2_HalfPunc</ability>
      <abilityName>全半角检查</abilityName>
      <candidateList>
        <item>）</item>
      </candidateList>
      <explain>文本全半角错误。</explain>
      <paraID>214E9A5A</paraID>
      <start>47</start>
      <end>48</end>
      <status>unmodified</status>
      <modifiedWord/>
      <trackRevisions>false</trackRevisions>
    </reviewItem>
    <reviewItem>
      <errorID>091d3ebc-619d-4978-b6a4-f87a259a32d1</errorID>
      <errorWord>(</errorWord>
      <group>L1_Format</group>
      <groupName>格式问题</groupName>
      <ability>L2_HalfPunc</ability>
      <abilityName>全半角检查</abilityName>
      <candidateList>
        <item>（</item>
      </candidateList>
      <explain>文本全半角错误。</explain>
      <paraID>26BD27DD</paraID>
      <start>9</start>
      <end>10</end>
      <status>unmodified</status>
      <modifiedWord/>
      <trackRevisions>false</trackRevisions>
    </reviewItem>
    <reviewItem>
      <errorID>8debda04-ac6f-455e-9375-2934afb820b3</errorID>
      <errorWord>)</errorWord>
      <group>L1_Format</group>
      <groupName>格式问题</groupName>
      <ability>L2_HalfPunc</ability>
      <abilityName>全半角检查</abilityName>
      <candidateList>
        <item>）</item>
      </candidateList>
      <explain>文本全半角错误。</explain>
      <paraID>26BD27DD</paraID>
      <start>13</start>
      <end>14</end>
      <status>unmodified</status>
      <modifiedWord/>
      <trackRevisions>false</trackRevisions>
    </reviewItem>
    <reviewItem>
      <errorID>059a059f-a3ba-4720-8561-7ac57a429ffb</errorID>
      <errorWord>(</errorWord>
      <group>L1_Format</group>
      <groupName>格式问题</groupName>
      <ability>L2_HalfPunc</ability>
      <abilityName>全半角检查</abilityName>
      <candidateList>
        <item>（</item>
      </candidateList>
      <explain>文本全半角错误。</explain>
      <paraID>41AF1FAD</paraID>
      <start>9</start>
      <end>10</end>
      <status>unmodified</status>
      <modifiedWord/>
      <trackRevisions>false</trackRevisions>
    </reviewItem>
    <reviewItem>
      <errorID>1308c748-d207-4c09-b000-a40da368eb18</errorID>
      <errorWord>)</errorWord>
      <group>L1_Format</group>
      <groupName>格式问题</groupName>
      <ability>L2_HalfPunc</ability>
      <abilityName>全半角检查</abilityName>
      <candidateList>
        <item>）</item>
      </candidateList>
      <explain>文本全半角错误。</explain>
      <paraID>41AF1FAD</paraID>
      <start>13</start>
      <end>14</end>
      <status>unmodified</status>
      <modifiedWord/>
      <trackRevisions>false</trackRevisions>
    </reviewItem>
    <reviewItem>
      <errorID>549d3917-cc5c-4f7a-93bb-d7fe67c700a9</errorID>
      <errorWord>(</errorWord>
      <group>L1_Format</group>
      <groupName>格式问题</groupName>
      <ability>L2_HalfPunc</ability>
      <abilityName>全半角检查</abilityName>
      <candidateList>
        <item>（</item>
      </candidateList>
      <explain>文本全半角错误。</explain>
      <paraID>765F1A3E</paraID>
      <start>5</start>
      <end>6</end>
      <status>unmodified</status>
      <modifiedWord/>
      <trackRevisions>false</trackRevisions>
    </reviewItem>
    <reviewItem>
      <errorID>a0bd7539-a1da-40f0-8082-75fe29352aa7</errorID>
      <errorWord>)</errorWord>
      <group>L1_Format</group>
      <groupName>格式问题</groupName>
      <ability>L2_HalfPunc</ability>
      <abilityName>全半角检查</abilityName>
      <candidateList>
        <item>）</item>
      </candidateList>
      <explain>文本全半角错误。</explain>
      <paraID>765F1A3E</paraID>
      <start>9</start>
      <end>10</end>
      <status>unmodified</status>
      <modifiedWord/>
      <trackRevisions>false</trackRevisions>
    </reviewItem>
    <reviewItem>
      <errorID>9149620e-b470-48a7-907f-0975d41acea3</errorID>
      <errorWord>(</errorWord>
      <group>L1_Format</group>
      <groupName>格式问题</groupName>
      <ability>L2_HalfPunc</ability>
      <abilityName>全半角检查</abilityName>
      <candidateList>
        <item>（</item>
      </candidateList>
      <explain>文本全半角错误。</explain>
      <paraID> 2F793D0</paraID>
      <start>9</start>
      <end>10</end>
      <status>unmodified</status>
      <modifiedWord/>
      <trackRevisions>false</trackRevisions>
    </reviewItem>
    <reviewItem>
      <errorID>84e072e4-73fc-492e-9269-f503bfd70297</errorID>
      <errorWord>)</errorWord>
      <group>L1_Format</group>
      <groupName>格式问题</groupName>
      <ability>L2_HalfPunc</ability>
      <abilityName>全半角检查</abilityName>
      <candidateList>
        <item>）</item>
      </candidateList>
      <explain>文本全半角错误。</explain>
      <paraID> 2F793D0</paraID>
      <start>13</start>
      <end>14</end>
      <status>unmodified</status>
      <modifiedWord/>
      <trackRevisions>false</trackRevisions>
    </reviewItem>
    <reviewItem>
      <errorID>ab96eab3-b115-41fa-81d2-452edcd0cb7c</errorID>
      <errorWord>(</errorWord>
      <group>L1_Format</group>
      <groupName>格式问题</groupName>
      <ability>L2_HalfPunc</ability>
      <abilityName>全半角检查</abilityName>
      <candidateList>
        <item>（</item>
      </candidateList>
      <explain>文本全半角错误。</explain>
      <paraID>6EEE3DA5</paraID>
      <start>10</start>
      <end>11</end>
      <status>unmodified</status>
      <modifiedWord/>
      <trackRevisions>false</trackRevisions>
    </reviewItem>
    <reviewItem>
      <errorID>e03c81e8-751b-44cb-a2bd-df8afdc86d97</errorID>
      <errorWord>)</errorWord>
      <group>L1_Format</group>
      <groupName>格式问题</groupName>
      <ability>L2_HalfPunc</ability>
      <abilityName>全半角检查</abilityName>
      <candidateList>
        <item>）</item>
      </candidateList>
      <explain>文本全半角错误。</explain>
      <paraID>6EEE3DA5</paraID>
      <start>18</start>
      <end>19</end>
      <status>unmodified</status>
      <modifiedWord/>
      <trackRevisions>false</trackRevisions>
    </reviewItem>
    <reviewItem>
      <errorID>4acf50cf-c9af-450f-ac85-0a84a02bafdd</errorID>
      <errorWord>)</errorWord>
      <group>L1_Format</group>
      <groupName>格式问题</groupName>
      <ability>L2_HalfPunc</ability>
      <abilityName>全半角检查</abilityName>
      <candidateList>
        <item>）</item>
      </candidateList>
      <explain>文本全半角错误。</explain>
      <paraID> D46B00D</paraID>
      <start>16</start>
      <end>17</end>
      <status>unmodified</status>
      <modifiedWord/>
      <trackRevisions>false</trackRevisions>
    </reviewItem>
    <reviewItem>
      <errorID>97083bac-10ba-4232-9433-7915ec4bdc1a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4523EBA6</paraID>
      <start>0</start>
      <end>3</end>
      <status>unmodified</status>
      <modifiedWord/>
      <trackRevisions>false</trackRevisions>
    </reviewItem>
    <reviewItem>
      <errorID>b1dd207f-d00c-448d-bb24-fd85972e521c</errorID>
      <errorWord>)</errorWord>
      <group>L1_Format</group>
      <groupName>格式问题</groupName>
      <ability>L2_HalfPunc</ability>
      <abilityName>全半角检查</abilityName>
      <candidateList>
        <item>）</item>
      </candidateList>
      <explain>文本全半角错误。</explain>
      <paraID>4523EBA6</paraID>
      <start>14</start>
      <end>15</end>
      <status>unmodified</status>
      <modifiedWord/>
      <trackRevisions>false</trackRevisions>
    </reviewItem>
    <reviewItem>
      <errorID>fa204fc5-48ab-4701-9b4e-9aa6d1f77290</errorID>
      <errorWord>)</errorWord>
      <group>L1_Format</group>
      <groupName>格式问题</groupName>
      <ability>L2_HalfPunc</ability>
      <abilityName>全半角检查</abilityName>
      <candidateList>
        <item>）</item>
      </candidateList>
      <explain>文本全半角错误。</explain>
      <paraID>591BAB09</paraID>
      <start>20</start>
      <end>21</end>
      <status>unmodified</status>
      <modifiedWord/>
      <trackRevisions>false</trackRevisions>
    </reviewItem>
    <reviewItem>
      <errorID>2fb9cda7-a9fc-4e57-ac99-425bad7e632b</errorID>
      <errorWord>(</errorWord>
      <group>L1_Format</group>
      <groupName>格式问题</groupName>
      <ability>L2_HalfPunc</ability>
      <abilityName>全半角检查</abilityName>
      <candidateList>
        <item>（</item>
      </candidateList>
      <explain>文本全半角错误。</explain>
      <paraID>157D5E1A</paraID>
      <start>10</start>
      <end>11</end>
      <status>unmodified</status>
      <modifiedWord/>
      <trackRevisions>false</trackRevisions>
    </reviewItem>
    <reviewItem>
      <errorID>9553c824-72db-4039-86ab-ec0871a75223</errorID>
      <errorWord>)</errorWord>
      <group>L1_Format</group>
      <groupName>格式问题</groupName>
      <ability>L2_HalfPunc</ability>
      <abilityName>全半角检查</abilityName>
      <candidateList>
        <item>）</item>
      </candidateList>
      <explain>文本全半角错误。</explain>
      <paraID>157D5E1A</paraID>
      <start>12</start>
      <end>13</end>
      <status>unmodified</status>
      <modifiedWord/>
      <trackRevisions>false</trackRevisions>
    </reviewItem>
    <reviewItem>
      <errorID>d259a809-198b-4480-800b-ff43672476ac</errorID>
      <errorWord>(</errorWord>
      <group>L1_Format</group>
      <groupName>格式问题</groupName>
      <ability>L2_HalfPunc</ability>
      <abilityName>全半角检查</abilityName>
      <candidateList>
        <item>（</item>
      </candidateList>
      <explain>文本全半角错误。</explain>
      <paraID> 58FB928</paraID>
      <start>19</start>
      <end>20</end>
      <status>unmodified</status>
      <modifiedWord/>
      <trackRevisions>false</trackRevisions>
    </reviewItem>
    <reviewItem>
      <errorID>747b739b-2f96-447a-8495-d0936323c505</errorID>
      <errorWord>)</errorWord>
      <group>L1_Format</group>
      <groupName>格式问题</groupName>
      <ability>L2_HalfPunc</ability>
      <abilityName>全半角检查</abilityName>
      <candidateList>
        <item>）</item>
      </candidateList>
      <explain>文本全半角错误。</explain>
      <paraID> 58FB928</paraID>
      <start>29</start>
      <end>30</end>
      <status>unmodified</status>
      <modifiedWord/>
      <trackRevisions>false</trackRevisions>
    </reviewItem>
    <reviewItem>
      <errorID>e30668b4-3207-41f6-a79d-8274c7fdc529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368BD697</paraID>
      <start>0</start>
      <end>3</end>
      <status>unmodified</status>
      <modifiedWord/>
      <trackRevisions>false</trackRevisions>
    </reviewItem>
    <reviewItem>
      <errorID>5a5e9d84-c217-4f2c-b78c-93068947def4</errorID>
      <errorWord>(</errorWord>
      <group>L1_Format</group>
      <groupName>格式问题</groupName>
      <ability>L2_HalfPunc</ability>
      <abilityName>全半角检查</abilityName>
      <candidateList>
        <item>（</item>
      </candidateList>
      <explain>文本全半角错误。</explain>
      <paraID>2DB43699</paraID>
      <start>97</start>
      <end>98</end>
      <status>unmodified</status>
      <modifiedWord/>
      <trackRevisions>false</trackRevisions>
    </reviewItem>
    <reviewItem>
      <errorID>06f72119-8ce5-4814-8e2f-4c23913719e0</errorID>
      <errorWord>)</errorWord>
      <group>L1_Format</group>
      <groupName>格式问题</groupName>
      <ability>L2_HalfPunc</ability>
      <abilityName>全半角检查</abilityName>
      <candidateList>
        <item>）</item>
      </candidateList>
      <explain>文本全半角错误。</explain>
      <paraID>2DB43699</paraID>
      <start>102</start>
      <end>103</end>
      <status>unmodified</status>
      <modifiedWord/>
      <trackRevisions>false</trackRevisions>
    </reviewItem>
    <reviewItem>
      <errorID>cb1bb80c-51f7-4f31-a02f-bd6b39d922c8</errorID>
      <errorWord>)</errorWord>
      <group>L1_Format</group>
      <groupName>格式问题</groupName>
      <ability>L2_HalfPunc</ability>
      <abilityName>全半角检查</abilityName>
      <candidateList>
        <item>）</item>
      </candidateList>
      <explain>文本全半角错误。</explain>
      <paraID>7D4AE5B1</paraID>
      <start>32</start>
      <end>33</end>
      <status>unmodified</status>
      <modifiedWord/>
      <trackRevisions>false</trackRevisions>
    </reviewItem>
    <reviewItem>
      <errorID>540a36d4-02ac-4611-b502-ba2dfa171529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24F8944F</paraID>
      <start>0</start>
      <end>3</end>
      <status>unmodified</status>
      <modifiedWord/>
      <trackRevisions>false</trackRevisions>
    </reviewItem>
    <reviewItem>
      <errorID>499e70d0-b505-403c-80ea-a27a18f0e2f3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4EA2E906</paraID>
      <start>0</start>
      <end>3</end>
      <status>unmodified</status>
      <modifiedWord/>
      <trackRevisions>false</trackRevisions>
    </reviewItem>
    <reviewItem>
      <errorID>c2452161-7394-4703-a523-4f3c22979a36</errorID>
      <errorWord>后后</errorWord>
      <group>L1_Word</group>
      <groupName>字词问题</groupName>
      <ability>L2_Typo</ability>
      <abilityName>字词错误</abilityName>
      <candidateList>
        <item>后</item>
      </candidateList>
      <explain>❶君主的妻子：皇～｜～妃。❷古代称君主：商之先～。❸（Hòu）〈名〉姓。</explain>
      <paraID>5AD2629F</paraID>
      <start>36</start>
      <end>37</end>
      <status>modified</status>
      <modifiedWord>后</modifiedWord>
      <trackRevisions>false</trackRevisions>
    </reviewItem>
    <reviewItem>
      <errorID>d6c22f12-2b41-4b3d-8186-a2fcc93a7a72</errorID>
      <errorWord>)</errorWord>
      <group>L1_Format</group>
      <groupName>格式问题</groupName>
      <ability>L2_HalfPunc</ability>
      <abilityName>全半角检查</abilityName>
      <candidateList>
        <item>）</item>
      </candidateList>
      <explain>文本全半角错误。</explain>
      <paraID>5AD2629F</paraID>
      <start>50</start>
      <end>51</end>
      <status>unmodified</status>
      <modifiedWord/>
      <trackRevisions>false</trackRevisions>
    </reviewItem>
    <reviewItem>
      <errorID>0657520c-01a2-4122-8100-a331868c3581</errorID>
      <errorWord>)</errorWord>
      <group>L1_Format</group>
      <groupName>格式问题</groupName>
      <ability>L2_HalfPunc</ability>
      <abilityName>全半角检查</abilityName>
      <candidateList>
        <item>）</item>
      </candidateList>
      <explain>文本全半角错误。</explain>
      <paraID>5AD2629F</paraID>
      <start>64</start>
      <end>65</end>
      <status>unmodified</status>
      <modifiedWord/>
      <trackRevisions>false</trackRevisions>
    </reviewItem>
    <reviewItem>
      <errorID>0dafd850-c670-4c3b-bf9e-ff497fcdcb1d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2888524D</paraID>
      <start>0</start>
      <end>3</end>
      <status>unmodified</status>
      <modifiedWord/>
      <trackRevisions>false</trackRevisions>
    </reviewItem>
    <reviewItem>
      <errorID>abc13498-3ebf-484e-8f8f-43d95dcdc361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55F0C9A0</paraID>
      <start>0</start>
      <end>3</end>
      <status>unmodified</status>
      <modifiedWord/>
      <trackRevisions>false</trackRevisions>
    </reviewItem>
    <reviewItem>
      <errorID>a291b509-6ee2-4e3c-8143-e174f57acf3d</errorID>
      <errorWord>源源</errorWord>
      <group>L1_Word</group>
      <groupName>字词问题</groupName>
      <ability>L2_Typo</ability>
      <abilityName>字词错误</abilityName>
      <candidateList>
        <item>源</item>
      </candidateList>
      <explain/>
      <paraID>57C3070F</paraID>
      <start>1</start>
      <end>3</end>
      <status>unmodified</status>
      <modifiedWord/>
      <trackRevisions>false</trackRevisions>
    </reviewItem>
    <reviewItem>
      <errorID>fba6ce57-5954-4bba-b818-46406b986ee6</errorID>
      <errorWord>源源</errorWord>
      <group>L1_Word</group>
      <groupName>字词问题</groupName>
      <ability>L2_Typo</ability>
      <abilityName>字词错误</abilityName>
      <candidateList>
        <item>源</item>
      </candidateList>
      <explain/>
      <paraID>388B3670</paraID>
      <start>4</start>
      <end>6</end>
      <status>unmodified</status>
      <modifiedWord/>
      <trackRevisions>false</trackRevisions>
    </reviewItem>
    <reviewItem>
      <errorID>b0397989-4f65-4e38-b0c0-444346139ab6</errorID>
      <errorWord>（</errorWord>
      <group>L1_Punc</group>
      <groupName>标点问题</groupName>
      <ability>L2_Punc</ability>
      <abilityName>标点符号检查</abilityName>
      <candidateList/>
      <explain>同一形式括号套用。</explain>
      <paraID>188B82F4</paraID>
      <start>15</start>
      <end>16</end>
      <status>unmodified</status>
      <modifiedWord/>
      <trackRevisions>false</trackRevisions>
    </reviewItem>
    <reviewItem>
      <errorID>0e68d57e-cda7-4947-bed7-fb803fd68764</errorID>
      <errorWord>）</errorWord>
      <group>L1_Punc</group>
      <groupName>标点问题</groupName>
      <ability>L2_Punc</ability>
      <abilityName>标点符号检查</abilityName>
      <candidateList/>
      <explain>同一形式括号套用。</explain>
      <paraID>188B82F4</paraID>
      <start>17</start>
      <end>18</end>
      <status>unmodified</status>
      <modifiedWord/>
      <trackRevisions>false</trackRevisions>
    </reviewItem>
    <reviewItem>
      <errorID>17d239bb-edb6-490b-95a7-3f18c70664b5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67376C50</paraID>
      <start>0</start>
      <end>3</end>
      <status>unmodified</status>
      <modifiedWord/>
      <trackRevisions>false</trackRevisions>
    </reviewItem>
    <reviewItem>
      <errorID>841a3348-a682-4240-b2b0-384debe5353f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28AE191E</paraID>
      <start>0</start>
      <end>3</end>
      <status>unmodified</status>
      <modifiedWord/>
      <trackRevisions>false</trackRevisions>
    </reviewItem>
    <reviewItem>
      <errorID>585a0f57-f3c1-4922-a199-78b5806cdd88</errorID>
      <errorWord>剥离下</errorWord>
      <group>L1_Word</group>
      <groupName>字词问题</groupName>
      <ability>L2_Typo</ability>
      <abilityName>字词错误</abilityName>
      <candidateList>
        <item>剥离</item>
      </candidateList>
      <explain/>
      <paraID> BD06D79</paraID>
      <start>158</start>
      <end>161</end>
      <status>unmodified</status>
      <modifiedWord/>
      <trackRevisions>false</trackRevisions>
    </reviewItem>
    <reviewItem>
      <errorID>c54e0854-5ee7-4151-bf9f-db41f63730d9</errorID>
      <errorWord>（</errorWord>
      <group>L1_Punc</group>
      <groupName>标点问题</groupName>
      <ability>L2_Punc</ability>
      <abilityName>标点符号检查</abilityName>
      <candidateList/>
      <explain>同一形式括号套用。</explain>
      <paraID> 5F5E881</paraID>
      <start>138</start>
      <end>139</end>
      <status>unmodified</status>
      <modifiedWord/>
      <trackRevisions>false</trackRevisions>
    </reviewItem>
    <reviewItem>
      <errorID>a591787d-ee7b-4848-b075-1572ae6de6aa</errorID>
      <errorWord>）</errorWord>
      <group>L1_Punc</group>
      <groupName>标点问题</groupName>
      <ability>L2_Punc</ability>
      <abilityName>标点符号检查</abilityName>
      <candidateList/>
      <explain>同一形式括号套用。</explain>
      <paraID> 5F5E881</paraID>
      <start>156</start>
      <end>157</end>
      <status>unmodified</status>
      <modifiedWord/>
      <trackRevisions>false</trackRevisions>
    </reviewItem>
    <reviewItem>
      <errorID>1f1424bc-e539-4827-83c7-8772b77336cd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447B04E4</paraID>
      <start>135</start>
      <end>136</end>
      <status>unmodified</status>
      <modifiedWord/>
      <trackRevisions>false</trackRevisions>
    </reviewItem>
    <reviewItem>
      <errorID>ac861ee7-386a-40cb-a8c4-ab1064ac22ad</errorID>
      <errorWord>项目经颗粒</errorWord>
      <group>L1_Knowledge</group>
      <groupName>知识性问题</groupName>
      <ability>L2_Knowledge</ability>
      <abilityName>其他知识</abilityName>
      <candidateList>
        <item>项目细颗粒</item>
      </candidateList>
      <explain/>
      <paraID>447B04E4</paraID>
      <start>175</start>
      <end>180</end>
      <status>unmodified</status>
      <modifiedWord/>
      <trackRevisions>false</trackRevisions>
    </reviewItem>
    <reviewItem>
      <errorID>9b544be1-6cac-4964-b9d5-65c0feaa92aa</errorID>
      <errorWord>（</errorWord>
      <group>L1_Punc</group>
      <groupName>标点问题</groupName>
      <ability>L2_Punc</ability>
      <abilityName>标点符号检查</abilityName>
      <candidateList/>
      <explain/>
      <paraID>447B04E4</paraID>
      <start>368</start>
      <end>369</end>
      <status>unmodified</status>
      <modifiedWord/>
      <trackRevisions>false</trackRevisions>
    </reviewItem>
    <reviewItem>
      <errorID>ac4317a8-ad96-4e4b-8734-1863852a367f</errorID>
      <errorWord>(</errorWord>
      <group>L1_Format</group>
      <groupName>格式问题</groupName>
      <ability>L2_HalfPunc</ability>
      <abilityName>全半角检查</abilityName>
      <candidateList>
        <item>（</item>
      </candidateList>
      <explain>文本全半角错误。</explain>
      <paraID> 91377FC</paraID>
      <start>82</start>
      <end>83</end>
      <status>unmodified</status>
      <modifiedWord/>
      <trackRevisions>false</trackRevisions>
    </reviewItem>
    <reviewItem>
      <errorID>1db79b48-83be-4608-a555-d73567f21058</errorID>
      <errorWord>)</errorWord>
      <group>L1_Format</group>
      <groupName>格式问题</groupName>
      <ability>L2_HalfPunc</ability>
      <abilityName>全半角检查</abilityName>
      <candidateList>
        <item>）</item>
      </candidateList>
      <explain>文本全半角错误。</explain>
      <paraID> 91377FC</paraID>
      <start>89</start>
      <end>90</end>
      <status>unmodified</status>
      <modifiedWord/>
      <trackRevisions>false</trackRevisions>
    </reviewItem>
    <reviewItem>
      <errorID>62254416-18c5-4820-a329-3cf1244df4e3</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42E58092</paraID>
      <start>0</start>
      <end>3</end>
      <status>unmodified</status>
      <modifiedWord/>
      <trackRevisions>false</trackRevisions>
    </reviewItem>
    <reviewItem>
      <errorID>2aee0c11-e025-4e00-be4d-1488e0eba651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1134A51F</paraID>
      <start>0</start>
      <end>3</end>
      <status>unmodified</status>
      <modifiedWord/>
      <trackRevisions>false</trackRevisions>
    </reviewItem>
    <reviewItem>
      <errorID>638e5f4c-51ef-44b8-b02f-96757cf67f3b</errorID>
      <errorWord>约为</errorWord>
      <group>L1_Word</group>
      <groupName>字词问题</groupName>
      <ability>L2_Typo</ability>
      <abilityName>字词错误</abilityName>
      <candidateList>
        <item>约</item>
      </candidateList>
      <explain/>
      <paraID>46D79A35</paraID>
      <start>26</start>
      <end>28</end>
      <status>unmodified</status>
      <modifiedWord/>
      <trackRevisions>false</trackRevisions>
    </reviewItem>
    <reviewItem>
      <errorID>3873e760-a911-4cca-9900-6bc0f73b72a7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5843AD0F</paraID>
      <start>0</start>
      <end>3</end>
      <status>unmodified</status>
      <modifiedWord/>
      <trackRevisions>false</trackRevisions>
    </reviewItem>
    <reviewItem>
      <errorID>800f307e-5f39-4455-9ae1-2b1b18c1679d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55424E53</paraID>
      <start>161</start>
      <end>162</end>
      <status>unmodified</status>
      <modifiedWord/>
      <trackRevisions>false</trackRevisions>
    </reviewItem>
    <reviewItem>
      <errorID>0201c33c-b586-451a-ba37-98fbec598cde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55424E53</paraID>
      <start>202</start>
      <end>203</end>
      <status>unmodified</status>
      <modifiedWord/>
      <trackRevisions>false</trackRevisions>
    </reviewItem>
    <reviewItem>
      <errorID>f514b153-55b9-4e24-ac8b-3c9790039d85</errorID>
      <errorWord>，</errorWord>
      <group>L1_Word</group>
      <groupName>字词问题</groupName>
      <ability>L2_Typo</ability>
      <abilityName>字词错误</abilityName>
      <candidateList>
        <item>，项</item>
      </candidateList>
      <explain/>
      <paraID>5050F611</paraID>
      <start>18</start>
      <end>19</end>
      <status>unmodified</status>
      <modifiedWord/>
      <trackRevisions>false</trackRevisions>
    </reviewItem>
    <reviewItem>
      <errorID>5efbe7ad-c791-43b1-92b4-a562941a54bf</errorID>
      <errorWord>，在</errorWord>
      <group>L1_Word</group>
      <groupName>字词问题</groupName>
      <ability>L2_Typo</ability>
      <abilityName>字词错误</abilityName>
      <candidateList>
        <item>，</item>
      </candidateList>
      <explain/>
      <paraID>37BEF12C</paraID>
      <start>96</start>
      <end>98</end>
      <status>unmodified</status>
      <modifiedWord/>
      <trackRevisions>false</trackRevisions>
    </reviewItem>
    <reviewItem>
      <errorID>819507f2-0acd-44ec-9fcd-1f114db37d74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45B027DE</paraID>
      <start>0</start>
      <end>3</end>
      <status>unmodified</status>
      <modifiedWord/>
      <trackRevisions>false</trackRevisions>
    </reviewItem>
    <reviewItem>
      <errorID>09462dd9-566a-4799-9085-5d100a5b6372</errorID>
      <errorWord>IV类</errorWord>
      <group>L1_Knowledge</group>
      <groupName>知识性问题</groupName>
      <ability>L2_Knowledge</ability>
      <abilityName>其他知识</abilityName>
      <candidateList>
        <item>Ⅳ类</item>
      </candidateList>
      <explain/>
      <paraID>6F80B072</paraID>
      <start>72</start>
      <end>75</end>
      <status>unmodified</status>
      <modifiedWord/>
      <trackRevisions>false</trackRevisions>
    </reviewItem>
    <reviewItem>
      <errorID>d4e2c5dc-66fc-4e85-ad94-b783aa7d5953</errorID>
      <errorWord>影响型</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36FE011F</paraID>
      <start>207</start>
      <end>210</end>
      <status>unmodified</status>
      <modifiedWord/>
      <trackRevisions>false</trackRevisions>
    </reviewItem>
    <reviewItem>
      <errorID>0ff3552f-54b7-4f1e-bcd5-302d09ac3205</errorID>
      <errorWord>-</errorWord>
      <group>L1_Format</group>
      <groupName>格式问题</groupName>
      <ability>L2_HalfPunc</ability>
      <abilityName>全半角检查</abilityName>
      <candidateList>
        <item>－</item>
      </candidateList>
      <explain>文本全半角错误。</explain>
      <paraID>7E27C8D1</paraID>
      <start>3</start>
      <end>4</end>
      <status>unmodified</status>
      <modifiedWord/>
      <trackRevisions>false</trackRevisions>
    </reviewItem>
    <reviewItem>
      <errorID>2449dca3-327c-41a1-b40c-b7d8c46191bd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5995FF7E</paraID>
      <start>81</start>
      <end>82</end>
      <status>unmodified</status>
      <modifiedWord/>
      <trackRevisions>false</trackRevisions>
    </reviewItem>
    <reviewItem>
      <errorID>b4fae036-8ff7-4e2d-bdbe-0f5af723ab6e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6A776E92</paraID>
      <start>77</start>
      <end>78</end>
      <status>unmodified</status>
      <modifiedWord/>
      <trackRevisions>false</trackRevisions>
    </reviewItem>
    <reviewItem>
      <errorID>a6a68019-a78f-42c5-8361-1c75a82fd9a2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46A3C696</paraID>
      <start>0</start>
      <end>2</end>
      <status>unmodified</status>
      <modifiedWord/>
      <trackRevisions>false</trackRevisions>
    </reviewItem>
    <reviewItem>
      <errorID>59efeed6-5b43-45d8-a6c6-04d2f5e6d580</errorID>
      <errorWord>(</errorWord>
      <group>L1_Format</group>
      <groupName>格式问题</groupName>
      <ability>L2_HalfPunc</ability>
      <abilityName>全半角检查</abilityName>
      <candidateList>
        <item>（</item>
      </candidateList>
      <explain>文本全半角错误。</explain>
      <paraID>4693EBF3</paraID>
      <start>18</start>
      <end>19</end>
      <status>unmodified</status>
      <modifiedWord/>
      <trackRevisions>false</trackRevisions>
    </reviewItem>
    <reviewItem>
      <errorID>67f96f52-5d2b-46e3-88f9-479533972f35</errorID>
      <errorWord>)</errorWord>
      <group>L1_Format</group>
      <groupName>格式问题</groupName>
      <ability>L2_HalfPunc</ability>
      <abilityName>全半角检查</abilityName>
      <candidateList>
        <item>）</item>
      </candidateList>
      <explain>文本全半角错误。</explain>
      <paraID>4693EBF3</paraID>
      <start>29</start>
      <end>30</end>
      <status>unmodified</status>
      <modifiedWord/>
      <trackRevisions>false</trackRevisions>
    </reviewItem>
    <reviewItem>
      <errorID>fcd82ce7-3fd0-44f4-b406-894b513ccdbf</errorID>
      <errorWord>(</errorWord>
      <group>L1_Format</group>
      <groupName>格式问题</groupName>
      <ability>L2_HalfPunc</ability>
      <abilityName>全半角检查</abilityName>
      <candidateList>
        <item>（</item>
      </candidateList>
      <explain>文本全半角错误。</explain>
      <paraID>4693EBF3</paraID>
      <start>135</start>
      <end>136</end>
      <status>unmodified</status>
      <modifiedWord/>
      <trackRevisions>false</trackRevisions>
    </reviewItem>
    <reviewItem>
      <errorID>15539cf6-a99d-499a-a882-43a0ab4f3955</errorID>
      <errorWord>)</errorWord>
      <group>L1_Format</group>
      <groupName>格式问题</groupName>
      <ability>L2_HalfPunc</ability>
      <abilityName>全半角检查</abilityName>
      <candidateList>
        <item>）</item>
      </candidateList>
      <explain>文本全半角错误。</explain>
      <paraID>4693EBF3</paraID>
      <start>137</start>
      <end>138</end>
      <status>unmodified</status>
      <modifiedWord/>
      <trackRevisions>false</trackRevisions>
    </reviewItem>
    <reviewItem>
      <errorID>a8d897c1-9139-407e-b026-c5c968ac2827</errorID>
      <errorWord>，…，</errorWord>
      <group>L1_Punc</group>
      <groupName>标点问题</groupName>
      <ability>L2_Punc</ability>
      <abilityName>标点符号检查</abilityName>
      <candidateList>
        <item>，</item>
      </candidateList>
      <explain/>
      <paraID>429A0613</paraID>
      <start>8</start>
      <end>11</end>
      <status>unmodified</status>
      <modifiedWord/>
      <trackRevisions>false</trackRevisions>
    </reviewItem>
    <reviewItem>
      <errorID>0b910e25-c5d0-407b-8e3b-9b03762959d8</errorID>
      <errorWord>，…，</errorWord>
      <group>L1_Punc</group>
      <groupName>标点问题</groupName>
      <ability>L2_Punc</ability>
      <abilityName>标点符号检查</abilityName>
      <candidateList>
        <item>，</item>
      </candidateList>
      <explain/>
      <paraID>29E7E71D</paraID>
      <start>5</start>
      <end>8</end>
      <status>unmodified</status>
      <modifiedWord/>
      <trackRevisions>false</trackRevisions>
    </reviewItem>
    <reviewItem>
      <errorID>eed799c1-31f4-4160-8d5e-727b9f5bb868</errorID>
      <errorWord>(</errorWord>
      <group>L1_Format</group>
      <groupName>格式问题</groupName>
      <ability>L2_HalfPunc</ability>
      <abilityName>全半角检查</abilityName>
      <candidateList>
        <item>（</item>
      </candidateList>
      <explain>文本全半角错误。</explain>
      <paraID>6EF370C2</paraID>
      <start>13</start>
      <end>14</end>
      <status>unmodified</status>
      <modifiedWord/>
      <trackRevisions>false</trackRevisions>
    </reviewItem>
    <reviewItem>
      <errorID>1b7cf599-6227-476e-9b5c-fb1e88177062</errorID>
      <errorWord>)</errorWord>
      <group>L1_Format</group>
      <groupName>格式问题</groupName>
      <ability>L2_HalfPunc</ability>
      <abilityName>全半角检查</abilityName>
      <candidateList>
        <item>）</item>
      </candidateList>
      <explain>文本全半角错误。</explain>
      <paraID>6EF370C2</paraID>
      <start>15</start>
      <end>16</end>
      <status>unmodified</status>
      <modifiedWord/>
      <trackRevisions>false</trackRevisions>
    </reviewItem>
    <reviewItem>
      <errorID>6fd25131-8106-44f2-a40a-83d81105024e</errorID>
      <errorWord>(</errorWord>
      <group>L1_Format</group>
      <groupName>格式问题</groupName>
      <ability>L2_HalfPunc</ability>
      <abilityName>全半角检查</abilityName>
      <candidateList>
        <item>（</item>
      </candidateList>
      <explain>文本全半角错误。</explain>
      <paraID>6EF370C2</paraID>
      <start>23</start>
      <end>24</end>
      <status>unmodified</status>
      <modifiedWord/>
      <trackRevisions>false</trackRevisions>
    </reviewItem>
    <reviewItem>
      <errorID>a997462a-cc14-4632-8ba8-e4373cf518d9</errorID>
      <errorWord>)</errorWord>
      <group>L1_Format</group>
      <groupName>格式问题</groupName>
      <ability>L2_HalfPunc</ability>
      <abilityName>全半角检查</abilityName>
      <candidateList>
        <item>）</item>
      </candidateList>
      <explain>文本全半角错误。</explain>
      <paraID>6EF370C2</paraID>
      <start>25</start>
      <end>26</end>
      <status>unmodified</status>
      <modifiedWord/>
      <trackRevisions>false</trackRevisions>
    </reviewItem>
    <reviewItem>
      <errorID>ebfe6a00-de6f-4636-8988-e5c64fc4fd7f</errorID>
      <errorWord>(</errorWord>
      <group>L1_Format</group>
      <groupName>格式问题</groupName>
      <ability>L2_HalfPunc</ability>
      <abilityName>全半角检查</abilityName>
      <candidateList>
        <item>（</item>
      </candidateList>
      <explain>文本全半角错误。</explain>
      <paraID>6EF370C2</paraID>
      <start>35</start>
      <end>36</end>
      <status>unmodified</status>
      <modifiedWord/>
      <trackRevisions>false</trackRevisions>
    </reviewItem>
    <reviewItem>
      <errorID>c3056ce0-b19e-46bf-a7f0-8d6f75abcc0b</errorID>
      <errorWord>)</errorWord>
      <group>L1_Format</group>
      <groupName>格式问题</groupName>
      <ability>L2_HalfPunc</ability>
      <abilityName>全半角检查</abilityName>
      <candidateList>
        <item>）</item>
      </candidateList>
      <explain>文本全半角错误。</explain>
      <paraID>6EF370C2</paraID>
      <start>37</start>
      <end>38</end>
      <status>unmodified</status>
      <modifiedWord/>
      <trackRevisions>false</trackRevisions>
    </reviewItem>
    <reviewItem>
      <errorID>f40158aa-fa89-4982-aebf-3402f244ae6e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7C0D41BD</paraID>
      <start>0</start>
      <end>2</end>
      <status>unmodified</status>
      <modifiedWord/>
      <trackRevisions>false</trackRevisions>
    </reviewItem>
    <reviewItem>
      <errorID>3a9e2013-0721-4742-ab79-790a9c638526</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1D908526</paraID>
      <start>0</start>
      <end>2</end>
      <status>unmodified</status>
      <modifiedWord/>
      <trackRevisions>false</trackRevisions>
    </reviewItem>
    <reviewItem>
      <errorID>d2694327-dcf1-43b6-aaea-ba2850be68f3</errorID>
      <errorWord>(</errorWord>
      <group>L1_Format</group>
      <groupName>格式问题</groupName>
      <ability>L2_HalfPunc</ability>
      <abilityName>全半角检查</abilityName>
      <candidateList>
        <item>（</item>
      </candidateList>
      <explain>文本全半角错误。</explain>
      <paraID>2B509272</paraID>
      <start>100</start>
      <end>101</end>
      <status>unmodified</status>
      <modifiedWord/>
      <trackRevisions>false</trackRevisions>
    </reviewItem>
    <reviewItem>
      <errorID>ee16b885-b1d7-43cc-9259-3f6560696f45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2B509272</paraID>
      <start>108</start>
      <end>109</end>
      <status>unmodified</status>
      <modifiedWord/>
      <trackRevisions>false</trackRevisions>
    </reviewItem>
    <reviewItem>
      <errorID>da964047-9106-4cc0-861b-ccfa26e155e1</errorID>
      <errorWord>)</errorWord>
      <group>L1_Format</group>
      <groupName>格式问题</groupName>
      <ability>L2_HalfPunc</ability>
      <abilityName>全半角检查</abilityName>
      <candidateList>
        <item>）</item>
      </candidateList>
      <explain>文本全半角错误。</explain>
      <paraID>2B509272</paraID>
      <start>114</start>
      <end>115</end>
      <status>unmodified</status>
      <modifiedWord/>
      <trackRevisions>false</trackRevisions>
    </reviewItem>
    <reviewItem>
      <errorID>b06b4877-e63d-444d-a1e0-8b0cf8647ec3</errorID>
      <errorWord>(</errorWord>
      <group>L1_Format</group>
      <groupName>格式问题</groupName>
      <ability>L2_HalfPunc</ability>
      <abilityName>全半角检查</abilityName>
      <candidateList>
        <item>（</item>
      </candidateList>
      <explain>文本全半角错误。</explain>
      <paraID>2B509272</paraID>
      <start>127</start>
      <end>128</end>
      <status>unmodified</status>
      <modifiedWord/>
      <trackRevisions>false</trackRevisions>
    </reviewItem>
    <reviewItem>
      <errorID>5f25f82c-3173-4e6b-a1d6-f3b60104c60b</errorID>
      <errorWord>)</errorWord>
      <group>L1_Format</group>
      <groupName>格式问题</groupName>
      <ability>L2_HalfPunc</ability>
      <abilityName>全半角检查</abilityName>
      <candidateList>
        <item>）</item>
      </candidateList>
      <explain>文本全半角错误。</explain>
      <paraID>2B509272</paraID>
      <start>135</start>
      <end>136</end>
      <status>unmodified</status>
      <modifiedWord/>
      <trackRevisions>false</trackRevisions>
    </reviewItem>
    <reviewItem>
      <errorID>72fde98c-5d1e-4481-8d67-7df98f5b4c36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2B509272</paraID>
      <start>159</start>
      <end>160</end>
      <status>unmodified</status>
      <modifiedWord/>
      <trackRevisions>false</trackRevisions>
    </reviewItem>
    <reviewItem>
      <errorID>b3c07a5d-299c-4fac-82d4-0914f8efd665</errorID>
      <errorWord>消防器械</errorWord>
      <group>L1_Word</group>
      <groupName>字词问题</groupName>
      <ability>L2_Typo</ability>
      <abilityName>字词错误</abilityName>
      <candidateList>
        <item>消防器材</item>
      </candidateList>
      <explain>存在字形相近字词的误用。</explain>
      <paraID>4D587F84</paraID>
      <start>86</start>
      <end>90</end>
      <status>unmodified</status>
      <modifiedWord/>
      <trackRevisions>false</trackRevisions>
    </reviewItem>
    <reviewItem>
      <errorID>b41bed70-cfa1-4b99-a432-40e0c13e7ab3</errorID>
      <errorWord>产生</errorWord>
      <group>L1_Word</group>
      <groupName>字词问题</groupName>
      <ability>L2_Typo</ability>
      <abilityName>字词错误</abilityName>
      <candidateList>
        <item>生</item>
      </candidateList>
      <explain/>
      <paraID>5720CBFC</paraID>
      <start>41</start>
      <end>43</end>
      <status>unmodified</status>
      <modifiedWord/>
      <trackRevisions>false</trackRevisions>
    </reviewItem>
    <reviewItem>
      <errorID>3287e3ff-4b73-47d1-a7f4-02460cde8e88</errorID>
      <errorWord>(</errorWord>
      <group>L1_Format</group>
      <groupName>格式问题</groupName>
      <ability>L2_HalfPunc</ability>
      <abilityName>全半角检查</abilityName>
      <candidateList>
        <item>（</item>
      </candidateList>
      <explain>文本全半角错误。</explain>
      <paraID>56F6F368</paraID>
      <start>0</start>
      <end>1</end>
      <status>unmodified</status>
      <modifiedWord/>
      <trackRevisions>false</trackRevisions>
    </reviewItem>
    <reviewItem>
      <errorID>4c141e7c-82d6-48d4-ac59-a11129ed31f3</errorID>
      <errorWord>)</errorWord>
      <group>L1_Format</group>
      <groupName>格式问题</groupName>
      <ability>L2_HalfPunc</ability>
      <abilityName>全半角检查</abilityName>
      <candidateList>
        <item>）</item>
      </candidateList>
      <explain>文本全半角错误。</explain>
      <paraID>56F6F368</paraID>
      <start>5</start>
      <end>6</end>
      <status>unmodified</status>
      <modifiedWord/>
      <trackRevisions>false</trackRevisions>
    </reviewItem>
    <reviewItem>
      <errorID>512751a1-2b08-4ff3-a920-715ee334b2c6</errorID>
      <errorWord>(</errorWord>
      <group>L1_Format</group>
      <groupName>格式问题</groupName>
      <ability>L2_HalfPunc</ability>
      <abilityName>全半角检查</abilityName>
      <candidateList>
        <item>（</item>
      </candidateList>
      <explain>文本全半角错误。</explain>
      <paraID>164CA043</paraID>
      <start>0</start>
      <end>1</end>
      <status>unmodified</status>
      <modifiedWord/>
      <trackRevisions>false</trackRevisions>
    </reviewItem>
    <reviewItem>
      <errorID>9f8f7bae-5faa-4cc6-9758-ed7c6b77177c</errorID>
      <errorWord>)</errorWord>
      <group>L1_Format</group>
      <groupName>格式问题</groupName>
      <ability>L2_HalfPunc</ability>
      <abilityName>全半角检查</abilityName>
      <candidateList>
        <item>）</item>
      </candidateList>
      <explain>文本全半角错误。</explain>
      <paraID>164CA043</paraID>
      <start>5</start>
      <end>6</end>
      <status>unmodified</status>
      <modifiedWord/>
      <trackRevisions>false</trackRevisions>
    </reviewItem>
    <reviewItem>
      <errorID>1d6aab9a-bae1-4870-a12a-5bbdefe3cbb6</errorID>
      <errorWord>,</errorWord>
      <group>L1_Format</group>
      <groupName>格式问题</groupName>
      <ability>L2_HalfPunc</ability>
      <abilityName>全半角检查</abilityName>
      <candidateList>
        <item>，</item>
      </candidateList>
      <explain>文本全半角错误。</explain>
      <paraID>14ACD4FA</paraID>
      <start>4</start>
      <end>5</end>
      <status>unmodified</status>
      <modifiedWord/>
      <trackRevisions>false</trackRevisions>
    </reviewItem>
    <reviewItem>
      <errorID>15af6682-19f5-4208-8e80-5ee09377b715</errorID>
      <errorWord>(</errorWord>
      <group>L1_Format</group>
      <groupName>格式问题</groupName>
      <ability>L2_HalfPunc</ability>
      <abilityName>全半角检查</abilityName>
      <candidateList>
        <item>（</item>
      </candidateList>
      <explain>文本全半角错误。</explain>
      <paraID>63DADEF4</paraID>
      <start>0</start>
      <end>1</end>
      <status>unmodified</status>
      <modifiedWord/>
      <trackRevisions>false</trackRevisions>
    </reviewItem>
    <reviewItem>
      <errorID>b0597ddb-68ee-4ab9-b1ab-c820db7d69b4</errorID>
      <errorWord>)</errorWord>
      <group>L1_Format</group>
      <groupName>格式问题</groupName>
      <ability>L2_HalfPunc</ability>
      <abilityName>全半角检查</abilityName>
      <candidateList>
        <item>）</item>
      </candidateList>
      <explain>文本全半角错误。</explain>
      <paraID>63DADEF4</paraID>
      <start>5</start>
      <end>6</end>
      <status>unmodified</status>
      <modifiedWord/>
      <trackRevisions>false</trackRevisions>
    </reviewItem>
    <reviewItem>
      <errorID>7bd7ce13-96b7-4d86-867c-c1efb9641653</errorID>
      <errorWord>,</errorWord>
      <group>L1_Format</group>
      <groupName>格式问题</groupName>
      <ability>L2_HalfPunc</ability>
      <abilityName>全半角检查</abilityName>
      <candidateList>
        <item>，</item>
      </candidateList>
      <explain>文本全半角错误。</explain>
      <paraID>5EA816EC</paraID>
      <start>11</start>
      <end>12</end>
      <status>unmodified</status>
      <modifiedWord/>
      <trackRevisions>false</trackRevisions>
    </reviewItem>
    <reviewItem>
      <errorID>30a473a1-7668-4aab-88cb-ba73f3a8ac09</errorID>
      <errorWord>,</errorWord>
      <group>L1_Format</group>
      <groupName>格式问题</groupName>
      <ability>L2_HalfPunc</ability>
      <abilityName>全半角检查</abilityName>
      <candidateList>
        <item>，</item>
      </candidateList>
      <explain>文本全半角错误。</explain>
      <paraID>7184453B</paraID>
      <start>4</start>
      <end>5</end>
      <status>unmodified</status>
      <modifiedWord/>
      <trackRevisions>false</trackRevisions>
    </reviewItem>
    <reviewItem>
      <errorID>84c8ad5c-d68f-4f96-881d-f9565b3a41e8</errorID>
      <errorWord>-</errorWord>
      <group>L1_Format</group>
      <groupName>格式问题</groupName>
      <ability>L2_HalfPunc</ability>
      <abilityName>全半角检查</abilityName>
      <candidateList>
        <item>－</item>
      </candidateList>
      <explain>文本全半角错误。</explain>
      <paraID>7A60DF0B</paraID>
      <start>6</start>
      <end>7</end>
      <status>unmodified</status>
      <modifiedWord/>
      <trackRevisions>false</trackRevisions>
    </reviewItem>
    <reviewItem>
      <errorID>f7210a9a-9599-42a1-abd9-3a321a4ab0fa</errorID>
      <errorWord>,</errorWord>
      <group>L1_Format</group>
      <groupName>格式问题</groupName>
      <ability>L2_HalfPunc</ability>
      <abilityName>全半角检查</abilityName>
      <candidateList>
        <item>，</item>
      </candidateList>
      <explain>文本全半角错误。</explain>
      <paraID>7A60DF0B</paraID>
      <start>11</start>
      <end>12</end>
      <status>unmodified</status>
      <modifiedWord/>
      <trackRevisions>false</trackRevisions>
    </reviewItem>
    <reviewItem>
      <errorID>72998f73-3bc7-4244-be6b-aed580052414</errorID>
      <errorWord>(</errorWord>
      <group>L1_Format</group>
      <groupName>格式问题</groupName>
      <ability>L2_HalfPunc</ability>
      <abilityName>全半角检查</abilityName>
      <candidateList>
        <item>（</item>
      </candidateList>
      <explain>文本全半角错误。</explain>
      <paraID>292A7AA7</paraID>
      <start>0</start>
      <end>1</end>
      <status>unmodified</status>
      <modifiedWord/>
      <trackRevisions>false</trackRevisions>
    </reviewItem>
    <reviewItem>
      <errorID>9c490341-d195-4cee-a9c1-90235cf3972f</errorID>
      <errorWord>)</errorWord>
      <group>L1_Format</group>
      <groupName>格式问题</groupName>
      <ability>L2_HalfPunc</ability>
      <abilityName>全半角检查</abilityName>
      <candidateList>
        <item>）</item>
      </candidateList>
      <explain>文本全半角错误。</explain>
      <paraID>292A7AA7</paraID>
      <start>5</start>
      <end>6</end>
      <status>unmodified</status>
      <modifiedWord/>
      <trackRevisions>false</trackRevisions>
    </reviewItem>
    <reviewItem>
      <errorID>ef12cce1-b7f5-42da-b552-881ee0bfec14</errorID>
      <errorWord>,</errorWord>
      <group>L1_Format</group>
      <groupName>格式问题</groupName>
      <ability>L2_HalfPunc</ability>
      <abilityName>全半角检查</abilityName>
      <candidateList>
        <item>，</item>
      </candidateList>
      <explain>文本全半角错误。</explain>
      <paraID>5DB00FD0</paraID>
      <start>14</start>
      <end>15</end>
      <status>unmodified</status>
      <modifiedWord/>
      <trackRevisions>false</trackRevisions>
    </reviewItem>
    <reviewItem>
      <errorID>c3aace4c-ab66-46dc-8086-87deb5b212a1</errorID>
      <errorWord>,</errorWord>
      <group>L1_Format</group>
      <groupName>格式问题</groupName>
      <ability>L2_HalfPunc</ability>
      <abilityName>全半角检查</abilityName>
      <candidateList>
        <item>，</item>
      </candidateList>
      <explain>文本全半角错误。</explain>
      <paraID>465B92C7</paraID>
      <start>4</start>
      <end>5</end>
      <status>unmodified</status>
      <modifiedWord/>
      <trackRevisions>false</trackRevisions>
    </reviewItem>
    <reviewItem>
      <errorID>9f7fa047-4379-449b-9254-c67a9dc6461b</errorID>
      <errorWord>(</errorWord>
      <group>L1_Format</group>
      <groupName>格式问题</groupName>
      <ability>L2_HalfPunc</ability>
      <abilityName>全半角检查</abilityName>
      <candidateList>
        <item>（</item>
      </candidateList>
      <explain>文本全半角错误。</explain>
      <paraID>7D5249F0</paraID>
      <start>0</start>
      <end>1</end>
      <status>unmodified</status>
      <modifiedWord/>
      <trackRevisions>false</trackRevisions>
    </reviewItem>
    <reviewItem>
      <errorID>59dfb5fb-6f17-420b-8074-b9c11f318cb5</errorID>
      <errorWord>,</errorWord>
      <group>L1_Format</group>
      <groupName>格式问题</groupName>
      <ability>L2_HalfPunc</ability>
      <abilityName>全半角检查</abilityName>
      <candidateList>
        <item>，</item>
      </candidateList>
      <explain>文本全半角错误。</explain>
      <paraID>7D5249F0</paraID>
      <start>3</start>
      <end>4</end>
      <status>unmodified</status>
      <modifiedWord/>
      <trackRevisions>false</trackRevisions>
    </reviewItem>
    <reviewItem>
      <errorID>87fb23fe-c58b-4dbc-9345-6f3af95a03e9</errorID>
      <errorWord>)</errorWord>
      <group>L1_Format</group>
      <groupName>格式问题</groupName>
      <ability>L2_HalfPunc</ability>
      <abilityName>全半角检查</abilityName>
      <candidateList>
        <item>）</item>
      </candidateList>
      <explain>文本全半角错误。</explain>
      <paraID>7D5249F0</paraID>
      <start>6</start>
      <end>7</end>
      <status>unmodified</status>
      <modifiedWord/>
      <trackRevisions>false</trackRevisions>
    </reviewItem>
    <reviewItem>
      <errorID>209e0814-0364-4620-89b1-0892c335b6ee</errorID>
      <errorWord>(</errorWord>
      <group>L1_Format</group>
      <groupName>格式问题</groupName>
      <ability>L2_HalfPunc</ability>
      <abilityName>全半角检查</abilityName>
      <candidateList>
        <item>（</item>
      </candidateList>
      <explain>文本全半角错误。</explain>
      <paraID>5C60820A</paraID>
      <start>0</start>
      <end>1</end>
      <status>unmodified</status>
      <modifiedWord/>
      <trackRevisions>false</trackRevisions>
    </reviewItem>
    <reviewItem>
      <errorID>37267d8f-4595-4568-b1de-dbaaeb34a82f</errorID>
      <errorWord>,</errorWord>
      <group>L1_Format</group>
      <groupName>格式问题</groupName>
      <ability>L2_HalfPunc</ability>
      <abilityName>全半角检查</abilityName>
      <candidateList>
        <item>，</item>
      </candidateList>
      <explain>文本全半角错误。</explain>
      <paraID>5C60820A</paraID>
      <start>3</start>
      <end>4</end>
      <status>unmodified</status>
      <modifiedWord/>
      <trackRevisions>false</trackRevisions>
    </reviewItem>
    <reviewItem>
      <errorID>9261c2ec-a620-4067-8be1-12419b2ac5e2</errorID>
      <errorWord>)</errorWord>
      <group>L1_Format</group>
      <groupName>格式问题</groupName>
      <ability>L2_HalfPunc</ability>
      <abilityName>全半角检查</abilityName>
      <candidateList>
        <item>）</item>
      </candidateList>
      <explain>文本全半角错误。</explain>
      <paraID>5C60820A</paraID>
      <start>6</start>
      <end>7</end>
      <status>unmodified</status>
      <modifiedWord/>
      <trackRevisions>false</trackRevisions>
    </reviewItem>
    <reviewItem>
      <errorID>48be5e29-958f-497c-8cf6-373e7726fa8c</errorID>
      <errorWord>,</errorWord>
      <group>L1_Format</group>
      <groupName>格式问题</groupName>
      <ability>L2_HalfPunc</ability>
      <abilityName>全半角检查</abilityName>
      <candidateList>
        <item>，</item>
      </candidateList>
      <explain>文本全半角错误。</explain>
      <paraID>7D698FCC</paraID>
      <start>4</start>
      <end>5</end>
      <status>unmodified</status>
      <modifiedWord/>
      <trackRevisions>false</trackRevisions>
    </reviewItem>
    <reviewItem>
      <errorID>03e9b03a-04f0-44e3-b42d-560e77f45759</errorID>
      <errorWord>-</errorWord>
      <group>L1_Format</group>
      <groupName>格式问题</groupName>
      <ability>L2_HalfPunc</ability>
      <abilityName>全半角检查</abilityName>
      <candidateList>
        <item>－</item>
      </candidateList>
      <explain>文本全半角错误。</explain>
      <paraID>17DBBDA3</paraID>
      <start>38</start>
      <end>39</end>
      <status>unmodified</status>
      <modifiedWord/>
      <trackRevisions>false</trackRevisions>
    </reviewItem>
    <reviewItem>
      <errorID>e0134807-2284-4e2f-84be-4016ddd0f8c9</errorID>
      <errorWord>三本帐</errorWord>
      <group>L1_Word</group>
      <groupName>字词问题</groupName>
      <ability>L2_Alias</ability>
      <abilityName>也作/曾用词</abilityName>
      <candidateList>
        <item>三本账</item>
      </candidateList>
      <explain>词汇[三本帐]为不规范表述或旧称，其规范书面表述为[三本账]。</explain>
      <paraID>4769E197</paraID>
      <start>42</start>
      <end>45</end>
      <status>unmodified</status>
      <modifiedWord/>
      <trackRevisions>false</trackRevisions>
    </reviewItem>
    <reviewItem>
      <errorID>0247188e-5e07-4d23-87c9-bc8668f6b1cf</errorID>
      <errorWord>三本帐</errorWord>
      <group>L1_Word</group>
      <groupName>字词问题</groupName>
      <ability>L2_Alias</ability>
      <abilityName>也作/曾用词</abilityName>
      <candidateList>
        <item>三本账</item>
      </candidateList>
      <explain>词汇[三本帐]为不规范表述或旧称，其规范书面表述为[三本账]。</explain>
      <paraID>440028DC</paraID>
      <start>19</start>
      <end>22</end>
      <status>unmodified</status>
      <modifiedWord/>
      <trackRevisions>false</trackRevisions>
    </reviewItem>
    <reviewItem>
      <errorID>baff66f4-393f-4415-af10-d571fe16895c</errorID>
      <errorWord>(</errorWord>
      <group>L1_Format</group>
      <groupName>格式问题</groupName>
      <ability>L2_HalfPunc</ability>
      <abilityName>全半角检查</abilityName>
      <candidateList>
        <item>（</item>
      </candidateList>
      <explain>文本全半角错误。</explain>
      <paraID> 86159EF</paraID>
      <start>7</start>
      <end>8</end>
      <status>unmodified</status>
      <modifiedWord/>
      <trackRevisions>false</trackRevisions>
    </reviewItem>
    <reviewItem>
      <errorID>98690d9a-3835-4dbc-98b2-2c1188d50bf0</errorID>
      <errorWord>)</errorWord>
      <group>L1_Format</group>
      <groupName>格式问题</groupName>
      <ability>L2_HalfPunc</ability>
      <abilityName>全半角检查</abilityName>
      <candidateList>
        <item>）</item>
      </candidateList>
      <explain>文本全半角错误。</explain>
      <paraID> 86159EF</paraID>
      <start>15</start>
      <end>16</end>
      <status>unmodified</status>
      <modifiedWord/>
      <trackRevisions>false</trackRevisions>
    </reviewItem>
    <reviewItem>
      <errorID>99c27882-65f0-4dcc-a238-a4b235a9b31f</errorID>
      <errorWord>(</errorWord>
      <group>L1_Format</group>
      <groupName>格式问题</groupName>
      <ability>L2_HalfPunc</ability>
      <abilityName>全半角检查</abilityName>
      <candidateList>
        <item>（</item>
      </candidateList>
      <explain>文本全半角错误。</explain>
      <paraID>19C3D1F6</paraID>
      <start>9</start>
      <end>10</end>
      <status>unmodified</status>
      <modifiedWord/>
      <trackRevisions>false</trackRevisions>
    </reviewItem>
    <reviewItem>
      <errorID>36a6f5ee-9bea-4179-acce-2f19a448d528</errorID>
      <errorWord>)</errorWord>
      <group>L1_Format</group>
      <groupName>格式问题</groupName>
      <ability>L2_HalfPunc</ability>
      <abilityName>全半角检查</abilityName>
      <candidateList>
        <item>）</item>
      </candidateList>
      <explain>文本全半角错误。</explain>
      <paraID>19C3D1F6</paraID>
      <start>17</start>
      <end>18</end>
      <status>unmodified</status>
      <modifiedWord/>
      <trackRevisions>false</trackRevisions>
    </reviewItem>
    <reviewItem>
      <errorID>d4743339-d334-4a30-9a92-e4922448f96e</errorID>
      <errorWord>(</errorWord>
      <group>L1_Format</group>
      <groupName>格式问题</groupName>
      <ability>L2_HalfPunc</ability>
      <abilityName>全半角检查</abilityName>
      <candidateList>
        <item>（</item>
      </candidateList>
      <explain>文本全半角错误。</explain>
      <paraID> 85A7D52</paraID>
      <start>7</start>
      <end>8</end>
      <status>unmodified</status>
      <modifiedWord/>
      <trackRevisions>false</trackRevisions>
    </reviewItem>
    <reviewItem>
      <errorID>49474dfb-6d09-4210-9b95-d404eb58aeea</errorID>
      <errorWord>)</errorWord>
      <group>L1_Format</group>
      <groupName>格式问题</groupName>
      <ability>L2_HalfPunc</ability>
      <abilityName>全半角检查</abilityName>
      <candidateList>
        <item>）</item>
      </candidateList>
      <explain>文本全半角错误。</explain>
      <paraID> 85A7D52</paraID>
      <start>15</start>
      <end>16</end>
      <status>unmodified</status>
      <modifiedWord/>
      <trackRevisions>false</trackRevisions>
    </reviewItem>
    <reviewItem>
      <errorID>0f8230e8-b521-48e5-bdbd-b587f69086b1</errorID>
      <errorWord>(</errorWord>
      <group>L1_Format</group>
      <groupName>格式问题</groupName>
      <ability>L2_HalfPunc</ability>
      <abilityName>全半角检查</abilityName>
      <candidateList>
        <item>（</item>
      </candidateList>
      <explain>文本全半角错误。</explain>
      <paraID>12867A0D</paraID>
      <start>8</start>
      <end>9</end>
      <status>unmodified</status>
      <modifiedWord/>
      <trackRevisions>false</trackRevisions>
    </reviewItem>
    <reviewItem>
      <errorID>45798919-052e-4415-aed4-d1edfdc2e434</errorID>
      <errorWord>)</errorWord>
      <group>L1_Format</group>
      <groupName>格式问题</groupName>
      <ability>L2_HalfPunc</ability>
      <abilityName>全半角检查</abilityName>
      <candidateList>
        <item>）</item>
      </candidateList>
      <explain>文本全半角错误。</explain>
      <paraID>12867A0D</paraID>
      <start>16</start>
      <end>17</end>
      <status>unmodified</status>
      <modifiedWord/>
      <trackRevisions>false</trackRevisions>
    </reviewItem>
    <reviewItem>
      <errorID>2465a013-073c-4d12-b322-bb552bf91603</errorID>
      <errorWord>(</errorWord>
      <group>L1_Format</group>
      <groupName>格式问题</groupName>
      <ability>L2_HalfPunc</ability>
      <abilityName>全半角检查</abilityName>
      <candidateList>
        <item>（</item>
      </candidateList>
      <explain>文本全半角错误。</explain>
      <paraID>4C04EE3C</paraID>
      <start>3</start>
      <end>4</end>
      <status>unmodified</status>
      <modifiedWord/>
      <trackRevisions>false</trackRevisions>
    </reviewItem>
    <reviewItem>
      <errorID>209b9791-8566-4fce-b8e0-0fc3c57632e6</errorID>
      <errorWord>)</errorWord>
      <group>L1_Format</group>
      <groupName>格式问题</groupName>
      <ability>L2_HalfPunc</ability>
      <abilityName>全半角检查</abilityName>
      <candidateList>
        <item>）</item>
      </candidateList>
      <explain>文本全半角错误。</explain>
      <paraID>4C04EE3C</paraID>
      <start>11</start>
      <end>12</end>
      <status>unmodified</status>
      <modifiedWord/>
      <trackRevisions>false</trackRevisions>
    </reviewItem>
    <reviewItem>
      <errorID>1768ef7e-c8c8-42dd-8571-d15a9dc4e3a2</errorID>
      <errorWord>（</errorWord>
      <group>L1_Punc</group>
      <groupName>标点问题</groupName>
      <ability>L2_Punc</ability>
      <abilityName>标点符号检查</abilityName>
      <candidateList>
        <item/>
      </candidateList>
      <explain>同一形式括号套用。</explain>
      <paraID>53813937</paraID>
      <start>12</start>
      <end>13</end>
      <status>unmodified</status>
      <modifiedWord/>
      <trackRevisions>false</trackRevisions>
    </reviewItem>
    <reviewItem>
      <errorID>246f1d73-0f91-4c0d-9166-7e260080cc80</errorID>
      <errorWord>(</errorWord>
      <group>L1_Punc</group>
      <groupName>标点问题</groupName>
      <ability>L2_Punc</ability>
      <abilityName>标点符号检查</abilityName>
      <candidateList/>
      <explain>同一形式括号套用。</explain>
      <paraID>53813937</paraID>
      <start>39</start>
      <end>40</end>
      <status>unmodified</status>
      <modifiedWord/>
      <trackRevisions>false</trackRevisions>
    </reviewItem>
    <reviewItem>
      <errorID>466bff19-48d2-40e8-bcbc-c91ed954d479</errorID>
      <errorWord>)</errorWord>
      <group>L1_Punc</group>
      <groupName>标点问题</groupName>
      <ability>L2_Punc</ability>
      <abilityName>标点符号检查</abilityName>
      <candidateList/>
      <explain>同一形式括号套用。</explain>
      <paraID>53813937</paraID>
      <start>54</start>
      <end>55</end>
      <status>unmodified</status>
      <modifiedWord/>
      <trackRevisions>false</trackRevisions>
    </reviewItem>
    <reviewItem>
      <errorID>9cc9e96c-acc3-427e-8991-28e7ce1c35b3</errorID>
      <errorWord>）</errorWord>
      <group>L1_Punc</group>
      <groupName>标点问题</groupName>
      <ability>L2_Punc</ability>
      <abilityName>标点符号检查</abilityName>
      <candidateList/>
      <explain>同一形式括号套用。</explain>
      <paraID>53813937</paraID>
      <start>65</start>
      <end>66</end>
      <status>unmodified</status>
      <modifiedWord/>
      <trackRevisions>false</trackRevisions>
    </reviewItem>
    <reviewItem>
      <errorID>734dea89-f5e6-4dca-930d-ef4d51250080</errorID>
      <errorWord>(</errorWord>
      <group>L1_Format</group>
      <groupName>格式问题</groupName>
      <ability>L2_HalfPunc</ability>
      <abilityName>全半角检查</abilityName>
      <candidateList>
        <item>（</item>
      </candidateList>
      <explain>文本全半角错误。</explain>
      <paraID>10EFEFCB</paraID>
      <start>26</start>
      <end>27</end>
      <status>unmodified</status>
      <modifiedWord/>
      <trackRevisions>false</trackRevisions>
    </reviewItem>
    <reviewItem>
      <errorID>33c06b92-cbc0-400e-b15f-814d9a78c5e7</errorID>
      <errorWord>)</errorWord>
      <group>L1_Format</group>
      <groupName>格式问题</groupName>
      <ability>L2_HalfPunc</ability>
      <abilityName>全半角检查</abilityName>
      <candidateList>
        <item>）</item>
      </candidateList>
      <explain>文本全半角错误。</explain>
      <paraID>10EFEFCB</paraID>
      <start>41</start>
      <end>42</end>
      <status>unmodified</status>
      <modifiedWord/>
      <trackRevisions>false</trackRevisions>
    </reviewItem>
    <reviewItem>
      <errorID>4a2c03b0-7a54-460c-8450-c73af1882d86</errorID>
      <errorWord>，</errorWord>
      <group>L1_Word</group>
      <groupName>字词问题</groupName>
      <ability>L2_Typo</ability>
      <abilityName>字词错误</abilityName>
      <candidateList>
        <item>，使</item>
      </candidateList>
      <explain/>
      <paraID>6FC68BDB</paraID>
      <start>39</start>
      <end>40</end>
      <status>unmodified</status>
      <modifiedWord/>
      <trackRevisions>false</trackRevisions>
    </reviewItem>
    <reviewItem>
      <errorID>0ca7eb9b-94bd-4685-a229-397cae53047f</errorID>
      <errorWord>（</errorWord>
      <group>L1_Punc</group>
      <groupName>标点问题</groupName>
      <ability>L2_Punc</ability>
      <abilityName>标点符号检查</abilityName>
      <candidateList>
        <item/>
      </candidateList>
      <explain>同一形式括号套用。</explain>
      <paraID>121A8DE0</paraID>
      <start>48</start>
      <end>49</end>
      <status>unmodified</status>
      <modifiedWord/>
      <trackRevisions>false</trackRevisions>
    </reviewItem>
    <reviewItem>
      <errorID>fe6a6d87-8f9b-4879-88d3-5afb045f2b78</errorID>
      <errorWord>(</errorWord>
      <group>L1_Punc</group>
      <groupName>标点问题</groupName>
      <ability>L2_Punc</ability>
      <abilityName>标点符号检查</abilityName>
      <candidateList/>
      <explain>同一形式括号套用。</explain>
      <paraID>121A8DE0</paraID>
      <start>57</start>
      <end>58</end>
      <status>unmodified</status>
      <modifiedWord/>
      <trackRevisions>false</trackRevisions>
    </reviewItem>
    <reviewItem>
      <errorID>2ac03c25-bdb1-40d9-ba8b-0ed1b35bf24f</errorID>
      <errorWord>)</errorWord>
      <group>L1_Punc</group>
      <groupName>标点问题</groupName>
      <ability>L2_Punc</ability>
      <abilityName>标点符号检查</abilityName>
      <candidateList/>
      <explain>同一形式括号套用。</explain>
      <paraID>121A8DE0</paraID>
      <start>59</start>
      <end>60</end>
      <status>unmodified</status>
      <modifiedWord/>
      <trackRevisions>false</trackRevisions>
    </reviewItem>
    <reviewItem>
      <errorID>e1af501e-2f5a-4103-8d61-557ec08ae0ea</errorID>
      <errorWord>(</errorWord>
      <group>L1_Punc</group>
      <groupName>标点问题</groupName>
      <ability>L2_Punc</ability>
      <abilityName>标点符号检查</abilityName>
      <candidateList/>
      <explain>同一形式括号套用。</explain>
      <paraID>121A8DE0</paraID>
      <start>68</start>
      <end>69</end>
      <status>unmodified</status>
      <modifiedWord/>
      <trackRevisions>false</trackRevisions>
    </reviewItem>
    <reviewItem>
      <errorID>acf286e2-03cb-4770-82a4-39553bef01f7</errorID>
      <errorWord>)</errorWord>
      <group>L1_Punc</group>
      <groupName>标点问题</groupName>
      <ability>L2_Punc</ability>
      <abilityName>标点符号检查</abilityName>
      <candidateList/>
      <explain>同一形式括号套用。</explain>
      <paraID>121A8DE0</paraID>
      <start>70</start>
      <end>71</end>
      <status>unmodified</status>
      <modifiedWord/>
      <trackRevisions>false</trackRevisions>
    </reviewItem>
    <reviewItem>
      <errorID>f3af0b01-1edc-4f74-8498-db8c37199a0f</errorID>
      <errorWord>）</errorWord>
      <group>L1_Punc</group>
      <groupName>标点问题</groupName>
      <ability>L2_Punc</ability>
      <abilityName>标点符号检查</abilityName>
      <candidateList/>
      <explain>同一形式括号套用。</explain>
      <paraID>121A8DE0</paraID>
      <start>71</start>
      <end>72</end>
      <status>unmodified</status>
      <modifiedWord/>
      <trackRevisions>false</trackRevisions>
    </reviewItem>
    <reviewItem>
      <errorID>19dc4e9a-d39e-483f-bc0b-73702c19e721</errorID>
      <errorWord>（</errorWord>
      <group>L1_Punc</group>
      <groupName>标点问题</groupName>
      <ability>L2_Punc</ability>
      <abilityName>标点符号检查</abilityName>
      <candidateList>
        <item/>
      </candidateList>
      <explain>同一形式括号套用。</explain>
      <paraID>121A8DE0</paraID>
      <start>123</start>
      <end>124</end>
      <status>unmodified</status>
      <modifiedWord/>
      <trackRevisions>false</trackRevisions>
    </reviewItem>
    <reviewItem>
      <errorID>1c8138ef-b263-4f4f-a67f-ef98c0952f3f</errorID>
      <errorWord>(</errorWord>
      <group>L1_Punc</group>
      <groupName>标点问题</groupName>
      <ability>L2_Punc</ability>
      <abilityName>标点符号检查</abilityName>
      <candidateList/>
      <explain>同一形式括号套用。</explain>
      <paraID>121A8DE0</paraID>
      <start>132</start>
      <end>133</end>
      <status>unmodified</status>
      <modifiedWord/>
      <trackRevisions>false</trackRevisions>
    </reviewItem>
    <reviewItem>
      <errorID>3059689e-c483-4d47-97ed-7c70d18b9ccf</errorID>
      <errorWord>)</errorWord>
      <group>L1_Punc</group>
      <groupName>标点问题</groupName>
      <ability>L2_Punc</ability>
      <abilityName>标点符号检查</abilityName>
      <candidateList/>
      <explain>同一形式括号套用。</explain>
      <paraID>121A8DE0</paraID>
      <start>134</start>
      <end>135</end>
      <status>unmodified</status>
      <modifiedWord/>
      <trackRevisions>false</trackRevisions>
    </reviewItem>
    <reviewItem>
      <errorID>a1f1aeb9-0e71-46ae-be0f-123c4949c948</errorID>
      <errorWord>(</errorWord>
      <group>L1_Punc</group>
      <groupName>标点问题</groupName>
      <ability>L2_Punc</ability>
      <abilityName>标点符号检查</abilityName>
      <candidateList/>
      <explain>同一形式括号套用。</explain>
      <paraID>121A8DE0</paraID>
      <start>143</start>
      <end>144</end>
      <status>unmodified</status>
      <modifiedWord/>
      <trackRevisions>false</trackRevisions>
    </reviewItem>
    <reviewItem>
      <errorID>a372624b-52fc-4305-b62b-939204a21bb1</errorID>
      <errorWord>)</errorWord>
      <group>L1_Punc</group>
      <groupName>标点问题</groupName>
      <ability>L2_Punc</ability>
      <abilityName>标点符号检查</abilityName>
      <candidateList/>
      <explain>同一形式括号套用。</explain>
      <paraID>121A8DE0</paraID>
      <start>145</start>
      <end>146</end>
      <status>unmodified</status>
      <modifiedWord/>
      <trackRevisions>false</trackRevisions>
    </reviewItem>
    <reviewItem>
      <errorID>14108d8b-d773-4c14-88c6-e09de9a45b3c</errorID>
      <errorWord>）</errorWord>
      <group>L1_Punc</group>
      <groupName>标点问题</groupName>
      <ability>L2_Punc</ability>
      <abilityName>标点符号检查</abilityName>
      <candidateList/>
      <explain>同一形式括号套用。</explain>
      <paraID>121A8DE0</paraID>
      <start>146</start>
      <end>147</end>
      <status>unmodified</status>
      <modifiedWord/>
      <trackRevisions>false</trackRevisions>
    </reviewItem>
    <reviewItem>
      <errorID>e240299a-10f1-4315-91a3-214aabcc4ed5</errorID>
      <errorWord>辊筒</errorWord>
      <group>L1_Word</group>
      <groupName>字词问题</groupName>
      <ability>L2_Typo</ability>
      <abilityName>字词错误</abilityName>
      <candidateList>
        <item>滚筒</item>
      </candidateList>
      <explain>存在发音相同字词的误用。</explain>
      <paraID>60724048</paraID>
      <start>32</start>
      <end>34</end>
      <status>unmodified</status>
      <modifiedWord/>
      <trackRevisions>false</trackRevisions>
    </reviewItem>
    <reviewItem>
      <errorID>e4f087c9-b3fa-47f2-aa80-44cd0975803a</errorID>
      <errorWord>(</errorWord>
      <group>L1_Format</group>
      <groupName>格式问题</groupName>
      <ability>L2_HalfPunc</ability>
      <abilityName>全半角检查</abilityName>
      <candidateList>
        <item>（</item>
      </candidateList>
      <explain>文本全半角错误。</explain>
      <paraID>6F935443</paraID>
      <start>98</start>
      <end>99</end>
      <status>unmodified</status>
      <modifiedWord/>
      <trackRevisions>false</trackRevisions>
    </reviewItem>
    <reviewItem>
      <errorID>7fc14cae-2b4d-4704-88c9-6a4c86883925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6F935443</paraID>
      <start>106</start>
      <end>107</end>
      <status>unmodified</status>
      <modifiedWord/>
      <trackRevisions>false</trackRevisions>
    </reviewItem>
    <reviewItem>
      <errorID>01b08869-1467-429c-8a1f-3085043629ce</errorID>
      <errorWord>)</errorWord>
      <group>L1_Format</group>
      <groupName>格式问题</groupName>
      <ability>L2_HalfPunc</ability>
      <abilityName>全半角检查</abilityName>
      <candidateList>
        <item>）</item>
      </candidateList>
      <explain>文本全半角错误。</explain>
      <paraID>6F935443</paraID>
      <start>112</start>
      <end>113</end>
      <status>unmodified</status>
      <modifiedWord/>
      <trackRevisions>false</trackRevisions>
    </reviewItem>
    <reviewItem>
      <errorID>826c40fc-04df-4b22-83f2-ec381d641de5</errorID>
      <errorWord>(</errorWord>
      <group>L1_Format</group>
      <groupName>格式问题</groupName>
      <ability>L2_HalfPunc</ability>
      <abilityName>全半角检查</abilityName>
      <candidateList>
        <item>（</item>
      </candidateList>
      <explain>文本全半角错误。</explain>
      <paraID>6F935443</paraID>
      <start>125</start>
      <end>126</end>
      <status>unmodified</status>
      <modifiedWord/>
      <trackRevisions>false</trackRevisions>
    </reviewItem>
    <reviewItem>
      <errorID>f8b05373-9aa1-4bc3-8dd0-71ee1017b882</errorID>
      <errorWord>)</errorWord>
      <group>L1_Format</group>
      <groupName>格式问题</groupName>
      <ability>L2_HalfPunc</ability>
      <abilityName>全半角检查</abilityName>
      <candidateList>
        <item>）</item>
      </candidateList>
      <explain>文本全半角错误。</explain>
      <paraID>6F935443</paraID>
      <start>133</start>
      <end>134</end>
      <status>unmodified</status>
      <modifiedWord/>
      <trackRevisions>false</trackRevisions>
    </reviewItem>
    <reviewItem>
      <errorID>e3ff9c7c-f9d5-4a92-ab6d-752f676120d2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6F935443</paraID>
      <start>157</start>
      <end>158</end>
      <status>unmodified</status>
      <modifiedWord/>
      <trackRevisions>false</trackRevisions>
    </reviewItem>
    <reviewItem>
      <errorID>48760a77-5ef0-4f75-b3b6-6720cd04a48b</errorID>
      <errorWord>消防器械</errorWord>
      <group>L1_Word</group>
      <groupName>字词问题</groupName>
      <ability>L2_Typo</ability>
      <abilityName>字词错误</abilityName>
      <candidateList>
        <item>消防器材</item>
      </candidateList>
      <explain>存在字形相近字词的误用。</explain>
      <paraID>65E767B2</paraID>
      <start>86</start>
      <end>90</end>
      <status>unmodified</status>
      <modifiedWord/>
      <trackRevisions>false</trackRevisions>
    </reviewItem>
    <reviewItem>
      <errorID>81e9509c-283e-44d2-957a-6532e1b96e51</errorID>
      <errorWord>产生</errorWord>
      <group>L1_Word</group>
      <groupName>字词问题</groupName>
      <ability>L2_Typo</ability>
      <abilityName>字词错误</abilityName>
      <candidateList>
        <item>生</item>
      </candidateList>
      <explain/>
      <paraID>7981FB9E</paraID>
      <start>41</start>
      <end>43</end>
      <status>unmodified</status>
      <modifiedWord/>
      <trackRevisions>false</trackRevisions>
    </reviewItem>
    <reviewItem>
      <errorID>5ae0b2bd-8398-4f82-8663-f643532ae07e</errorID>
      <errorWord>(</errorWord>
      <group>L1_Format</group>
      <groupName>格式问题</groupName>
      <ability>L2_HalfPunc</ability>
      <abilityName>全半角检查</abilityName>
      <candidateList>
        <item>（</item>
      </candidateList>
      <explain>文本全半角错误。</explain>
      <paraID>7E1D15AF</paraID>
      <start>3</start>
      <end>4</end>
      <status>unmodified</status>
      <modifiedWord/>
      <trackRevisions>false</trackRevisions>
    </reviewItem>
    <reviewItem>
      <errorID>c6b18c85-3c99-4659-84bc-b20d21d5d50e</errorID>
      <errorWord>)</errorWord>
      <group>L1_Format</group>
      <groupName>格式问题</groupName>
      <ability>L2_HalfPunc</ability>
      <abilityName>全半角检查</abilityName>
      <candidateList>
        <item>）</item>
      </candidateList>
      <explain>文本全半角错误。</explain>
      <paraID>7E1D15AF</paraID>
      <start>11</start>
      <end>12</end>
      <status>unmodified</status>
      <modifiedWord/>
      <trackRevisions>false</trackRevisions>
    </reviewItem>
    <reviewItem>
      <errorID>2047209f-5a33-4f8e-bfcb-18b6489feea9</errorID>
      <errorWord>(</errorWord>
      <group>L1_Format</group>
      <groupName>格式问题</groupName>
      <ability>L2_HalfPunc</ability>
      <abilityName>全半角检查</abilityName>
      <candidateList>
        <item>（</item>
      </candidateList>
      <explain>文本全半角错误。</explain>
      <paraID>4EAB0D6A</paraID>
      <start>3</start>
      <end>4</end>
      <status>unmodified</status>
      <modifiedWord/>
      <trackRevisions>false</trackRevisions>
    </reviewItem>
    <reviewItem>
      <errorID>c298987d-54b1-4375-bf7e-85826c7c53ac</errorID>
      <errorWord>)</errorWord>
      <group>L1_Format</group>
      <groupName>格式问题</groupName>
      <ability>L2_HalfPunc</ability>
      <abilityName>全半角检查</abilityName>
      <candidateList>
        <item>）</item>
      </candidateList>
      <explain>文本全半角错误。</explain>
      <paraID>4EAB0D6A</paraID>
      <start>11</start>
      <end>12</end>
      <status>unmodified</status>
      <modifiedWord/>
      <trackRevisions>false</trackRevisions>
    </reviewItem>
    <reviewItem>
      <errorID>55a297fa-10e9-4450-a20d-84be865f34de</errorID>
      <errorWord>(</errorWord>
      <group>L1_Format</group>
      <groupName>格式问题</groupName>
      <ability>L2_HalfPunc</ability>
      <abilityName>全半角检查</abilityName>
      <candidateList>
        <item>（</item>
      </candidateList>
      <explain>文本全半角错误。</explain>
      <paraID>76647F81</paraID>
      <start>3</start>
      <end>4</end>
      <status>unmodified</status>
      <modifiedWord/>
      <trackRevisions>false</trackRevisions>
    </reviewItem>
    <reviewItem>
      <errorID>ccb34726-34fe-4592-843f-f52620350263</errorID>
      <errorWord>)</errorWord>
      <group>L1_Format</group>
      <groupName>格式问题</groupName>
      <ability>L2_HalfPunc</ability>
      <abilityName>全半角检查</abilityName>
      <candidateList>
        <item>）</item>
      </candidateList>
      <explain>文本全半角错误。</explain>
      <paraID>76647F81</paraID>
      <start>11</start>
      <end>12</end>
      <status>unmodified</status>
      <modifiedWord/>
      <trackRevisions>false</trackRevisions>
    </reviewItem>
    <reviewItem>
      <errorID>10e65ec9-615f-4a5d-bac0-9f58a3450d28</errorID>
      <errorWord>(</errorWord>
      <group>L1_Format</group>
      <groupName>格式问题</groupName>
      <ability>L2_HalfPunc</ability>
      <abilityName>全半角检查</abilityName>
      <candidateList>
        <item>（</item>
      </candidateList>
      <explain>文本全半角错误。</explain>
      <paraID>283F8B22</paraID>
      <start>0</start>
      <end>1</end>
      <status>unmodified</status>
      <modifiedWord/>
      <trackRevisions>false</trackRevisions>
    </reviewItem>
    <reviewItem>
      <errorID>43a35522-f016-4747-a231-cacd2a5c5e48</errorID>
      <errorWord>)</errorWord>
      <group>L1_Format</group>
      <groupName>格式问题</groupName>
      <ability>L2_HalfPunc</ability>
      <abilityName>全半角检查</abilityName>
      <candidateList>
        <item>）</item>
      </candidateList>
      <explain>文本全半角错误。</explain>
      <paraID>283F8B22</paraID>
      <start>7</start>
      <end>8</end>
      <status>unmodified</status>
      <modifiedWord/>
      <trackRevisions>false</trackRevisions>
    </reviewItem>
    <reviewItem>
      <errorID>05204068-36ce-45a8-93db-e188ed6998ef</errorID>
      <errorWord>(</errorWord>
      <group>L1_Format</group>
      <groupName>格式问题</groupName>
      <ability>L2_HalfPunc</ability>
      <abilityName>全半角检查</abilityName>
      <candidateList>
        <item>（</item>
      </candidateList>
      <explain>文本全半角错误。</explain>
      <paraID>51CEE492</paraID>
      <start>5</start>
      <end>6</end>
      <status>unmodified</status>
      <modifiedWord/>
      <trackRevisions>false</trackRevisions>
    </reviewItem>
    <reviewItem>
      <errorID>ce7930f7-9685-4f94-9f75-a0cc1bb9bd27</errorID>
      <errorWord>)</errorWord>
      <group>L1_Format</group>
      <groupName>格式问题</groupName>
      <ability>L2_HalfPunc</ability>
      <abilityName>全半角检查</abilityName>
      <candidateList>
        <item>）</item>
      </candidateList>
      <explain>文本全半角错误。</explain>
      <paraID>51CEE492</paraID>
      <start>13</start>
      <end>14</end>
      <status>unmodified</status>
      <modifiedWord/>
      <trackRevisions>false</trackRevisions>
    </reviewItem>
    <reviewItem>
      <errorID>371900c6-36e7-410f-afde-a0d5fe8ee70f</errorID>
      <errorWord>(</errorWord>
      <group>L1_Format</group>
      <groupName>格式问题</groupName>
      <ability>L2_HalfPunc</ability>
      <abilityName>全半角检查</abilityName>
      <candidateList>
        <item>（</item>
      </candidateList>
      <explain>文本全半角错误。</explain>
      <paraID>46161545</paraID>
      <start>0</start>
      <end>1</end>
      <status>unmodified</status>
      <modifiedWord/>
      <trackRevisions>false</trackRevisions>
    </reviewItem>
    <reviewItem>
      <errorID>34363dc9-44c2-4410-9054-d645f127380a</errorID>
      <errorWord>)</errorWord>
      <group>L1_Format</group>
      <groupName>格式问题</groupName>
      <ability>L2_HalfPunc</ability>
      <abilityName>全半角检查</abilityName>
      <candidateList>
        <item>）</item>
      </candidateList>
      <explain>文本全半角错误。</explain>
      <paraID>46161545</paraID>
      <start>5</start>
      <end>6</end>
      <status>unmodified</status>
      <modifiedWord/>
      <trackRevisions>false</trackRevisions>
    </reviewItem>
    <reviewItem>
      <errorID>9f393dc6-6989-4df8-8c94-bf0a6d5ba471</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63702153</paraID>
      <start>22</start>
      <end>23</end>
      <status>unmodified</status>
      <modifiedWord/>
      <trackRevisions>false</trackRevisions>
    </reviewItem>
    <reviewItem>
      <errorID>c6ad99f9-cef0-4db3-9a58-3fccf7326481</errorID>
      <errorWord>合</errorWord>
      <group>L1_Word</group>
      <groupName>字词问题</groupName>
      <ability>L2_Typo</ability>
      <abilityName>字词错误</abilityName>
      <candidateList>
        <item>合同</item>
      </candidateList>
      <explain/>
      <paraID>3B9ED449</paraID>
      <start>8</start>
      <end>9</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a288714-72df-4285-b9c2-f4d126060ff9}">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99</Pages>
  <Words>14219</Words>
  <Characters>15104</Characters>
  <Lines>440</Lines>
  <Paragraphs>124</Paragraphs>
  <TotalTime>15</TotalTime>
  <ScaleCrop>false</ScaleCrop>
  <LinksUpToDate>false</LinksUpToDate>
  <CharactersWithSpaces>15179</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染</cp:lastModifiedBy>
  <cp:lastPrinted>2020-12-29T02:43:00Z</cp:lastPrinted>
  <dcterms:modified xsi:type="dcterms:W3CDTF">2026-01-09T08:44:09Z</dcterms:modified>
  <dc:title>附件2</dc:title>
  <cp:revision>1169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3D0E91911F354B2EB0494E522C0436B4_13</vt:lpwstr>
  </property>
  <property fmtid="{D5CDD505-2E9C-101B-9397-08002B2CF9AE}" pid="4" name="KSOTemplateDocerSaveRecord">
    <vt:lpwstr>eyJoZGlkIjoiOTZkN2ExMGNhMzY1MDVkMTVjMTBkYTdhNzU2N2JjZjcifQ==</vt:lpwstr>
  </property>
</Properties>
</file>